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918AE">
      <w:pPr>
        <w:widowControl w:val="0"/>
        <w:spacing w:before="312" w:beforeLines="100" w:after="624" w:afterLines="200" w:line="440" w:lineRule="exact"/>
        <w:jc w:val="center"/>
        <w:rPr>
          <w:rFonts w:ascii="方正小标宋简体" w:eastAsia="方正小标宋简体" w:cs="Times New Roman"/>
          <w:kern w:val="2"/>
          <w:sz w:val="44"/>
          <w:szCs w:val="44"/>
        </w:rPr>
      </w:pPr>
      <w:r>
        <w:rPr>
          <w:rFonts w:hint="eastAsia" w:ascii="方正小标宋简体" w:eastAsia="方正小标宋简体" w:cs="Times New Roman"/>
          <w:kern w:val="2"/>
          <w:sz w:val="44"/>
          <w:szCs w:val="44"/>
        </w:rPr>
        <w:t>董事会审计委员会202</w:t>
      </w:r>
      <w:r>
        <w:rPr>
          <w:rFonts w:hint="eastAsia" w:ascii="方正小标宋简体" w:eastAsia="方正小标宋简体" w:cs="Times New Roman"/>
          <w:kern w:val="2"/>
          <w:sz w:val="44"/>
          <w:szCs w:val="44"/>
          <w:lang w:val="en-US" w:eastAsia="zh-CN"/>
        </w:rPr>
        <w:t>5</w:t>
      </w:r>
      <w:r>
        <w:rPr>
          <w:rFonts w:hint="eastAsia" w:ascii="方正小标宋简体" w:eastAsia="方正小标宋简体" w:cs="Times New Roman"/>
          <w:kern w:val="2"/>
          <w:sz w:val="44"/>
          <w:szCs w:val="44"/>
        </w:rPr>
        <w:t>年度履职情况报告</w:t>
      </w:r>
    </w:p>
    <w:p w14:paraId="1F801A6D">
      <w:pPr>
        <w:widowControl w:val="0"/>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根据《上市公司治理准则》《上海证券交易所上市公司自律监管指引》《上海证券交易所股票上市规则》及《公司章程》《董事会审计委员会工作细则》的有关规定，董事会审计委员会认真履行职责，积极开展工作。现将审计委员会202</w:t>
      </w:r>
      <w:r>
        <w:rPr>
          <w:rFonts w:hint="eastAsia" w:ascii="仿宋_GB2312" w:eastAsia="仿宋_GB2312" w:cs="Times New Roman"/>
          <w:kern w:val="2"/>
          <w:sz w:val="32"/>
          <w:szCs w:val="32"/>
          <w:lang w:val="en-US" w:eastAsia="zh-CN"/>
        </w:rPr>
        <w:t>5</w:t>
      </w:r>
      <w:r>
        <w:rPr>
          <w:rFonts w:hint="eastAsia" w:ascii="仿宋_GB2312" w:eastAsia="仿宋_GB2312" w:cs="Times New Roman"/>
          <w:kern w:val="2"/>
          <w:sz w:val="32"/>
          <w:szCs w:val="32"/>
        </w:rPr>
        <w:t>年度履职情况报告如下：</w:t>
      </w:r>
    </w:p>
    <w:p w14:paraId="7EFFBF13">
      <w:pPr>
        <w:widowControl w:val="0"/>
        <w:tabs>
          <w:tab w:val="left" w:pos="1080"/>
        </w:tabs>
        <w:spacing w:line="520" w:lineRule="exact"/>
        <w:ind w:firstLine="640" w:firstLineChars="200"/>
        <w:jc w:val="both"/>
        <w:rPr>
          <w:rFonts w:ascii="黑体" w:hAnsi="黑体" w:eastAsia="黑体" w:cs="Times New Roman"/>
          <w:kern w:val="2"/>
          <w:sz w:val="32"/>
          <w:szCs w:val="32"/>
        </w:rPr>
      </w:pPr>
      <w:r>
        <w:rPr>
          <w:rFonts w:hint="eastAsia" w:ascii="黑体" w:hAnsi="黑体" w:eastAsia="黑体" w:cs="Times New Roman"/>
          <w:kern w:val="2"/>
          <w:sz w:val="32"/>
          <w:szCs w:val="32"/>
        </w:rPr>
        <w:t>一、审计委员会基本情况</w:t>
      </w:r>
    </w:p>
    <w:p w14:paraId="58A3EEF7">
      <w:pPr>
        <w:widowControl w:val="0"/>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审计委员会由独立非执行董事陈均平</w:t>
      </w:r>
      <w:r>
        <w:rPr>
          <w:rFonts w:hint="eastAsia" w:ascii="仿宋_GB2312" w:eastAsia="仿宋_GB2312" w:cs="Times New Roman"/>
          <w:kern w:val="2"/>
          <w:sz w:val="32"/>
          <w:szCs w:val="32"/>
          <w:lang w:val="en-US" w:eastAsia="zh-CN"/>
        </w:rPr>
        <w:t>女士</w:t>
      </w:r>
      <w:r>
        <w:rPr>
          <w:rFonts w:hint="eastAsia" w:ascii="仿宋_GB2312" w:eastAsia="仿宋_GB2312" w:cs="Times New Roman"/>
          <w:kern w:val="2"/>
          <w:sz w:val="32"/>
          <w:szCs w:val="32"/>
        </w:rPr>
        <w:t>、赵旭光先生及非执行董事满会勇先生3名成员组成，其中陈均平</w:t>
      </w:r>
      <w:r>
        <w:rPr>
          <w:rFonts w:hint="eastAsia" w:ascii="仿宋_GB2312" w:eastAsia="仿宋_GB2312" w:cs="Times New Roman"/>
          <w:kern w:val="2"/>
          <w:sz w:val="32"/>
          <w:szCs w:val="32"/>
          <w:lang w:val="en-US" w:eastAsia="zh-CN"/>
        </w:rPr>
        <w:t>女士</w:t>
      </w:r>
      <w:r>
        <w:rPr>
          <w:rFonts w:hint="eastAsia" w:ascii="仿宋_GB2312" w:eastAsia="仿宋_GB2312" w:cs="Times New Roman"/>
          <w:kern w:val="2"/>
          <w:sz w:val="32"/>
          <w:szCs w:val="32"/>
        </w:rPr>
        <w:t>为审计委员会主任委员，负责会议的召集与主持。</w:t>
      </w:r>
    </w:p>
    <w:p w14:paraId="4DBA126C">
      <w:pPr>
        <w:widowControl w:val="0"/>
        <w:tabs>
          <w:tab w:val="left" w:pos="1080"/>
        </w:tabs>
        <w:spacing w:line="520" w:lineRule="exact"/>
        <w:ind w:firstLine="640" w:firstLineChars="200"/>
        <w:jc w:val="both"/>
        <w:rPr>
          <w:rFonts w:ascii="黑体" w:hAnsi="黑体" w:eastAsia="黑体" w:cs="Times New Roman"/>
          <w:kern w:val="2"/>
          <w:sz w:val="32"/>
          <w:szCs w:val="32"/>
        </w:rPr>
      </w:pPr>
      <w:r>
        <w:rPr>
          <w:rFonts w:hint="eastAsia" w:ascii="黑体" w:hAnsi="黑体" w:eastAsia="黑体" w:cs="Times New Roman"/>
          <w:kern w:val="2"/>
          <w:sz w:val="32"/>
          <w:szCs w:val="32"/>
        </w:rPr>
        <w:t>二、审计委员会202</w:t>
      </w:r>
      <w:r>
        <w:rPr>
          <w:rFonts w:hint="eastAsia" w:ascii="黑体" w:hAnsi="黑体" w:eastAsia="黑体" w:cs="Times New Roman"/>
          <w:kern w:val="2"/>
          <w:sz w:val="32"/>
          <w:szCs w:val="32"/>
          <w:lang w:val="en-US" w:eastAsia="zh-CN"/>
        </w:rPr>
        <w:t>5</w:t>
      </w:r>
      <w:r>
        <w:rPr>
          <w:rFonts w:hint="eastAsia" w:ascii="黑体" w:hAnsi="黑体" w:eastAsia="黑体" w:cs="Times New Roman"/>
          <w:kern w:val="2"/>
          <w:sz w:val="32"/>
          <w:szCs w:val="32"/>
        </w:rPr>
        <w:t>年度召开会议情况</w:t>
      </w:r>
    </w:p>
    <w:p w14:paraId="11489D2F">
      <w:pPr>
        <w:widowControl w:val="0"/>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报告期内，审计委员会共召开</w:t>
      </w:r>
      <w:r>
        <w:rPr>
          <w:rFonts w:hint="eastAsia" w:ascii="仿宋_GB2312" w:eastAsia="仿宋_GB2312" w:cs="Times New Roman"/>
          <w:kern w:val="2"/>
          <w:sz w:val="32"/>
          <w:szCs w:val="32"/>
          <w:lang w:val="en-US" w:eastAsia="zh-CN"/>
        </w:rPr>
        <w:t>11</w:t>
      </w:r>
      <w:r>
        <w:rPr>
          <w:rFonts w:hint="eastAsia" w:ascii="仿宋_GB2312" w:eastAsia="仿宋_GB2312" w:cs="Times New Roman"/>
          <w:kern w:val="2"/>
          <w:sz w:val="32"/>
          <w:szCs w:val="32"/>
        </w:rPr>
        <w:t>次会议，具体情况如下：</w:t>
      </w:r>
    </w:p>
    <w:p w14:paraId="5D1FB947">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1.2025年1月10日，审计委员会召开通讯会议，审</w:t>
      </w:r>
      <w:r>
        <w:rPr>
          <w:rFonts w:hint="eastAsia" w:ascii="仿宋_GB2312" w:eastAsia="仿宋_GB2312" w:cs="Times New Roman"/>
          <w:kern w:val="2"/>
          <w:sz w:val="32"/>
          <w:szCs w:val="32"/>
          <w:lang w:val="en-US" w:eastAsia="zh-CN"/>
        </w:rPr>
        <w:t>议</w:t>
      </w:r>
      <w:r>
        <w:rPr>
          <w:rFonts w:hint="eastAsia" w:ascii="仿宋_GB2312" w:eastAsia="仿宋_GB2312" w:cs="Times New Roman"/>
          <w:kern w:val="2"/>
          <w:sz w:val="32"/>
          <w:szCs w:val="32"/>
        </w:rPr>
        <w:t>通过以下议案：</w:t>
      </w:r>
    </w:p>
    <w:p w14:paraId="1C0E0348">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w:t>
      </w:r>
      <w:r>
        <w:rPr>
          <w:rFonts w:hint="eastAsia" w:ascii="仿宋_GB2312" w:eastAsia="仿宋_GB2312"/>
          <w:sz w:val="32"/>
          <w:szCs w:val="32"/>
        </w:rPr>
        <w:t>2024年度财务报告审计预审阶段工作情况</w:t>
      </w:r>
      <w:r>
        <w:rPr>
          <w:rFonts w:hint="eastAsia" w:ascii="仿宋_GB2312" w:eastAsia="仿宋_GB2312" w:cs="Times New Roman"/>
          <w:kern w:val="2"/>
          <w:sz w:val="32"/>
          <w:szCs w:val="32"/>
        </w:rPr>
        <w:t>；</w:t>
      </w:r>
    </w:p>
    <w:p w14:paraId="23292F96">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w:t>
      </w:r>
      <w:r>
        <w:rPr>
          <w:rFonts w:hint="eastAsia" w:ascii="仿宋_GB2312" w:eastAsia="仿宋_GB2312"/>
          <w:sz w:val="32"/>
          <w:szCs w:val="32"/>
        </w:rPr>
        <w:t>2024年度财务报告内部控制审计预审阶段工作情况</w:t>
      </w:r>
      <w:r>
        <w:rPr>
          <w:rFonts w:hint="eastAsia" w:ascii="仿宋_GB2312" w:eastAsia="仿宋_GB2312" w:cs="Times New Roman"/>
          <w:kern w:val="2"/>
          <w:sz w:val="32"/>
          <w:szCs w:val="32"/>
        </w:rPr>
        <w:t>。</w:t>
      </w:r>
    </w:p>
    <w:p w14:paraId="345ABE1D">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2.2025年2月27日，审计委员会召开通讯会议，</w:t>
      </w:r>
      <w:r>
        <w:rPr>
          <w:rFonts w:hint="eastAsia" w:ascii="仿宋_GB2312" w:eastAsia="仿宋_GB2312" w:cs="Times New Roman"/>
          <w:kern w:val="2"/>
          <w:sz w:val="32"/>
          <w:szCs w:val="32"/>
          <w:lang w:val="en-US" w:eastAsia="zh-CN"/>
        </w:rPr>
        <w:t>审议</w:t>
      </w:r>
      <w:r>
        <w:rPr>
          <w:rFonts w:hint="eastAsia" w:ascii="仿宋_GB2312" w:eastAsia="仿宋_GB2312" w:cs="Times New Roman"/>
          <w:kern w:val="2"/>
          <w:sz w:val="32"/>
          <w:szCs w:val="32"/>
        </w:rPr>
        <w:t>通过以下议案：</w:t>
      </w:r>
    </w:p>
    <w:p w14:paraId="3D4F4FD0">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w:t>
      </w:r>
      <w:r>
        <w:rPr>
          <w:rFonts w:hint="eastAsia" w:ascii="仿宋_GB2312" w:eastAsia="仿宋_GB2312"/>
          <w:sz w:val="32"/>
          <w:szCs w:val="32"/>
        </w:rPr>
        <w:t>关于回购注销部分限制性股票激励计划的议案</w:t>
      </w:r>
      <w:r>
        <w:rPr>
          <w:rFonts w:hint="eastAsia" w:ascii="仿宋_GB2312" w:eastAsia="仿宋_GB2312" w:cs="Times New Roman"/>
          <w:kern w:val="2"/>
          <w:sz w:val="32"/>
          <w:szCs w:val="32"/>
        </w:rPr>
        <w:t>；</w:t>
      </w:r>
    </w:p>
    <w:p w14:paraId="1089B885">
      <w:pPr>
        <w:widowControl w:val="0"/>
        <w:tabs>
          <w:tab w:val="left" w:pos="1080"/>
        </w:tabs>
        <w:spacing w:line="520" w:lineRule="exact"/>
        <w:ind w:firstLine="640" w:firstLineChars="200"/>
        <w:jc w:val="both"/>
        <w:rPr>
          <w:rFonts w:hint="eastAsia" w:ascii="仿宋_GB2312" w:eastAsia="仿宋_GB2312"/>
          <w:sz w:val="32"/>
          <w:szCs w:val="32"/>
          <w:lang w:eastAsia="zh-CN"/>
        </w:rPr>
      </w:pPr>
      <w:r>
        <w:rPr>
          <w:rFonts w:hint="eastAsia" w:ascii="仿宋_GB2312" w:eastAsia="仿宋_GB2312" w:cs="Times New Roman"/>
          <w:kern w:val="2"/>
          <w:sz w:val="32"/>
          <w:szCs w:val="32"/>
        </w:rPr>
        <w:t>（2）</w:t>
      </w:r>
      <w:r>
        <w:rPr>
          <w:rFonts w:hint="eastAsia" w:ascii="仿宋_GB2312" w:eastAsia="仿宋_GB2312"/>
          <w:sz w:val="32"/>
          <w:szCs w:val="32"/>
        </w:rPr>
        <w:t>关于变更注册资本并修订《公司章程》的议案</w:t>
      </w:r>
      <w:r>
        <w:rPr>
          <w:rFonts w:hint="eastAsia" w:ascii="仿宋_GB2312" w:eastAsia="仿宋_GB2312"/>
          <w:sz w:val="32"/>
          <w:szCs w:val="32"/>
          <w:lang w:eastAsia="zh-CN"/>
        </w:rPr>
        <w:t>；</w:t>
      </w:r>
    </w:p>
    <w:p w14:paraId="34BCB05C">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）关于控股附属公司与关联方签署相关合同暨关联交易的议案</w:t>
      </w:r>
      <w:r>
        <w:rPr>
          <w:rFonts w:hint="eastAsia" w:ascii="仿宋_GB2312" w:eastAsia="仿宋_GB2312" w:cs="Times New Roman"/>
          <w:kern w:val="2"/>
          <w:sz w:val="32"/>
          <w:szCs w:val="32"/>
        </w:rPr>
        <w:t>。</w:t>
      </w:r>
    </w:p>
    <w:p w14:paraId="19D33839">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3.2025年3月26日，审计委员会以现场+通讯方式召开会议，审议通过以下议案：</w:t>
      </w:r>
    </w:p>
    <w:p w14:paraId="4D14D250">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w:t>
      </w:r>
      <w:r>
        <w:rPr>
          <w:rFonts w:hint="eastAsia" w:ascii="仿宋_GB2312" w:eastAsia="仿宋_GB2312"/>
          <w:sz w:val="32"/>
          <w:szCs w:val="32"/>
        </w:rPr>
        <w:t>公司2024年年度报告全文及摘要、H股业绩公告</w:t>
      </w:r>
      <w:r>
        <w:rPr>
          <w:rFonts w:hint="eastAsia" w:ascii="仿宋_GB2312" w:eastAsia="仿宋_GB2312" w:cs="Times New Roman"/>
          <w:kern w:val="2"/>
          <w:sz w:val="32"/>
          <w:szCs w:val="32"/>
        </w:rPr>
        <w:t>；</w:t>
      </w:r>
    </w:p>
    <w:p w14:paraId="08C51FF4">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w:t>
      </w:r>
      <w:r>
        <w:rPr>
          <w:rFonts w:hint="eastAsia" w:ascii="仿宋_GB2312" w:eastAsia="仿宋_GB2312"/>
          <w:sz w:val="32"/>
          <w:szCs w:val="32"/>
        </w:rPr>
        <w:t>公司2024年度经审计的财务报告</w:t>
      </w:r>
      <w:r>
        <w:rPr>
          <w:rFonts w:hint="eastAsia" w:ascii="仿宋_GB2312" w:eastAsia="仿宋_GB2312" w:cs="Times New Roman"/>
          <w:kern w:val="2"/>
          <w:sz w:val="32"/>
          <w:szCs w:val="32"/>
        </w:rPr>
        <w:t>；</w:t>
      </w:r>
    </w:p>
    <w:p w14:paraId="4A5BBEC9">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（3）</w:t>
      </w:r>
      <w:r>
        <w:rPr>
          <w:rFonts w:hint="eastAsia" w:ascii="仿宋_GB2312" w:eastAsia="仿宋_GB2312"/>
          <w:sz w:val="32"/>
          <w:szCs w:val="32"/>
        </w:rPr>
        <w:t>公司2024年度内部控制评价报告</w:t>
      </w:r>
      <w:r>
        <w:rPr>
          <w:rFonts w:hint="eastAsia" w:ascii="仿宋_GB2312" w:eastAsia="仿宋_GB2312" w:cs="Times New Roman"/>
          <w:kern w:val="2"/>
          <w:sz w:val="32"/>
          <w:szCs w:val="32"/>
        </w:rPr>
        <w:t>；</w:t>
      </w:r>
    </w:p>
    <w:p w14:paraId="5FCA42F6">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（4）</w:t>
      </w:r>
      <w:r>
        <w:rPr>
          <w:rFonts w:hint="eastAsia" w:ascii="仿宋_GB2312" w:eastAsia="仿宋_GB2312"/>
          <w:sz w:val="32"/>
          <w:szCs w:val="32"/>
        </w:rPr>
        <w:t>公司2024年度财务报告内部控制审计报告</w:t>
      </w:r>
      <w:r>
        <w:rPr>
          <w:rFonts w:hint="eastAsia" w:ascii="仿宋_GB2312" w:eastAsia="仿宋_GB2312" w:cs="Times New Roman"/>
          <w:kern w:val="2"/>
          <w:sz w:val="32"/>
          <w:szCs w:val="32"/>
        </w:rPr>
        <w:t>；</w:t>
      </w:r>
    </w:p>
    <w:p w14:paraId="7EE0EDDF">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（5）</w:t>
      </w:r>
      <w:r>
        <w:rPr>
          <w:rFonts w:hint="eastAsia" w:ascii="仿宋_GB2312" w:eastAsia="仿宋_GB2312"/>
          <w:sz w:val="32"/>
          <w:szCs w:val="32"/>
        </w:rPr>
        <w:t>公司2024年度社会责任报告</w:t>
      </w:r>
      <w:r>
        <w:rPr>
          <w:rFonts w:hint="eastAsia" w:ascii="仿宋_GB2312" w:eastAsia="仿宋_GB2312" w:cs="Times New Roman"/>
          <w:kern w:val="2"/>
          <w:sz w:val="32"/>
          <w:szCs w:val="32"/>
        </w:rPr>
        <w:t>；</w:t>
      </w:r>
    </w:p>
    <w:p w14:paraId="18DC10BB">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（6）</w:t>
      </w:r>
      <w:r>
        <w:rPr>
          <w:rFonts w:hint="eastAsia" w:ascii="仿宋_GB2312" w:eastAsia="仿宋_GB2312" w:cs="Times New Roman"/>
          <w:kern w:val="2"/>
          <w:sz w:val="32"/>
          <w:szCs w:val="32"/>
          <w:lang w:val="en-US" w:eastAsia="zh-CN"/>
        </w:rPr>
        <w:t>关于</w:t>
      </w:r>
      <w:r>
        <w:rPr>
          <w:rFonts w:hint="eastAsia" w:ascii="仿宋_GB2312" w:eastAsia="仿宋_GB2312" w:cs="Times New Roman"/>
          <w:kern w:val="2"/>
          <w:sz w:val="32"/>
          <w:szCs w:val="32"/>
        </w:rPr>
        <w:t>公司H股需披露的《企业管治报告》（草案），并授权董事会秘书负责后续审核修改《企业管治报告》的议案；</w:t>
      </w:r>
    </w:p>
    <w:p w14:paraId="5C8795C4">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（7）关于</w:t>
      </w:r>
      <w:r>
        <w:rPr>
          <w:rFonts w:hint="eastAsia" w:ascii="仿宋_GB2312" w:eastAsia="仿宋_GB2312"/>
          <w:sz w:val="32"/>
          <w:szCs w:val="32"/>
        </w:rPr>
        <w:t>公司2024年《社会、环境及管治报告》（草案），并授权董事会秘书负责后续审核修改2024年《社会、环境及管治报告》的议案</w:t>
      </w:r>
      <w:r>
        <w:rPr>
          <w:rFonts w:hint="eastAsia" w:ascii="仿宋_GB2312" w:eastAsia="仿宋_GB2312" w:cs="Times New Roman"/>
          <w:kern w:val="2"/>
          <w:sz w:val="32"/>
          <w:szCs w:val="32"/>
        </w:rPr>
        <w:t>；</w:t>
      </w:r>
    </w:p>
    <w:p w14:paraId="1A0525B7">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（8）关于</w:t>
      </w:r>
      <w:r>
        <w:rPr>
          <w:rFonts w:hint="eastAsia" w:ascii="仿宋_GB2312" w:eastAsia="仿宋_GB2312"/>
          <w:sz w:val="32"/>
          <w:szCs w:val="32"/>
        </w:rPr>
        <w:t>董事会审计委员会2024年度履职情况的议案</w:t>
      </w:r>
      <w:r>
        <w:rPr>
          <w:rFonts w:hint="eastAsia" w:ascii="仿宋_GB2312" w:eastAsia="仿宋_GB2312" w:cs="Times New Roman"/>
          <w:kern w:val="2"/>
          <w:sz w:val="32"/>
          <w:szCs w:val="32"/>
        </w:rPr>
        <w:t>；</w:t>
      </w:r>
    </w:p>
    <w:p w14:paraId="12D3AC35">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（9）关于</w:t>
      </w:r>
      <w:r>
        <w:rPr>
          <w:rFonts w:hint="eastAsia" w:ascii="仿宋_GB2312" w:eastAsia="仿宋_GB2312"/>
          <w:sz w:val="32"/>
          <w:szCs w:val="32"/>
        </w:rPr>
        <w:t>支付大信会计师事务所（特殊普通合伙）2024年度财务报表审计及内部控制审计费用的议案</w:t>
      </w:r>
      <w:r>
        <w:rPr>
          <w:rFonts w:hint="eastAsia" w:ascii="仿宋_GB2312" w:eastAsia="仿宋_GB2312" w:cs="Times New Roman"/>
          <w:kern w:val="2"/>
          <w:sz w:val="32"/>
          <w:szCs w:val="32"/>
        </w:rPr>
        <w:t>；</w:t>
      </w:r>
    </w:p>
    <w:p w14:paraId="6F9D5384">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（10）</w:t>
      </w:r>
      <w:r>
        <w:rPr>
          <w:rFonts w:hint="eastAsia" w:ascii="仿宋_GB2312" w:eastAsia="仿宋_GB2312"/>
          <w:sz w:val="32"/>
          <w:szCs w:val="32"/>
        </w:rPr>
        <w:t>关于聘任2025年度审计机构的议案</w:t>
      </w:r>
      <w:r>
        <w:rPr>
          <w:rFonts w:hint="eastAsia" w:ascii="仿宋_GB2312" w:eastAsia="仿宋_GB2312" w:cs="Times New Roman"/>
          <w:kern w:val="2"/>
          <w:sz w:val="32"/>
          <w:szCs w:val="32"/>
        </w:rPr>
        <w:t>；</w:t>
      </w:r>
    </w:p>
    <w:p w14:paraId="311D1FD2">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（11）</w:t>
      </w:r>
      <w:r>
        <w:rPr>
          <w:rFonts w:hint="eastAsia" w:ascii="仿宋_GB2312" w:eastAsia="仿宋_GB2312"/>
          <w:sz w:val="32"/>
          <w:szCs w:val="32"/>
        </w:rPr>
        <w:t>关于董事会审计委员会对大信会计师事务所（特殊普通合伙）履行监督职责情况的报告的议案</w:t>
      </w:r>
      <w:r>
        <w:rPr>
          <w:rFonts w:hint="eastAsia" w:ascii="仿宋_GB2312" w:eastAsia="仿宋_GB2312" w:cs="Times New Roman"/>
          <w:kern w:val="2"/>
          <w:sz w:val="32"/>
          <w:szCs w:val="32"/>
        </w:rPr>
        <w:t>；</w:t>
      </w:r>
    </w:p>
    <w:p w14:paraId="603FE8CE">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（12）关于公司对大信会计师事务所（特殊普通合伙）履职情况评估报告的议案；</w:t>
      </w:r>
    </w:p>
    <w:p w14:paraId="7B82BEC9">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（13）</w:t>
      </w:r>
      <w:r>
        <w:rPr>
          <w:rFonts w:hint="eastAsia" w:ascii="仿宋_GB2312" w:eastAsia="仿宋_GB2312"/>
          <w:sz w:val="32"/>
          <w:szCs w:val="32"/>
        </w:rPr>
        <w:t>公司2025年度审计计划的议案</w:t>
      </w:r>
      <w:r>
        <w:rPr>
          <w:rFonts w:hint="eastAsia" w:ascii="仿宋_GB2312" w:eastAsia="仿宋_GB2312" w:cs="Times New Roman"/>
          <w:kern w:val="2"/>
          <w:sz w:val="32"/>
          <w:szCs w:val="32"/>
        </w:rPr>
        <w:t>；</w:t>
      </w:r>
    </w:p>
    <w:p w14:paraId="2969E943">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（14）</w:t>
      </w:r>
      <w:r>
        <w:rPr>
          <w:rFonts w:hint="eastAsia" w:ascii="仿宋_GB2312" w:eastAsia="仿宋_GB2312"/>
          <w:sz w:val="32"/>
          <w:szCs w:val="32"/>
        </w:rPr>
        <w:t>公司2025年内部控制评价工作方案的议案</w:t>
      </w:r>
      <w:r>
        <w:rPr>
          <w:rFonts w:hint="eastAsia" w:ascii="仿宋_GB2312" w:eastAsia="仿宋_GB2312" w:cs="Times New Roman"/>
          <w:kern w:val="2"/>
          <w:sz w:val="32"/>
          <w:szCs w:val="32"/>
        </w:rPr>
        <w:t>；</w:t>
      </w:r>
    </w:p>
    <w:p w14:paraId="43C67A23">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（15）</w:t>
      </w:r>
      <w:r>
        <w:rPr>
          <w:rFonts w:hint="eastAsia" w:ascii="仿宋_GB2312" w:eastAsia="仿宋_GB2312"/>
          <w:sz w:val="32"/>
          <w:szCs w:val="32"/>
        </w:rPr>
        <w:t>关于公司2024年度募集资金存放与使用情况内部审计报告的议案</w:t>
      </w:r>
      <w:r>
        <w:rPr>
          <w:rFonts w:hint="eastAsia" w:ascii="仿宋_GB2312" w:eastAsia="仿宋_GB2312" w:cs="Times New Roman"/>
          <w:kern w:val="2"/>
          <w:sz w:val="32"/>
          <w:szCs w:val="32"/>
        </w:rPr>
        <w:t>；</w:t>
      </w:r>
    </w:p>
    <w:p w14:paraId="02030050">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（16）</w:t>
      </w:r>
      <w:r>
        <w:rPr>
          <w:rFonts w:hint="eastAsia" w:ascii="仿宋_GB2312" w:eastAsia="仿宋_GB2312"/>
          <w:sz w:val="32"/>
          <w:szCs w:val="32"/>
        </w:rPr>
        <w:t>关于公司2024年度募集资金存放与使用情况的专项报告的议案</w:t>
      </w:r>
      <w:r>
        <w:rPr>
          <w:rFonts w:hint="eastAsia" w:ascii="仿宋_GB2312" w:eastAsia="仿宋_GB2312" w:cs="Times New Roman"/>
          <w:kern w:val="2"/>
          <w:sz w:val="32"/>
          <w:szCs w:val="32"/>
        </w:rPr>
        <w:t>；</w:t>
      </w:r>
    </w:p>
    <w:p w14:paraId="20370BB2">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（17）</w:t>
      </w:r>
      <w:r>
        <w:rPr>
          <w:rFonts w:hint="eastAsia" w:ascii="仿宋_GB2312" w:eastAsia="仿宋_GB2312" w:cs="Times New Roman"/>
          <w:kern w:val="2"/>
          <w:sz w:val="32"/>
          <w:szCs w:val="32"/>
          <w:lang w:val="en-US" w:eastAsia="zh-CN"/>
        </w:rPr>
        <w:t>关于</w:t>
      </w:r>
      <w:r>
        <w:rPr>
          <w:rFonts w:hint="eastAsia" w:ascii="仿宋_GB2312" w:eastAsia="仿宋_GB2312"/>
          <w:sz w:val="32"/>
          <w:szCs w:val="32"/>
        </w:rPr>
        <w:t>公司2024年度不进行利润分配的议案</w:t>
      </w:r>
      <w:r>
        <w:rPr>
          <w:rFonts w:hint="eastAsia" w:ascii="仿宋_GB2312" w:eastAsia="仿宋_GB2312" w:cs="Times New Roman"/>
          <w:kern w:val="2"/>
          <w:sz w:val="32"/>
          <w:szCs w:val="32"/>
        </w:rPr>
        <w:t>；</w:t>
      </w:r>
    </w:p>
    <w:p w14:paraId="708B7CAC">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（18）</w:t>
      </w:r>
      <w:r>
        <w:rPr>
          <w:rFonts w:hint="eastAsia" w:ascii="仿宋_GB2312" w:eastAsia="仿宋_GB2312" w:cs="Times New Roman"/>
          <w:kern w:val="2"/>
          <w:sz w:val="32"/>
          <w:szCs w:val="32"/>
          <w:lang w:val="en-US" w:eastAsia="zh-CN"/>
        </w:rPr>
        <w:t>关于</w:t>
      </w:r>
      <w:r>
        <w:rPr>
          <w:rFonts w:hint="eastAsia" w:ascii="仿宋_GB2312" w:eastAsia="仿宋_GB2312"/>
          <w:sz w:val="32"/>
          <w:szCs w:val="32"/>
        </w:rPr>
        <w:t>公司2024年度计提减值准备的议案</w:t>
      </w:r>
      <w:r>
        <w:rPr>
          <w:rFonts w:hint="eastAsia" w:ascii="仿宋_GB2312" w:eastAsia="仿宋_GB2312" w:cs="Times New Roman"/>
          <w:kern w:val="2"/>
          <w:sz w:val="32"/>
          <w:szCs w:val="32"/>
        </w:rPr>
        <w:t>；</w:t>
      </w:r>
    </w:p>
    <w:p w14:paraId="710A46BE">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（19）</w:t>
      </w:r>
      <w:r>
        <w:rPr>
          <w:rFonts w:hint="eastAsia" w:ascii="仿宋_GB2312" w:eastAsia="仿宋_GB2312" w:cs="Times New Roman"/>
          <w:kern w:val="2"/>
          <w:sz w:val="32"/>
          <w:szCs w:val="32"/>
          <w:lang w:val="en-US" w:eastAsia="zh-CN"/>
        </w:rPr>
        <w:t>关于</w:t>
      </w:r>
      <w:r>
        <w:rPr>
          <w:rFonts w:hint="eastAsia" w:ascii="仿宋_GB2312" w:eastAsia="仿宋_GB2312"/>
          <w:sz w:val="32"/>
          <w:szCs w:val="32"/>
        </w:rPr>
        <w:t>公司2025年度融资担保计划的议案</w:t>
      </w:r>
      <w:r>
        <w:rPr>
          <w:rFonts w:hint="eastAsia" w:ascii="仿宋_GB2312" w:eastAsia="仿宋_GB2312" w:cs="Times New Roman"/>
          <w:kern w:val="2"/>
          <w:sz w:val="32"/>
          <w:szCs w:val="32"/>
        </w:rPr>
        <w:t>；</w:t>
      </w:r>
    </w:p>
    <w:p w14:paraId="55A70716">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（20）</w:t>
      </w:r>
      <w:r>
        <w:rPr>
          <w:rFonts w:hint="eastAsia" w:ascii="仿宋_GB2312" w:eastAsia="仿宋_GB2312"/>
          <w:sz w:val="32"/>
          <w:szCs w:val="32"/>
        </w:rPr>
        <w:t>关于青岛北洋天青数联智能有限公司2024年度业绩承诺完成的议案</w:t>
      </w:r>
      <w:r>
        <w:rPr>
          <w:rFonts w:hint="eastAsia" w:ascii="仿宋_GB2312" w:eastAsia="仿宋_GB2312" w:cs="Times New Roman"/>
          <w:kern w:val="2"/>
          <w:sz w:val="32"/>
          <w:szCs w:val="32"/>
        </w:rPr>
        <w:t>；</w:t>
      </w:r>
    </w:p>
    <w:p w14:paraId="2EF4B8D0">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（21）</w:t>
      </w:r>
      <w:r>
        <w:rPr>
          <w:rFonts w:hint="eastAsia" w:ascii="仿宋_GB2312" w:eastAsia="仿宋_GB2312" w:cs="Times New Roman"/>
          <w:kern w:val="2"/>
          <w:sz w:val="32"/>
          <w:szCs w:val="32"/>
          <w:lang w:val="en-US" w:eastAsia="zh-CN"/>
        </w:rPr>
        <w:t>关于</w:t>
      </w:r>
      <w:r>
        <w:rPr>
          <w:rFonts w:hint="eastAsia" w:ascii="仿宋_GB2312" w:eastAsia="仿宋_GB2312"/>
          <w:sz w:val="32"/>
          <w:szCs w:val="32"/>
        </w:rPr>
        <w:t>公司发行股份及支付现金购买资产业绩承诺期满减值测试报告的议案</w:t>
      </w:r>
      <w:r>
        <w:rPr>
          <w:rFonts w:hint="eastAsia" w:ascii="仿宋_GB2312" w:eastAsia="仿宋_GB2312" w:cs="Times New Roman"/>
          <w:kern w:val="2"/>
          <w:sz w:val="32"/>
          <w:szCs w:val="32"/>
        </w:rPr>
        <w:t>；</w:t>
      </w:r>
    </w:p>
    <w:p w14:paraId="3BE5A918">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（22）</w:t>
      </w:r>
      <w:r>
        <w:rPr>
          <w:rFonts w:hint="eastAsia" w:ascii="仿宋_GB2312" w:eastAsia="仿宋_GB2312" w:cs="Times New Roman"/>
          <w:kern w:val="2"/>
          <w:sz w:val="32"/>
          <w:szCs w:val="32"/>
          <w:lang w:val="en-US" w:eastAsia="zh-CN"/>
        </w:rPr>
        <w:t>关于</w:t>
      </w:r>
      <w:r>
        <w:rPr>
          <w:rFonts w:hint="eastAsia" w:ascii="仿宋_GB2312" w:eastAsia="仿宋_GB2312"/>
          <w:sz w:val="32"/>
          <w:szCs w:val="32"/>
        </w:rPr>
        <w:t>会计政策变更的议案</w:t>
      </w:r>
      <w:r>
        <w:rPr>
          <w:rFonts w:hint="eastAsia" w:ascii="仿宋_GB2312" w:eastAsia="仿宋_GB2312" w:cs="Times New Roman"/>
          <w:kern w:val="2"/>
          <w:sz w:val="32"/>
          <w:szCs w:val="32"/>
        </w:rPr>
        <w:t>；</w:t>
      </w:r>
    </w:p>
    <w:p w14:paraId="3739217D">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（23）</w:t>
      </w:r>
      <w:r>
        <w:rPr>
          <w:rFonts w:hint="eastAsia" w:ascii="仿宋_GB2312" w:eastAsia="仿宋_GB2312" w:cs="Times New Roman"/>
          <w:kern w:val="2"/>
          <w:sz w:val="32"/>
          <w:szCs w:val="32"/>
          <w:lang w:val="en-US" w:eastAsia="zh-CN"/>
        </w:rPr>
        <w:t>关于</w:t>
      </w:r>
      <w:r>
        <w:rPr>
          <w:rFonts w:hint="eastAsia" w:ascii="仿宋_GB2312" w:eastAsia="仿宋_GB2312"/>
          <w:sz w:val="32"/>
          <w:szCs w:val="32"/>
        </w:rPr>
        <w:t>公司2025年度经营计划</w:t>
      </w:r>
      <w:r>
        <w:rPr>
          <w:rFonts w:hint="eastAsia" w:ascii="仿宋_GB2312" w:eastAsia="仿宋_GB2312" w:cs="Times New Roman"/>
          <w:kern w:val="2"/>
          <w:sz w:val="32"/>
          <w:szCs w:val="32"/>
        </w:rPr>
        <w:t>；</w:t>
      </w:r>
    </w:p>
    <w:p w14:paraId="067CA222">
      <w:pPr>
        <w:widowControl w:val="0"/>
        <w:tabs>
          <w:tab w:val="left" w:pos="1080"/>
        </w:tabs>
        <w:spacing w:line="520" w:lineRule="exact"/>
        <w:ind w:firstLine="640" w:firstLineChars="200"/>
        <w:jc w:val="both"/>
        <w:rPr>
          <w:rFonts w:hint="eastAsia" w:ascii="仿宋_GB2312" w:eastAsia="仿宋_GB2312"/>
          <w:sz w:val="32"/>
          <w:szCs w:val="32"/>
          <w:lang w:eastAsia="zh-CN"/>
        </w:rPr>
      </w:pPr>
      <w:r>
        <w:rPr>
          <w:rFonts w:hint="eastAsia" w:ascii="仿宋_GB2312" w:eastAsia="仿宋_GB2312" w:cs="Times New Roman"/>
          <w:kern w:val="2"/>
          <w:sz w:val="32"/>
          <w:szCs w:val="32"/>
        </w:rPr>
        <w:t>（24）</w:t>
      </w:r>
      <w:r>
        <w:rPr>
          <w:rFonts w:hint="eastAsia" w:ascii="仿宋_GB2312" w:eastAsia="仿宋_GB2312" w:cs="Times New Roman"/>
          <w:kern w:val="2"/>
          <w:sz w:val="32"/>
          <w:szCs w:val="32"/>
          <w:lang w:val="en-US" w:eastAsia="zh-CN"/>
        </w:rPr>
        <w:t>关于</w:t>
      </w:r>
      <w:r>
        <w:rPr>
          <w:rFonts w:hint="eastAsia" w:ascii="仿宋_GB2312" w:eastAsia="仿宋_GB2312"/>
          <w:sz w:val="32"/>
          <w:szCs w:val="32"/>
        </w:rPr>
        <w:t>公司2025年度重点研发计划</w:t>
      </w:r>
      <w:r>
        <w:rPr>
          <w:rFonts w:hint="eastAsia" w:ascii="仿宋_GB2312" w:eastAsia="仿宋_GB2312"/>
          <w:sz w:val="32"/>
          <w:szCs w:val="32"/>
          <w:lang w:eastAsia="zh-CN"/>
        </w:rPr>
        <w:t>；</w:t>
      </w:r>
    </w:p>
    <w:p w14:paraId="00CF8D4F">
      <w:pPr>
        <w:widowControl w:val="0"/>
        <w:tabs>
          <w:tab w:val="left" w:pos="1080"/>
        </w:tabs>
        <w:spacing w:line="52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25</w:t>
      </w:r>
      <w:r>
        <w:rPr>
          <w:rFonts w:hint="eastAsia" w:ascii="仿宋_GB2312" w:eastAsia="仿宋_GB2312"/>
          <w:sz w:val="32"/>
          <w:szCs w:val="32"/>
          <w:lang w:eastAsia="zh-CN"/>
        </w:rPr>
        <w:t>）</w:t>
      </w:r>
      <w:r>
        <w:rPr>
          <w:rFonts w:hint="eastAsia" w:ascii="仿宋_GB2312" w:eastAsia="仿宋_GB2312"/>
          <w:sz w:val="32"/>
          <w:szCs w:val="32"/>
          <w:lang w:val="en-US" w:eastAsia="zh-CN"/>
        </w:rPr>
        <w:t>关于提交公司2024年度股东周年大会批准授权董事会在不超过已发行H股股本总面值的20%发行H股新股的议案；</w:t>
      </w:r>
    </w:p>
    <w:p w14:paraId="6B337C63">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sz w:val="32"/>
          <w:szCs w:val="32"/>
          <w:lang w:val="en-US" w:eastAsia="zh-CN"/>
        </w:rPr>
        <w:t>（26）关于公司下属公司天津天海以抵押方式向建设银行天津分行申请银行承兑汇票及流动资金贷款的议案</w:t>
      </w:r>
      <w:r>
        <w:rPr>
          <w:rFonts w:hint="eastAsia" w:ascii="仿宋_GB2312" w:eastAsia="仿宋_GB2312" w:cs="Times New Roman"/>
          <w:kern w:val="2"/>
          <w:sz w:val="32"/>
          <w:szCs w:val="32"/>
        </w:rPr>
        <w:t>。</w:t>
      </w:r>
    </w:p>
    <w:p w14:paraId="7D7CED2D">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4.2025年4月27日，审计委员会召开通讯会议，审议通过2024年下半年募集资金使用等情况检查报告。</w:t>
      </w:r>
    </w:p>
    <w:p w14:paraId="50A5EF90">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5.2025年4月28日，审计委员会以现场+通讯方式召开会议，审议通过关于公司2025年第一季度报告的议案。</w:t>
      </w:r>
    </w:p>
    <w:p w14:paraId="711445D6">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6.2025年6月23日，审计委员会以现场+通讯方式召开会议，审议通过</w:t>
      </w:r>
      <w:r>
        <w:rPr>
          <w:rFonts w:hint="eastAsia" w:ascii="仿宋_GB2312" w:eastAsia="仿宋_GB2312"/>
          <w:sz w:val="32"/>
          <w:szCs w:val="32"/>
        </w:rPr>
        <w:t>关于北京天海氢能装备有限公司增资扩股项目的议案</w:t>
      </w:r>
      <w:r>
        <w:rPr>
          <w:rFonts w:hint="eastAsia" w:ascii="仿宋_GB2312" w:eastAsia="仿宋_GB2312" w:cs="Times New Roman"/>
          <w:kern w:val="2"/>
          <w:sz w:val="32"/>
          <w:szCs w:val="32"/>
        </w:rPr>
        <w:t>。</w:t>
      </w:r>
    </w:p>
    <w:p w14:paraId="71BC7610">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7.2025年8月15日，审计委员会以现场+通讯方式召开会议，审议通过以下议案：</w:t>
      </w:r>
    </w:p>
    <w:p w14:paraId="0698CC40">
      <w:pPr>
        <w:widowControl w:val="0"/>
        <w:tabs>
          <w:tab w:val="left" w:pos="1080"/>
        </w:tabs>
        <w:spacing w:line="520" w:lineRule="exact"/>
        <w:ind w:firstLine="640" w:firstLineChars="200"/>
        <w:jc w:val="both"/>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lang w:val="en-US" w:eastAsia="zh-CN"/>
        </w:rPr>
        <w:t>1</w:t>
      </w:r>
      <w:r>
        <w:rPr>
          <w:rFonts w:hint="eastAsia" w:ascii="仿宋_GB2312" w:eastAsia="仿宋_GB2312" w:cs="Times New Roman"/>
          <w:kern w:val="2"/>
          <w:sz w:val="32"/>
          <w:szCs w:val="32"/>
          <w:lang w:eastAsia="zh-CN"/>
        </w:rPr>
        <w:t>）关于公司2025年A股半年报全文及摘要、H股业绩公告的议案；</w:t>
      </w:r>
    </w:p>
    <w:p w14:paraId="1F1DBB8F">
      <w:pPr>
        <w:widowControl w:val="0"/>
        <w:tabs>
          <w:tab w:val="left" w:pos="1080"/>
        </w:tabs>
        <w:spacing w:line="520" w:lineRule="exact"/>
        <w:ind w:firstLine="640" w:firstLineChars="200"/>
        <w:jc w:val="both"/>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lang w:val="en-US" w:eastAsia="zh-CN"/>
        </w:rPr>
        <w:t>2</w:t>
      </w:r>
      <w:r>
        <w:rPr>
          <w:rFonts w:hint="eastAsia" w:ascii="仿宋_GB2312" w:eastAsia="仿宋_GB2312" w:cs="Times New Roman"/>
          <w:kern w:val="2"/>
          <w:sz w:val="32"/>
          <w:szCs w:val="32"/>
          <w:lang w:eastAsia="zh-CN"/>
        </w:rPr>
        <w:t>）关于北京京城机电股份有限公司2025年半年度募集资金存放与使用情况的专项报告的议案；</w:t>
      </w:r>
    </w:p>
    <w:p w14:paraId="3FE085C2">
      <w:pPr>
        <w:widowControl w:val="0"/>
        <w:tabs>
          <w:tab w:val="left" w:pos="1080"/>
        </w:tabs>
        <w:spacing w:line="520" w:lineRule="exact"/>
        <w:ind w:firstLine="640" w:firstLineChars="200"/>
        <w:jc w:val="both"/>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lang w:val="en-US" w:eastAsia="zh-CN"/>
        </w:rPr>
        <w:t>3</w:t>
      </w:r>
      <w:r>
        <w:rPr>
          <w:rFonts w:hint="eastAsia" w:ascii="仿宋_GB2312" w:eastAsia="仿宋_GB2312" w:cs="Times New Roman"/>
          <w:kern w:val="2"/>
          <w:sz w:val="32"/>
          <w:szCs w:val="32"/>
          <w:lang w:eastAsia="zh-CN"/>
        </w:rPr>
        <w:t>）关于《公司2025年半年度募集资金存放与使用情况内部审计报告》的议案；</w:t>
      </w:r>
    </w:p>
    <w:p w14:paraId="72B99391">
      <w:pPr>
        <w:widowControl w:val="0"/>
        <w:tabs>
          <w:tab w:val="left" w:pos="1080"/>
        </w:tabs>
        <w:spacing w:line="520" w:lineRule="exact"/>
        <w:ind w:firstLine="640" w:firstLineChars="200"/>
        <w:jc w:val="both"/>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lang w:val="en-US" w:eastAsia="zh-CN"/>
        </w:rPr>
        <w:t>4</w:t>
      </w:r>
      <w:r>
        <w:rPr>
          <w:rFonts w:hint="eastAsia" w:ascii="仿宋_GB2312" w:eastAsia="仿宋_GB2312" w:cs="Times New Roman"/>
          <w:kern w:val="2"/>
          <w:sz w:val="32"/>
          <w:szCs w:val="32"/>
          <w:lang w:eastAsia="zh-CN"/>
        </w:rPr>
        <w:t>）关于公司下属公司天津天海高压容器有限责任公司以抵押担保方式向浦发银行申请融资的议案；</w:t>
      </w:r>
    </w:p>
    <w:p w14:paraId="0BBF72CB">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lang w:val="en-US" w:eastAsia="zh-CN"/>
        </w:rPr>
        <w:t>5</w:t>
      </w:r>
      <w:r>
        <w:rPr>
          <w:rFonts w:hint="eastAsia" w:ascii="仿宋_GB2312" w:eastAsia="仿宋_GB2312" w:cs="Times New Roman"/>
          <w:kern w:val="2"/>
          <w:sz w:val="32"/>
          <w:szCs w:val="32"/>
          <w:lang w:eastAsia="zh-CN"/>
        </w:rPr>
        <w:t>）关于《2025年上半年募集资金使用等情况检查报告》的议案</w:t>
      </w:r>
      <w:r>
        <w:rPr>
          <w:rFonts w:hint="eastAsia" w:ascii="仿宋_GB2312" w:eastAsia="仿宋_GB2312" w:cs="Times New Roman"/>
          <w:kern w:val="2"/>
          <w:sz w:val="32"/>
          <w:szCs w:val="32"/>
        </w:rPr>
        <w:t>。</w:t>
      </w:r>
    </w:p>
    <w:p w14:paraId="67867036">
      <w:pPr>
        <w:widowControl w:val="0"/>
        <w:tabs>
          <w:tab w:val="left" w:pos="1080"/>
        </w:tabs>
        <w:spacing w:line="520" w:lineRule="exact"/>
        <w:ind w:firstLine="640" w:firstLineChars="200"/>
        <w:jc w:val="both"/>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rPr>
        <w:t>8.2025年8月29日，审计委员会以现场+通讯方式召开会议，审议通过关于北京天海氢能装备有限公司增资扩股引入投资者并签署交易协议的议案</w:t>
      </w:r>
      <w:r>
        <w:rPr>
          <w:rFonts w:hint="eastAsia" w:ascii="仿宋_GB2312" w:eastAsia="仿宋_GB2312" w:cs="Times New Roman"/>
          <w:kern w:val="2"/>
          <w:sz w:val="32"/>
          <w:szCs w:val="32"/>
          <w:lang w:eastAsia="zh-CN"/>
        </w:rPr>
        <w:t>。</w:t>
      </w:r>
    </w:p>
    <w:p w14:paraId="01ADBFD6">
      <w:pPr>
        <w:widowControl w:val="0"/>
        <w:tabs>
          <w:tab w:val="left" w:pos="1080"/>
        </w:tabs>
        <w:spacing w:line="52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9.2025年10月24日，审计委员会以现场+通讯方式召开会议，审议通过以下议案：</w:t>
      </w:r>
    </w:p>
    <w:p w14:paraId="73E9C3E4">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w:t>
      </w:r>
      <w:r>
        <w:rPr>
          <w:rFonts w:hint="eastAsia" w:ascii="仿宋_GB2312" w:eastAsia="仿宋_GB2312"/>
          <w:sz w:val="32"/>
          <w:szCs w:val="32"/>
        </w:rPr>
        <w:t>2025年度财务报告审计方案</w:t>
      </w:r>
      <w:r>
        <w:rPr>
          <w:rFonts w:hint="eastAsia" w:ascii="仿宋_GB2312" w:eastAsia="仿宋_GB2312" w:cs="Times New Roman"/>
          <w:kern w:val="2"/>
          <w:sz w:val="32"/>
          <w:szCs w:val="32"/>
        </w:rPr>
        <w:t>；</w:t>
      </w:r>
    </w:p>
    <w:p w14:paraId="7B7E61A9">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w:t>
      </w:r>
      <w:r>
        <w:rPr>
          <w:rFonts w:hint="eastAsia" w:ascii="仿宋_GB2312" w:hAnsi="宋体" w:eastAsia="仿宋_GB2312"/>
          <w:color w:val="000000"/>
          <w:kern w:val="2"/>
          <w:sz w:val="32"/>
          <w:szCs w:val="32"/>
          <w:lang w:eastAsia="zh-CN"/>
        </w:rPr>
        <w:t>2025年度财务报告内部控制审计方案</w:t>
      </w:r>
      <w:r>
        <w:rPr>
          <w:rFonts w:hint="eastAsia" w:ascii="仿宋_GB2312" w:eastAsia="仿宋_GB2312" w:cs="Times New Roman"/>
          <w:kern w:val="2"/>
          <w:sz w:val="32"/>
          <w:szCs w:val="32"/>
        </w:rPr>
        <w:t>。</w:t>
      </w:r>
    </w:p>
    <w:p w14:paraId="175837D3">
      <w:pPr>
        <w:widowControl w:val="0"/>
        <w:tabs>
          <w:tab w:val="left" w:pos="1080"/>
        </w:tabs>
        <w:spacing w:line="520" w:lineRule="exact"/>
        <w:ind w:firstLine="640" w:firstLineChars="20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10.2025年10月30日，审计委员会以现场+通讯方式召开会议，审议通过关于公司2025年第三季度报告的议案。</w:t>
      </w:r>
    </w:p>
    <w:p w14:paraId="7C610CC5">
      <w:pPr>
        <w:widowControl w:val="0"/>
        <w:tabs>
          <w:tab w:val="left" w:pos="1080"/>
        </w:tabs>
        <w:spacing w:line="520" w:lineRule="exact"/>
        <w:ind w:firstLine="640" w:firstLineChars="200"/>
        <w:jc w:val="both"/>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rPr>
        <w:t>1</w:t>
      </w:r>
      <w:r>
        <w:rPr>
          <w:rFonts w:hint="eastAsia" w:ascii="仿宋_GB2312" w:eastAsia="仿宋_GB2312" w:cs="Times New Roman"/>
          <w:kern w:val="2"/>
          <w:sz w:val="32"/>
          <w:szCs w:val="32"/>
          <w:lang w:val="en-US" w:eastAsia="zh-CN"/>
        </w:rPr>
        <w:t>1</w:t>
      </w:r>
      <w:r>
        <w:rPr>
          <w:rFonts w:hint="eastAsia" w:ascii="仿宋_GB2312" w:eastAsia="仿宋_GB2312" w:cs="Times New Roman"/>
          <w:kern w:val="2"/>
          <w:sz w:val="32"/>
          <w:szCs w:val="32"/>
        </w:rPr>
        <w:t>.2025年12月12日，审计委员会以现场+通讯方式召开会议，审议通过关于修订《董事会审计委员会工作细则》的议案</w:t>
      </w:r>
      <w:r>
        <w:rPr>
          <w:rFonts w:hint="eastAsia" w:ascii="仿宋_GB2312" w:eastAsia="仿宋_GB2312" w:cs="Times New Roman"/>
          <w:kern w:val="2"/>
          <w:sz w:val="32"/>
          <w:szCs w:val="32"/>
          <w:lang w:eastAsia="zh-CN"/>
        </w:rPr>
        <w:t>。</w:t>
      </w:r>
    </w:p>
    <w:p w14:paraId="2C3B73CF">
      <w:pPr>
        <w:widowControl w:val="0"/>
        <w:tabs>
          <w:tab w:val="left" w:pos="1080"/>
        </w:tabs>
        <w:spacing w:line="520" w:lineRule="exact"/>
        <w:ind w:firstLine="640" w:firstLineChars="200"/>
        <w:jc w:val="both"/>
        <w:rPr>
          <w:rFonts w:ascii="黑体" w:hAnsi="黑体" w:eastAsia="黑体" w:cs="Times New Roman"/>
          <w:kern w:val="2"/>
          <w:sz w:val="32"/>
          <w:szCs w:val="32"/>
        </w:rPr>
      </w:pPr>
      <w:r>
        <w:rPr>
          <w:rFonts w:hint="eastAsia" w:ascii="黑体" w:hAnsi="黑体" w:eastAsia="黑体" w:cs="Times New Roman"/>
          <w:kern w:val="2"/>
          <w:sz w:val="32"/>
          <w:szCs w:val="32"/>
        </w:rPr>
        <w:t>三、审计委员会202</w:t>
      </w:r>
      <w:r>
        <w:rPr>
          <w:rFonts w:hint="eastAsia" w:ascii="黑体" w:hAnsi="黑体" w:eastAsia="黑体" w:cs="Times New Roman"/>
          <w:kern w:val="2"/>
          <w:sz w:val="32"/>
          <w:szCs w:val="32"/>
          <w:lang w:val="en-US" w:eastAsia="zh-CN"/>
        </w:rPr>
        <w:t>5</w:t>
      </w:r>
      <w:r>
        <w:rPr>
          <w:rFonts w:hint="eastAsia" w:ascii="黑体" w:hAnsi="黑体" w:eastAsia="黑体" w:cs="Times New Roman"/>
          <w:kern w:val="2"/>
          <w:sz w:val="32"/>
          <w:szCs w:val="32"/>
        </w:rPr>
        <w:t>年度主要工作情况</w:t>
      </w:r>
    </w:p>
    <w:p w14:paraId="2CDFC895">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（一）监督及评估外部审计机构工作</w:t>
      </w:r>
    </w:p>
    <w:p w14:paraId="3307B768">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1.评估外部审计机构的独立性和专业性。</w:t>
      </w:r>
      <w:r>
        <w:rPr>
          <w:rFonts w:hint="eastAsia" w:ascii="仿宋_GB2312" w:eastAsia="仿宋_GB2312" w:cs="Times New Roman"/>
          <w:kern w:val="2"/>
          <w:sz w:val="32"/>
          <w:szCs w:val="32"/>
          <w:lang w:val="en-US" w:eastAsia="zh-CN"/>
        </w:rPr>
        <w:t>大信</w:t>
      </w:r>
      <w:r>
        <w:rPr>
          <w:rFonts w:hint="eastAsia" w:ascii="仿宋_GB2312" w:eastAsia="仿宋_GB2312" w:cs="Times New Roman"/>
          <w:kern w:val="2"/>
          <w:sz w:val="32"/>
          <w:szCs w:val="32"/>
        </w:rPr>
        <w:t>会计师事务所自聘任以来，能较好地完成公司委托的工作并遵循独立、客观、公正的职业准则。</w:t>
      </w:r>
    </w:p>
    <w:p w14:paraId="06D7BB27">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2.向董事会提出聘请外部审计机构的建议。经审计委员</w:t>
      </w:r>
      <w:r>
        <w:rPr>
          <w:rFonts w:hint="eastAsia" w:ascii="仿宋_GB2312" w:eastAsia="仿宋_GB2312" w:cs="Times New Roman"/>
          <w:kern w:val="2"/>
          <w:sz w:val="32"/>
          <w:szCs w:val="32"/>
          <w:lang w:val="en-US" w:eastAsia="zh-CN"/>
        </w:rPr>
        <w:t>会</w:t>
      </w:r>
      <w:r>
        <w:rPr>
          <w:rFonts w:hint="eastAsia" w:ascii="仿宋_GB2312" w:eastAsia="仿宋_GB2312" w:cs="Times New Roman"/>
          <w:kern w:val="2"/>
          <w:sz w:val="32"/>
          <w:szCs w:val="32"/>
        </w:rPr>
        <w:t>审议表决后，向公司董事会提议202</w:t>
      </w:r>
      <w:r>
        <w:rPr>
          <w:rFonts w:hint="eastAsia" w:ascii="仿宋_GB2312" w:eastAsia="仿宋_GB2312" w:cs="Times New Roman"/>
          <w:kern w:val="2"/>
          <w:sz w:val="32"/>
          <w:szCs w:val="32"/>
          <w:lang w:val="en-US" w:eastAsia="zh-CN"/>
        </w:rPr>
        <w:t>5</w:t>
      </w:r>
      <w:r>
        <w:rPr>
          <w:rFonts w:hint="eastAsia" w:ascii="仿宋_GB2312" w:eastAsia="仿宋_GB2312" w:cs="Times New Roman"/>
          <w:kern w:val="2"/>
          <w:sz w:val="32"/>
          <w:szCs w:val="32"/>
        </w:rPr>
        <w:t>年度</w:t>
      </w:r>
      <w:r>
        <w:rPr>
          <w:rFonts w:hint="eastAsia" w:ascii="仿宋_GB2312" w:eastAsia="仿宋_GB2312" w:cs="Times New Roman"/>
          <w:kern w:val="2"/>
          <w:sz w:val="32"/>
          <w:szCs w:val="32"/>
          <w:lang w:val="en-US" w:eastAsia="zh-CN"/>
        </w:rPr>
        <w:t>选聘</w:t>
      </w:r>
      <w:r>
        <w:rPr>
          <w:rFonts w:hint="eastAsia" w:ascii="仿宋_GB2312" w:eastAsia="仿宋_GB2312" w:cs="Times New Roman"/>
          <w:kern w:val="2"/>
          <w:sz w:val="32"/>
          <w:szCs w:val="32"/>
        </w:rPr>
        <w:t>大信会计师事务所作为外部审计单位。</w:t>
      </w:r>
    </w:p>
    <w:p w14:paraId="4C6C8547">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202</w:t>
      </w:r>
      <w:r>
        <w:rPr>
          <w:rFonts w:hint="eastAsia" w:ascii="仿宋_GB2312" w:eastAsia="仿宋_GB2312" w:cs="Times New Roman"/>
          <w:kern w:val="2"/>
          <w:sz w:val="32"/>
          <w:szCs w:val="32"/>
          <w:lang w:val="en-US" w:eastAsia="zh-CN"/>
        </w:rPr>
        <w:t>5</w:t>
      </w:r>
      <w:r>
        <w:rPr>
          <w:rFonts w:hint="eastAsia" w:ascii="仿宋_GB2312" w:eastAsia="仿宋_GB2312" w:cs="Times New Roman"/>
          <w:kern w:val="2"/>
          <w:sz w:val="32"/>
          <w:szCs w:val="32"/>
        </w:rPr>
        <w:t>年</w:t>
      </w:r>
      <w:r>
        <w:rPr>
          <w:rFonts w:hint="eastAsia" w:ascii="仿宋_GB2312" w:eastAsia="仿宋_GB2312" w:cs="Times New Roman"/>
          <w:kern w:val="2"/>
          <w:sz w:val="32"/>
          <w:szCs w:val="32"/>
          <w:lang w:val="en-US" w:eastAsia="zh-CN"/>
        </w:rPr>
        <w:t>3</w:t>
      </w:r>
      <w:r>
        <w:rPr>
          <w:rFonts w:hint="eastAsia" w:ascii="仿宋_GB2312" w:eastAsia="仿宋_GB2312" w:cs="Times New Roman"/>
          <w:kern w:val="2"/>
          <w:sz w:val="32"/>
          <w:szCs w:val="32"/>
        </w:rPr>
        <w:t>月</w:t>
      </w:r>
      <w:r>
        <w:rPr>
          <w:rFonts w:hint="eastAsia" w:ascii="仿宋_GB2312" w:eastAsia="仿宋_GB2312" w:cs="Times New Roman"/>
          <w:kern w:val="2"/>
          <w:sz w:val="32"/>
          <w:szCs w:val="32"/>
          <w:lang w:val="en-US" w:eastAsia="zh-CN"/>
        </w:rPr>
        <w:t>26</w:t>
      </w:r>
      <w:r>
        <w:rPr>
          <w:rFonts w:hint="eastAsia" w:ascii="仿宋_GB2312" w:eastAsia="仿宋_GB2312" w:cs="Times New Roman"/>
          <w:kern w:val="2"/>
          <w:sz w:val="32"/>
          <w:szCs w:val="32"/>
        </w:rPr>
        <w:t>日，审计委员会审议通过</w:t>
      </w:r>
      <w:r>
        <w:rPr>
          <w:rFonts w:hint="eastAsia" w:ascii="仿宋_GB2312" w:hAnsi="仿宋" w:eastAsia="仿宋_GB2312"/>
          <w:sz w:val="32"/>
          <w:szCs w:val="32"/>
        </w:rPr>
        <w:t>聘请大信会计师事务所（特殊普通合伙）作为202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年度财务报表审计及内部控制审计项目的审计机构</w:t>
      </w:r>
      <w:r>
        <w:rPr>
          <w:rFonts w:hint="eastAsia" w:ascii="仿宋_GB2312" w:eastAsia="仿宋_GB2312" w:cs="Times New Roman"/>
          <w:kern w:val="2"/>
          <w:sz w:val="32"/>
          <w:szCs w:val="32"/>
        </w:rPr>
        <w:t>的议案。</w:t>
      </w:r>
    </w:p>
    <w:p w14:paraId="0C154E81">
      <w:pPr>
        <w:widowControl w:val="0"/>
        <w:tabs>
          <w:tab w:val="left" w:pos="1080"/>
        </w:tabs>
        <w:spacing w:line="520" w:lineRule="exact"/>
        <w:ind w:firstLine="640" w:firstLineChars="200"/>
        <w:jc w:val="both"/>
        <w:rPr>
          <w:rFonts w:ascii="仿宋_GB2312" w:eastAsia="仿宋_GB2312" w:cs="Times New Roman"/>
          <w:kern w:val="2"/>
          <w:sz w:val="32"/>
          <w:szCs w:val="32"/>
          <w:highlight w:val="none"/>
        </w:rPr>
      </w:pPr>
      <w:r>
        <w:rPr>
          <w:rFonts w:hint="eastAsia" w:ascii="仿宋_GB2312" w:eastAsia="仿宋_GB2312" w:cs="Times New Roman"/>
          <w:kern w:val="2"/>
          <w:sz w:val="32"/>
          <w:szCs w:val="32"/>
          <w:highlight w:val="none"/>
        </w:rPr>
        <w:t>3.审核外部审计机构的审计费用。经审核，公司实际支付</w:t>
      </w:r>
      <w:r>
        <w:rPr>
          <w:rFonts w:hint="eastAsia" w:ascii="仿宋_GB2312" w:hAnsi="仿宋" w:eastAsia="仿宋_GB2312"/>
          <w:sz w:val="32"/>
          <w:szCs w:val="32"/>
          <w:highlight w:val="none"/>
        </w:rPr>
        <w:t>大信会计师事务所</w:t>
      </w:r>
      <w:r>
        <w:rPr>
          <w:rFonts w:hint="eastAsia" w:ascii="仿宋_GB2312" w:eastAsia="仿宋_GB2312" w:cs="Times New Roman"/>
          <w:kern w:val="2"/>
          <w:sz w:val="32"/>
          <w:szCs w:val="32"/>
          <w:highlight w:val="none"/>
        </w:rPr>
        <w:t>202</w:t>
      </w:r>
      <w:r>
        <w:rPr>
          <w:rFonts w:hint="eastAsia" w:ascii="仿宋_GB2312" w:eastAsia="仿宋_GB2312" w:cs="Times New Roman"/>
          <w:kern w:val="2"/>
          <w:sz w:val="32"/>
          <w:szCs w:val="32"/>
          <w:highlight w:val="none"/>
          <w:lang w:val="en-US" w:eastAsia="zh-CN"/>
        </w:rPr>
        <w:t>5</w:t>
      </w:r>
      <w:r>
        <w:rPr>
          <w:rFonts w:hint="eastAsia" w:ascii="仿宋_GB2312" w:eastAsia="仿宋_GB2312" w:cs="Times New Roman"/>
          <w:kern w:val="2"/>
          <w:sz w:val="32"/>
          <w:szCs w:val="32"/>
          <w:highlight w:val="none"/>
        </w:rPr>
        <w:t>年度审计费用，与公司所披露的审计费用相符。</w:t>
      </w:r>
    </w:p>
    <w:p w14:paraId="498EDAFA">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4.与外部审计机构的讨论和沟通。报告期内，审计委员会与</w:t>
      </w:r>
      <w:r>
        <w:rPr>
          <w:rFonts w:hint="eastAsia" w:ascii="仿宋_GB2312" w:hAnsi="仿宋" w:eastAsia="仿宋_GB2312"/>
          <w:sz w:val="32"/>
          <w:szCs w:val="32"/>
        </w:rPr>
        <w:t>大信会计师事务所</w:t>
      </w:r>
      <w:r>
        <w:rPr>
          <w:rFonts w:hint="eastAsia" w:ascii="仿宋_GB2312" w:eastAsia="仿宋_GB2312" w:cs="Times New Roman"/>
          <w:kern w:val="2"/>
          <w:sz w:val="32"/>
          <w:szCs w:val="32"/>
        </w:rPr>
        <w:t>就审计范围、审计计划、审计方法等事项，进行了充分讨论与沟通。</w:t>
      </w:r>
    </w:p>
    <w:p w14:paraId="167CCDC4">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5.监督和评估外部审计机构是否勤勉尽责。审计委员会认为</w:t>
      </w:r>
      <w:r>
        <w:rPr>
          <w:rFonts w:hint="eastAsia" w:ascii="仿宋_GB2312" w:hAnsi="仿宋" w:eastAsia="仿宋_GB2312"/>
          <w:sz w:val="32"/>
          <w:szCs w:val="32"/>
        </w:rPr>
        <w:t>大信会计师事务所</w:t>
      </w:r>
      <w:r>
        <w:rPr>
          <w:rFonts w:hint="eastAsia" w:ascii="仿宋_GB2312" w:eastAsia="仿宋_GB2312" w:cs="Times New Roman"/>
          <w:kern w:val="2"/>
          <w:sz w:val="32"/>
          <w:szCs w:val="32"/>
        </w:rPr>
        <w:t>审计期间勤勉尽责，遵循了独立、客观、公正的职业准则。</w:t>
      </w:r>
    </w:p>
    <w:p w14:paraId="07892666">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（二）指导内部审计工作</w:t>
      </w:r>
    </w:p>
    <w:p w14:paraId="5663DF2B">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报告期内，审计委员会认真审阅了内部审计计划，认可该计划的可行性，并督促内部审计机构严格按照计划执行。同时对内部审计工作提出了指导性意见。经审阅内部审计报告，审计委员会未发现内部审计工作存在重大问题的情况。</w:t>
      </w:r>
    </w:p>
    <w:p w14:paraId="7D634ADC">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（三）审阅上市公司财务报告并对其发表意见</w:t>
      </w:r>
    </w:p>
    <w:p w14:paraId="7798CC2E">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报告期内，审计委员会认真审阅了公司财务报告，认为财务报告是真实、完整和准确的，不存在相关欺诈、舞弊行为及重大错报情况，且不存在重大会计差错调整、重大会计政策及估计变更、涉及重要会计判断的事项、导致非标准无保留意见审计报告的事项。</w:t>
      </w:r>
    </w:p>
    <w:p w14:paraId="085F9281">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（四）评估内部控制的有效性</w:t>
      </w:r>
    </w:p>
    <w:p w14:paraId="43FE3DCE">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公司按照《公司法》《证券法》等法律法规和中国证监会、证券交易所有关规定，建立了较为完善的公司治理结构和治理制度。报告期内，公司严格执行各项法律</w:t>
      </w:r>
      <w:bookmarkStart w:id="0" w:name="_GoBack"/>
      <w:bookmarkEnd w:id="0"/>
      <w:r>
        <w:rPr>
          <w:rFonts w:hint="eastAsia" w:ascii="仿宋_GB2312" w:eastAsia="仿宋_GB2312" w:cs="Times New Roman"/>
          <w:kern w:val="2"/>
          <w:sz w:val="32"/>
          <w:szCs w:val="32"/>
        </w:rPr>
        <w:t>法规、规章、公司章程以及内部管理制度，股东大会、董事会、经营层规范运作，切实保障了公司和股东的合法权益。审计委员会认为公司内部控制运作情况符合有关上市公司治理规范的要求。</w:t>
      </w:r>
    </w:p>
    <w:p w14:paraId="4858563D">
      <w:pPr>
        <w:widowControl w:val="0"/>
        <w:tabs>
          <w:tab w:val="left" w:pos="1080"/>
        </w:tabs>
        <w:spacing w:line="520" w:lineRule="exact"/>
        <w:ind w:firstLine="640" w:firstLineChars="200"/>
        <w:jc w:val="both"/>
        <w:rPr>
          <w:rFonts w:ascii="黑体" w:hAnsi="黑体" w:eastAsia="黑体" w:cs="Times New Roman"/>
          <w:kern w:val="2"/>
          <w:sz w:val="32"/>
          <w:szCs w:val="32"/>
        </w:rPr>
      </w:pPr>
      <w:r>
        <w:rPr>
          <w:rFonts w:hint="eastAsia" w:ascii="黑体" w:hAnsi="黑体" w:eastAsia="黑体" w:cs="Times New Roman"/>
          <w:kern w:val="2"/>
          <w:sz w:val="32"/>
          <w:szCs w:val="32"/>
        </w:rPr>
        <w:t>四、总体评价</w:t>
      </w:r>
    </w:p>
    <w:p w14:paraId="1C03A2DD">
      <w:pPr>
        <w:widowControl w:val="0"/>
        <w:tabs>
          <w:tab w:val="left" w:pos="1080"/>
        </w:tabs>
        <w:spacing w:line="520" w:lineRule="exact"/>
        <w:ind w:firstLine="640" w:firstLineChars="200"/>
        <w:jc w:val="both"/>
        <w:rPr>
          <w:rFonts w:hint="eastAsia" w:ascii="仿宋_GB2312" w:eastAsia="仿宋_GB2312" w:cs="Times New Roman"/>
          <w:kern w:val="2"/>
          <w:sz w:val="32"/>
          <w:szCs w:val="32"/>
          <w:lang w:eastAsia="zh-CN"/>
        </w:rPr>
      </w:pPr>
      <w:r>
        <w:rPr>
          <w:rFonts w:hint="eastAsia" w:ascii="仿宋_GB2312" w:eastAsia="仿宋_GB2312" w:cs="Times New Roman"/>
          <w:kern w:val="2"/>
          <w:sz w:val="32"/>
          <w:szCs w:val="32"/>
        </w:rPr>
        <w:t>公司董事会审计委员会严格遵守《上市公司治理准则》《上海证券交易所上市公司自律监管指引》《上海证券交易所股票上市规则》及《公司章程》《董事会审计委员会工作细则》</w:t>
      </w:r>
      <w:r>
        <w:rPr>
          <w:rFonts w:hint="eastAsia" w:ascii="仿宋_GB2312" w:eastAsia="仿宋_GB2312" w:cs="Times New Roman"/>
          <w:kern w:val="2"/>
          <w:sz w:val="32"/>
          <w:szCs w:val="32"/>
          <w:lang w:val="en-US" w:eastAsia="zh-CN"/>
        </w:rPr>
        <w:t>等</w:t>
      </w:r>
      <w:r>
        <w:rPr>
          <w:rFonts w:hint="eastAsia" w:ascii="仿宋_GB2312" w:eastAsia="仿宋_GB2312" w:cs="Times New Roman"/>
          <w:kern w:val="2"/>
          <w:sz w:val="32"/>
          <w:szCs w:val="32"/>
        </w:rPr>
        <w:t>相关规定，充分发挥</w:t>
      </w:r>
      <w:r>
        <w:rPr>
          <w:rFonts w:hint="eastAsia" w:ascii="仿宋_GB2312" w:eastAsia="仿宋_GB2312" w:cs="Times New Roman"/>
          <w:kern w:val="2"/>
          <w:sz w:val="32"/>
          <w:szCs w:val="32"/>
          <w:lang w:val="en-US" w:eastAsia="zh-CN"/>
        </w:rPr>
        <w:t>监督职能</w:t>
      </w:r>
      <w:r>
        <w:rPr>
          <w:rFonts w:hint="eastAsia" w:ascii="仿宋_GB2312" w:eastAsia="仿宋_GB2312" w:cs="Times New Roman"/>
          <w:kern w:val="2"/>
          <w:sz w:val="32"/>
          <w:szCs w:val="32"/>
          <w:lang w:eastAsia="zh-CN"/>
        </w:rPr>
        <w:t>，对会计师事务所相关资质和执业能力等进行了审查，在年报审计期间与会计师事务所进行了充分的讨论和沟通，督促会计师事务所及时、准确、客观、公正地出具审计报告，切实履行了审计委员会对会计师事务所的监督职责。</w:t>
      </w:r>
    </w:p>
    <w:p w14:paraId="215C828A">
      <w:pPr>
        <w:widowControl w:val="0"/>
        <w:tabs>
          <w:tab w:val="left" w:pos="1080"/>
        </w:tabs>
        <w:spacing w:line="52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lang w:eastAsia="zh-CN"/>
        </w:rPr>
        <w:t>2026年度，</w:t>
      </w:r>
      <w:r>
        <w:rPr>
          <w:rFonts w:hint="eastAsia" w:ascii="仿宋_GB2312" w:eastAsia="仿宋_GB2312" w:cs="Times New Roman"/>
          <w:kern w:val="2"/>
          <w:sz w:val="32"/>
          <w:szCs w:val="32"/>
        </w:rPr>
        <w:t>董事会审计委员会</w:t>
      </w:r>
      <w:r>
        <w:rPr>
          <w:rFonts w:hint="eastAsia" w:ascii="仿宋_GB2312" w:eastAsia="仿宋_GB2312" w:cs="Times New Roman"/>
          <w:kern w:val="2"/>
          <w:sz w:val="32"/>
          <w:szCs w:val="32"/>
          <w:lang w:eastAsia="zh-CN"/>
        </w:rPr>
        <w:t>将继续勤勉尽责、依法履职，指导公司持续深化</w:t>
      </w:r>
      <w:r>
        <w:rPr>
          <w:rFonts w:hint="eastAsia" w:ascii="仿宋_GB2312" w:eastAsia="仿宋_GB2312" w:cs="Times New Roman"/>
          <w:kern w:val="2"/>
          <w:sz w:val="32"/>
          <w:szCs w:val="32"/>
          <w:lang w:val="en-US" w:eastAsia="zh-CN"/>
        </w:rPr>
        <w:t>内控</w:t>
      </w:r>
      <w:r>
        <w:rPr>
          <w:rFonts w:hint="eastAsia" w:ascii="仿宋_GB2312" w:eastAsia="仿宋_GB2312" w:cs="Times New Roman"/>
          <w:kern w:val="2"/>
          <w:sz w:val="32"/>
          <w:szCs w:val="32"/>
          <w:lang w:eastAsia="zh-CN"/>
        </w:rPr>
        <w:t>风险管理体系建设，严格落实上市公司监事会改革相关工作要求，平稳有序承接监事会相关职能，持续优化工作运行机制，</w:t>
      </w:r>
      <w:r>
        <w:rPr>
          <w:rFonts w:hint="eastAsia" w:ascii="仿宋_GB2312" w:eastAsia="仿宋_GB2312" w:cs="Times New Roman"/>
          <w:kern w:val="2"/>
          <w:sz w:val="32"/>
          <w:szCs w:val="32"/>
        </w:rPr>
        <w:t>严格履行监督监察职责</w:t>
      </w:r>
      <w:r>
        <w:rPr>
          <w:rFonts w:hint="eastAsia" w:ascii="仿宋_GB2312" w:eastAsia="仿宋_GB2312" w:cs="Times New Roman"/>
          <w:kern w:val="2"/>
          <w:sz w:val="32"/>
          <w:szCs w:val="32"/>
          <w:lang w:eastAsia="zh-CN"/>
        </w:rPr>
        <w:t>，切实保障公司监督工作的连续性、规范性与有效性，</w:t>
      </w:r>
      <w:r>
        <w:rPr>
          <w:rFonts w:hint="eastAsia" w:ascii="仿宋_GB2312" w:eastAsia="仿宋_GB2312" w:cs="Times New Roman"/>
          <w:kern w:val="2"/>
          <w:sz w:val="32"/>
          <w:szCs w:val="32"/>
        </w:rPr>
        <w:t>确保公司合法稳健经营。</w:t>
      </w:r>
    </w:p>
    <w:p w14:paraId="3E6370CC">
      <w:pPr>
        <w:widowControl w:val="0"/>
        <w:tabs>
          <w:tab w:val="left" w:pos="1080"/>
        </w:tabs>
        <w:spacing w:line="520" w:lineRule="exact"/>
        <w:ind w:firstLine="200"/>
        <w:jc w:val="both"/>
        <w:rPr>
          <w:rFonts w:ascii="仿宋_GB2312" w:eastAsia="仿宋_GB2312" w:cs="Times New Roman"/>
          <w:kern w:val="2"/>
          <w:sz w:val="32"/>
          <w:szCs w:val="32"/>
        </w:rPr>
      </w:pPr>
    </w:p>
    <w:p w14:paraId="4403D06E">
      <w:pPr>
        <w:widowControl w:val="0"/>
        <w:tabs>
          <w:tab w:val="left" w:pos="1080"/>
        </w:tabs>
        <w:spacing w:line="520" w:lineRule="exact"/>
        <w:ind w:firstLine="640" w:firstLineChars="200"/>
        <w:jc w:val="both"/>
        <w:rPr>
          <w:rFonts w:ascii="仿宋_GB2312" w:eastAsia="仿宋_GB2312" w:cs="Times New Roman"/>
          <w:kern w:val="2"/>
          <w:sz w:val="32"/>
          <w:szCs w:val="32"/>
        </w:rPr>
      </w:pPr>
    </w:p>
    <w:p w14:paraId="4BED644B">
      <w:pPr>
        <w:widowControl w:val="0"/>
        <w:tabs>
          <w:tab w:val="left" w:pos="1080"/>
        </w:tabs>
        <w:spacing w:line="520" w:lineRule="exact"/>
        <w:ind w:firstLine="640" w:firstLineChars="200"/>
        <w:jc w:val="right"/>
        <w:rPr>
          <w:rFonts w:ascii="仿宋_GB2312" w:eastAsia="仿宋_GB2312" w:cs="Times New Roman"/>
          <w:kern w:val="2"/>
          <w:sz w:val="32"/>
          <w:szCs w:val="32"/>
        </w:rPr>
      </w:pPr>
      <w:r>
        <w:rPr>
          <w:rFonts w:hint="eastAsia" w:ascii="仿宋_GB2312" w:eastAsia="仿宋_GB2312" w:cs="Times New Roman"/>
          <w:kern w:val="2"/>
          <w:sz w:val="32"/>
          <w:szCs w:val="32"/>
        </w:rPr>
        <w:t>北京京城股份有限公司董事会</w:t>
      </w:r>
    </w:p>
    <w:p w14:paraId="1C03B2B1">
      <w:pPr>
        <w:widowControl w:val="0"/>
        <w:tabs>
          <w:tab w:val="left" w:pos="1080"/>
        </w:tabs>
        <w:wordWrap w:val="0"/>
        <w:spacing w:line="520" w:lineRule="exact"/>
        <w:ind w:right="960" w:firstLine="640" w:firstLineChars="200"/>
        <w:jc w:val="right"/>
        <w:rPr>
          <w:rFonts w:ascii="仿宋_GB2312" w:eastAsia="仿宋_GB2312" w:cs="Times New Roman"/>
          <w:kern w:val="2"/>
          <w:sz w:val="32"/>
          <w:szCs w:val="32"/>
        </w:rPr>
      </w:pPr>
      <w:r>
        <w:rPr>
          <w:rFonts w:hint="eastAsia" w:ascii="仿宋_GB2312" w:eastAsia="仿宋_GB2312" w:cs="Times New Roman"/>
          <w:kern w:val="2"/>
          <w:sz w:val="32"/>
          <w:szCs w:val="32"/>
        </w:rPr>
        <w:t>审计委员会</w:t>
      </w:r>
    </w:p>
    <w:p w14:paraId="4F2766A1">
      <w:pPr>
        <w:widowControl w:val="0"/>
        <w:tabs>
          <w:tab w:val="left" w:pos="1080"/>
        </w:tabs>
        <w:wordWrap w:val="0"/>
        <w:spacing w:line="520" w:lineRule="exact"/>
        <w:ind w:right="640" w:firstLine="640" w:firstLineChars="200"/>
        <w:jc w:val="right"/>
        <w:rPr>
          <w:rFonts w:ascii="仿宋_GB2312" w:eastAsia="仿宋_GB2312" w:cs="Times New Roman"/>
          <w:kern w:val="2"/>
          <w:sz w:val="32"/>
          <w:szCs w:val="32"/>
        </w:rPr>
        <w:sectPr>
          <w:footerReference r:id="rId3" w:type="default"/>
          <w:pgSz w:w="11906" w:h="16838"/>
          <w:pgMar w:top="1797" w:right="1418" w:bottom="1797" w:left="1418" w:header="851" w:footer="992" w:gutter="0"/>
          <w:cols w:space="720" w:num="1"/>
          <w:docGrid w:type="lines" w:linePitch="312" w:charSpace="0"/>
        </w:sectPr>
      </w:pPr>
      <w:r>
        <w:rPr>
          <w:rFonts w:hint="eastAsia" w:ascii="仿宋_GB2312" w:eastAsia="仿宋_GB2312" w:cs="Times New Roman"/>
          <w:kern w:val="2"/>
          <w:sz w:val="32"/>
          <w:szCs w:val="32"/>
        </w:rPr>
        <w:t>202</w:t>
      </w:r>
      <w:r>
        <w:rPr>
          <w:rFonts w:hint="eastAsia" w:ascii="仿宋_GB2312" w:eastAsia="仿宋_GB2312" w:cs="Times New Roman"/>
          <w:kern w:val="2"/>
          <w:sz w:val="32"/>
          <w:szCs w:val="32"/>
          <w:lang w:val="en-US" w:eastAsia="zh-CN"/>
        </w:rPr>
        <w:t>6</w:t>
      </w:r>
      <w:r>
        <w:rPr>
          <w:rFonts w:hint="eastAsia" w:ascii="仿宋_GB2312" w:eastAsia="仿宋_GB2312" w:cs="Times New Roman"/>
          <w:kern w:val="2"/>
          <w:sz w:val="32"/>
          <w:szCs w:val="32"/>
        </w:rPr>
        <w:t>年3月1</w:t>
      </w:r>
      <w:r>
        <w:rPr>
          <w:rFonts w:hint="eastAsia" w:ascii="仿宋_GB2312" w:eastAsia="仿宋_GB2312" w:cs="Times New Roman"/>
          <w:kern w:val="2"/>
          <w:sz w:val="32"/>
          <w:szCs w:val="32"/>
          <w:lang w:val="en-US" w:eastAsia="zh-CN"/>
        </w:rPr>
        <w:t>8</w:t>
      </w:r>
      <w:r>
        <w:rPr>
          <w:rFonts w:hint="eastAsia" w:ascii="仿宋_GB2312" w:eastAsia="仿宋_GB2312" w:cs="Times New Roman"/>
          <w:kern w:val="2"/>
          <w:sz w:val="32"/>
          <w:szCs w:val="32"/>
        </w:rPr>
        <w:t>日</w:t>
      </w:r>
    </w:p>
    <w:p w14:paraId="64003F25">
      <w:pPr>
        <w:widowControl w:val="0"/>
        <w:spacing w:line="520" w:lineRule="exact"/>
        <w:ind w:firstLine="200"/>
        <w:jc w:val="both"/>
        <w:rPr>
          <w:rFonts w:ascii="仿宋_GB2312" w:eastAsia="仿宋_GB2312" w:cs="Times New Roman"/>
          <w:kern w:val="2"/>
          <w:sz w:val="32"/>
          <w:szCs w:val="32"/>
        </w:rPr>
      </w:pPr>
    </w:p>
    <w:p w14:paraId="5DBAC15C">
      <w:pPr>
        <w:widowControl w:val="0"/>
        <w:spacing w:line="520" w:lineRule="exact"/>
        <w:ind w:firstLine="640" w:firstLineChars="200"/>
        <w:jc w:val="center"/>
        <w:rPr>
          <w:rFonts w:ascii="仿宋_GB2312" w:eastAsia="仿宋_GB2312" w:cs="Times New Roman"/>
          <w:kern w:val="2"/>
          <w:sz w:val="32"/>
          <w:szCs w:val="32"/>
        </w:rPr>
      </w:pPr>
      <w:r>
        <w:rPr>
          <w:rFonts w:hint="eastAsia" w:ascii="仿宋_GB2312" w:eastAsia="仿宋_GB2312" w:cs="Times New Roman"/>
          <w:kern w:val="2"/>
          <w:sz w:val="32"/>
          <w:szCs w:val="32"/>
        </w:rPr>
        <w:t>审计委员会成员名单及会议出席情况</w:t>
      </w:r>
    </w:p>
    <w:tbl>
      <w:tblPr>
        <w:tblStyle w:val="7"/>
        <w:tblpPr w:leftFromText="180" w:rightFromText="180" w:vertAnchor="text" w:horzAnchor="page" w:tblpX="1804" w:tblpY="87"/>
        <w:tblOverlap w:val="never"/>
        <w:tblW w:w="8550"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376"/>
        <w:gridCol w:w="2268"/>
        <w:gridCol w:w="1980"/>
        <w:gridCol w:w="1926"/>
      </w:tblGrid>
      <w:tr w14:paraId="78CA4DB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c>
          <w:tcPr>
            <w:tcW w:w="2376" w:type="dxa"/>
            <w:tcBorders>
              <w:top w:val="single" w:color="000000" w:sz="12" w:space="0"/>
              <w:left w:val="single" w:color="000000" w:sz="12" w:space="0"/>
              <w:bottom w:val="single" w:color="000000" w:sz="2" w:space="0"/>
              <w:right w:val="single" w:color="000000" w:sz="2" w:space="0"/>
            </w:tcBorders>
            <w:shd w:val="clear" w:color="auto" w:fill="auto"/>
            <w:vAlign w:val="center"/>
          </w:tcPr>
          <w:p w14:paraId="084EAA6E">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姓名</w:t>
            </w:r>
          </w:p>
        </w:tc>
        <w:tc>
          <w:tcPr>
            <w:tcW w:w="2268" w:type="dxa"/>
            <w:tcBorders>
              <w:top w:val="single" w:color="000000" w:sz="12" w:space="0"/>
              <w:left w:val="single" w:color="000000" w:sz="2" w:space="0"/>
              <w:bottom w:val="single" w:color="000000" w:sz="2" w:space="0"/>
              <w:right w:val="single" w:color="000000" w:sz="2" w:space="0"/>
            </w:tcBorders>
            <w:shd w:val="clear" w:color="auto" w:fill="auto"/>
            <w:vAlign w:val="center"/>
          </w:tcPr>
          <w:p w14:paraId="460E191D">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职务</w:t>
            </w:r>
          </w:p>
        </w:tc>
        <w:tc>
          <w:tcPr>
            <w:tcW w:w="1980" w:type="dxa"/>
            <w:tcBorders>
              <w:top w:val="single" w:color="000000" w:sz="12" w:space="0"/>
              <w:left w:val="single" w:color="000000" w:sz="2" w:space="0"/>
              <w:bottom w:val="single" w:color="000000" w:sz="2" w:space="0"/>
              <w:right w:val="single" w:color="000000" w:sz="2" w:space="0"/>
            </w:tcBorders>
            <w:shd w:val="clear" w:color="auto" w:fill="auto"/>
            <w:vAlign w:val="center"/>
          </w:tcPr>
          <w:p w14:paraId="62ADC9BC">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202</w:t>
            </w:r>
            <w:r>
              <w:rPr>
                <w:rFonts w:hint="eastAsia" w:ascii="仿宋_GB2312" w:eastAsia="仿宋_GB2312" w:cs="Times New Roman"/>
                <w:kern w:val="2"/>
                <w:sz w:val="28"/>
                <w:szCs w:val="28"/>
                <w:lang w:val="en-US" w:eastAsia="zh-CN"/>
              </w:rPr>
              <w:t>5</w:t>
            </w:r>
            <w:r>
              <w:rPr>
                <w:rFonts w:hint="eastAsia" w:ascii="仿宋_GB2312" w:eastAsia="仿宋_GB2312" w:cs="Times New Roman"/>
                <w:kern w:val="2"/>
                <w:sz w:val="28"/>
                <w:szCs w:val="28"/>
              </w:rPr>
              <w:t>年应出</w:t>
            </w:r>
          </w:p>
          <w:p w14:paraId="17331D26">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席会议次数</w:t>
            </w:r>
          </w:p>
        </w:tc>
        <w:tc>
          <w:tcPr>
            <w:tcW w:w="1926" w:type="dxa"/>
            <w:tcBorders>
              <w:top w:val="single" w:color="000000" w:sz="12" w:space="0"/>
              <w:left w:val="single" w:color="000000" w:sz="2" w:space="0"/>
              <w:bottom w:val="single" w:color="000000" w:sz="2" w:space="0"/>
              <w:right w:val="single" w:color="000000" w:sz="12" w:space="0"/>
            </w:tcBorders>
            <w:shd w:val="clear" w:color="auto" w:fill="auto"/>
            <w:vAlign w:val="center"/>
          </w:tcPr>
          <w:p w14:paraId="7D0EFFF6">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实际出席</w:t>
            </w:r>
          </w:p>
          <w:p w14:paraId="421A94CD">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会议次数</w:t>
            </w:r>
          </w:p>
        </w:tc>
      </w:tr>
      <w:tr w14:paraId="7069B44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c>
          <w:tcPr>
            <w:tcW w:w="2376" w:type="dxa"/>
            <w:tcBorders>
              <w:top w:val="single" w:color="000000" w:sz="2" w:space="0"/>
              <w:left w:val="single" w:color="000000" w:sz="12" w:space="0"/>
              <w:bottom w:val="single" w:color="000000" w:sz="2" w:space="0"/>
              <w:right w:val="single" w:color="000000" w:sz="2" w:space="0"/>
            </w:tcBorders>
            <w:vAlign w:val="center"/>
          </w:tcPr>
          <w:p w14:paraId="3A8BF026">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独立非执行董事陈均平</w:t>
            </w:r>
          </w:p>
        </w:tc>
        <w:tc>
          <w:tcPr>
            <w:tcW w:w="2268" w:type="dxa"/>
            <w:tcBorders>
              <w:top w:val="single" w:color="000000" w:sz="2" w:space="0"/>
              <w:left w:val="single" w:color="000000" w:sz="2" w:space="0"/>
              <w:bottom w:val="single" w:color="000000" w:sz="2" w:space="0"/>
              <w:right w:val="single" w:color="000000" w:sz="2" w:space="0"/>
            </w:tcBorders>
            <w:vAlign w:val="center"/>
          </w:tcPr>
          <w:p w14:paraId="5E8BC90D">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主任委员</w:t>
            </w:r>
          </w:p>
        </w:tc>
        <w:tc>
          <w:tcPr>
            <w:tcW w:w="1980" w:type="dxa"/>
            <w:tcBorders>
              <w:top w:val="single" w:color="000000" w:sz="2" w:space="0"/>
              <w:left w:val="single" w:color="000000" w:sz="2" w:space="0"/>
              <w:bottom w:val="single" w:color="000000" w:sz="2" w:space="0"/>
              <w:right w:val="single" w:color="000000" w:sz="2" w:space="0"/>
            </w:tcBorders>
            <w:vAlign w:val="center"/>
          </w:tcPr>
          <w:p w14:paraId="51F6344A">
            <w:pPr>
              <w:widowControl w:val="0"/>
              <w:spacing w:line="520" w:lineRule="exact"/>
              <w:ind w:firstLine="200"/>
              <w:jc w:val="center"/>
              <w:rPr>
                <w:rFonts w:hint="default" w:ascii="仿宋_GB2312" w:eastAsia="仿宋_GB2312" w:cs="Times New Roman"/>
                <w:kern w:val="2"/>
                <w:sz w:val="28"/>
                <w:szCs w:val="28"/>
                <w:lang w:val="en-US" w:eastAsia="zh-CN"/>
              </w:rPr>
            </w:pPr>
            <w:r>
              <w:rPr>
                <w:rFonts w:hint="eastAsia" w:ascii="仿宋_GB2312" w:eastAsia="仿宋_GB2312" w:cs="Times New Roman"/>
                <w:kern w:val="2"/>
                <w:sz w:val="28"/>
                <w:szCs w:val="28"/>
                <w:lang w:val="en-US" w:eastAsia="zh-CN"/>
              </w:rPr>
              <w:t>11</w:t>
            </w:r>
          </w:p>
        </w:tc>
        <w:tc>
          <w:tcPr>
            <w:tcW w:w="1926" w:type="dxa"/>
            <w:tcBorders>
              <w:top w:val="single" w:color="000000" w:sz="2" w:space="0"/>
              <w:left w:val="single" w:color="000000" w:sz="2" w:space="0"/>
              <w:bottom w:val="single" w:color="000000" w:sz="2" w:space="0"/>
              <w:right w:val="single" w:color="000000" w:sz="12" w:space="0"/>
            </w:tcBorders>
            <w:vAlign w:val="center"/>
          </w:tcPr>
          <w:p w14:paraId="46032B98">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lang w:val="en-US" w:eastAsia="zh-CN"/>
              </w:rPr>
              <w:t>11</w:t>
            </w:r>
          </w:p>
        </w:tc>
      </w:tr>
      <w:tr w14:paraId="0B940AF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c>
          <w:tcPr>
            <w:tcW w:w="2376" w:type="dxa"/>
            <w:tcBorders>
              <w:top w:val="single" w:color="000000" w:sz="2" w:space="0"/>
              <w:left w:val="single" w:color="000000" w:sz="12" w:space="0"/>
              <w:bottom w:val="single" w:color="000000" w:sz="2" w:space="0"/>
              <w:right w:val="single" w:color="000000" w:sz="2" w:space="0"/>
            </w:tcBorders>
            <w:vAlign w:val="center"/>
          </w:tcPr>
          <w:p w14:paraId="52C273A3">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独立非执行董事赵旭光</w:t>
            </w:r>
          </w:p>
        </w:tc>
        <w:tc>
          <w:tcPr>
            <w:tcW w:w="2268" w:type="dxa"/>
            <w:tcBorders>
              <w:top w:val="single" w:color="000000" w:sz="2" w:space="0"/>
              <w:left w:val="single" w:color="000000" w:sz="2" w:space="0"/>
              <w:bottom w:val="single" w:color="000000" w:sz="2" w:space="0"/>
              <w:right w:val="single" w:color="000000" w:sz="2" w:space="0"/>
            </w:tcBorders>
            <w:vAlign w:val="center"/>
          </w:tcPr>
          <w:p w14:paraId="5AEC1158">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委员</w:t>
            </w:r>
          </w:p>
        </w:tc>
        <w:tc>
          <w:tcPr>
            <w:tcW w:w="1980" w:type="dxa"/>
            <w:tcBorders>
              <w:top w:val="single" w:color="000000" w:sz="2" w:space="0"/>
              <w:left w:val="single" w:color="000000" w:sz="2" w:space="0"/>
              <w:bottom w:val="single" w:color="000000" w:sz="2" w:space="0"/>
              <w:right w:val="single" w:color="000000" w:sz="2" w:space="0"/>
            </w:tcBorders>
            <w:vAlign w:val="center"/>
          </w:tcPr>
          <w:p w14:paraId="47ADF215">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lang w:val="en-US" w:eastAsia="zh-CN"/>
              </w:rPr>
              <w:t>11</w:t>
            </w:r>
          </w:p>
        </w:tc>
        <w:tc>
          <w:tcPr>
            <w:tcW w:w="1926" w:type="dxa"/>
            <w:tcBorders>
              <w:top w:val="single" w:color="000000" w:sz="2" w:space="0"/>
              <w:left w:val="single" w:color="000000" w:sz="2" w:space="0"/>
              <w:bottom w:val="single" w:color="000000" w:sz="2" w:space="0"/>
              <w:right w:val="single" w:color="000000" w:sz="12" w:space="0"/>
            </w:tcBorders>
            <w:vAlign w:val="center"/>
          </w:tcPr>
          <w:p w14:paraId="399053FB">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lang w:val="en-US" w:eastAsia="zh-CN"/>
              </w:rPr>
              <w:t>11</w:t>
            </w:r>
          </w:p>
        </w:tc>
      </w:tr>
      <w:tr w14:paraId="5F54601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c>
          <w:tcPr>
            <w:tcW w:w="2376" w:type="dxa"/>
            <w:tcBorders>
              <w:top w:val="single" w:color="000000" w:sz="2" w:space="0"/>
              <w:left w:val="single" w:color="000000" w:sz="12" w:space="0"/>
              <w:bottom w:val="single" w:color="000000" w:sz="12" w:space="0"/>
              <w:right w:val="single" w:color="000000" w:sz="2" w:space="0"/>
            </w:tcBorders>
            <w:vAlign w:val="center"/>
          </w:tcPr>
          <w:p w14:paraId="6F0C39D3">
            <w:pPr>
              <w:widowControl w:val="0"/>
              <w:spacing w:line="520" w:lineRule="exact"/>
              <w:ind w:firstLine="200"/>
              <w:jc w:val="center"/>
              <w:rPr>
                <w:rFonts w:hint="eastAsia" w:ascii="仿宋_GB2312" w:eastAsia="仿宋_GB2312" w:cs="Times New Roman"/>
                <w:kern w:val="2"/>
                <w:sz w:val="28"/>
                <w:szCs w:val="28"/>
              </w:rPr>
            </w:pPr>
            <w:r>
              <w:rPr>
                <w:rFonts w:hint="eastAsia" w:ascii="仿宋_GB2312" w:eastAsia="仿宋_GB2312" w:cs="Times New Roman"/>
                <w:kern w:val="2"/>
                <w:sz w:val="28"/>
                <w:szCs w:val="28"/>
              </w:rPr>
              <w:t>非执行董事</w:t>
            </w:r>
          </w:p>
          <w:p w14:paraId="68E7C40A">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满会勇</w:t>
            </w:r>
          </w:p>
        </w:tc>
        <w:tc>
          <w:tcPr>
            <w:tcW w:w="2268" w:type="dxa"/>
            <w:tcBorders>
              <w:top w:val="single" w:color="000000" w:sz="2" w:space="0"/>
              <w:left w:val="single" w:color="000000" w:sz="2" w:space="0"/>
              <w:bottom w:val="single" w:color="000000" w:sz="12" w:space="0"/>
              <w:right w:val="single" w:color="000000" w:sz="2" w:space="0"/>
            </w:tcBorders>
            <w:vAlign w:val="center"/>
          </w:tcPr>
          <w:p w14:paraId="520E613D">
            <w:pPr>
              <w:widowControl w:val="0"/>
              <w:spacing w:line="520" w:lineRule="exact"/>
              <w:ind w:firstLine="200"/>
              <w:jc w:val="center"/>
              <w:rPr>
                <w:rFonts w:ascii="仿宋_GB2312" w:eastAsia="仿宋_GB2312" w:cs="Times New Roman"/>
                <w:kern w:val="2"/>
                <w:sz w:val="28"/>
                <w:szCs w:val="28"/>
              </w:rPr>
            </w:pPr>
            <w:r>
              <w:rPr>
                <w:rFonts w:hint="eastAsia" w:ascii="仿宋_GB2312" w:eastAsia="仿宋_GB2312" w:cs="Times New Roman"/>
                <w:kern w:val="2"/>
                <w:sz w:val="28"/>
                <w:szCs w:val="28"/>
              </w:rPr>
              <w:t>委员</w:t>
            </w:r>
          </w:p>
        </w:tc>
        <w:tc>
          <w:tcPr>
            <w:tcW w:w="1980" w:type="dxa"/>
            <w:tcBorders>
              <w:top w:val="single" w:color="000000" w:sz="2" w:space="0"/>
              <w:left w:val="single" w:color="000000" w:sz="2" w:space="0"/>
              <w:bottom w:val="single" w:color="000000" w:sz="12" w:space="0"/>
              <w:right w:val="single" w:color="000000" w:sz="2" w:space="0"/>
            </w:tcBorders>
            <w:vAlign w:val="center"/>
          </w:tcPr>
          <w:p w14:paraId="4AD3CCD2">
            <w:pPr>
              <w:widowControl w:val="0"/>
              <w:spacing w:line="520" w:lineRule="exact"/>
              <w:ind w:firstLine="200"/>
              <w:jc w:val="center"/>
              <w:rPr>
                <w:rFonts w:hint="default" w:ascii="仿宋_GB2312" w:eastAsia="仿宋_GB2312" w:cs="Times New Roman"/>
                <w:kern w:val="2"/>
                <w:sz w:val="28"/>
                <w:szCs w:val="28"/>
                <w:lang w:val="en-US"/>
              </w:rPr>
            </w:pPr>
            <w:r>
              <w:rPr>
                <w:rFonts w:hint="eastAsia" w:ascii="仿宋_GB2312" w:eastAsia="仿宋_GB2312" w:cs="Times New Roman"/>
                <w:kern w:val="2"/>
                <w:sz w:val="28"/>
                <w:szCs w:val="28"/>
                <w:lang w:val="en-US" w:eastAsia="zh-CN"/>
              </w:rPr>
              <w:t>11</w:t>
            </w:r>
          </w:p>
        </w:tc>
        <w:tc>
          <w:tcPr>
            <w:tcW w:w="1926" w:type="dxa"/>
            <w:tcBorders>
              <w:top w:val="single" w:color="000000" w:sz="2" w:space="0"/>
              <w:left w:val="single" w:color="000000" w:sz="2" w:space="0"/>
              <w:bottom w:val="single" w:color="000000" w:sz="12" w:space="0"/>
              <w:right w:val="single" w:color="000000" w:sz="12" w:space="0"/>
            </w:tcBorders>
            <w:vAlign w:val="center"/>
          </w:tcPr>
          <w:p w14:paraId="48243C7F">
            <w:pPr>
              <w:widowControl w:val="0"/>
              <w:spacing w:line="520" w:lineRule="exact"/>
              <w:ind w:firstLine="200"/>
              <w:jc w:val="center"/>
              <w:rPr>
                <w:rFonts w:hint="default" w:ascii="仿宋_GB2312" w:eastAsia="仿宋_GB2312" w:cs="Times New Roman"/>
                <w:kern w:val="2"/>
                <w:sz w:val="28"/>
                <w:szCs w:val="28"/>
                <w:lang w:val="en-US"/>
              </w:rPr>
            </w:pPr>
            <w:r>
              <w:rPr>
                <w:rFonts w:hint="eastAsia" w:ascii="仿宋_GB2312" w:eastAsia="仿宋_GB2312" w:cs="Times New Roman"/>
                <w:kern w:val="2"/>
                <w:sz w:val="28"/>
                <w:szCs w:val="28"/>
                <w:lang w:val="en-US" w:eastAsia="zh-CN"/>
              </w:rPr>
              <w:t>11</w:t>
            </w:r>
          </w:p>
        </w:tc>
      </w:tr>
    </w:tbl>
    <w:p w14:paraId="6280A4B1">
      <w:pPr>
        <w:widowControl w:val="0"/>
        <w:spacing w:line="520" w:lineRule="exact"/>
        <w:ind w:firstLine="640" w:firstLineChars="200"/>
        <w:jc w:val="both"/>
        <w:rPr>
          <w:rFonts w:ascii="仿宋_GB2312" w:eastAsia="仿宋_GB2312" w:cs="Times New Roman"/>
          <w:kern w:val="2"/>
          <w:sz w:val="32"/>
          <w:szCs w:val="32"/>
        </w:rPr>
      </w:pPr>
    </w:p>
    <w:p w14:paraId="027A937C">
      <w:pPr>
        <w:spacing w:line="520" w:lineRule="exact"/>
        <w:ind w:firstLine="200"/>
        <w:jc w:val="both"/>
        <w:rPr>
          <w:rFonts w:ascii="仿宋_GB2312" w:eastAsia="仿宋_GB2312"/>
          <w:sz w:val="32"/>
          <w:szCs w:val="32"/>
        </w:rPr>
      </w:pPr>
    </w:p>
    <w:sectPr>
      <w:pgSz w:w="11906" w:h="16838"/>
      <w:pgMar w:top="1797" w:right="1418" w:bottom="179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220948589"/>
      <w:docPartObj>
        <w:docPartGallery w:val="autotext"/>
      </w:docPartObj>
    </w:sdtPr>
    <w:sdtEndPr>
      <w:rPr>
        <w:rFonts w:asciiTheme="minorEastAsia" w:hAnsiTheme="minorEastAsia" w:eastAsiaTheme="minorEastAsia"/>
        <w:sz w:val="28"/>
        <w:szCs w:val="28"/>
      </w:rPr>
    </w:sdtEndPr>
    <w:sdtContent>
      <w:sdt>
        <w:sdtPr>
          <w:rPr>
            <w:rFonts w:asciiTheme="minorEastAsia" w:hAnsiTheme="minorEastAsia" w:eastAsiaTheme="minorEastAsia"/>
            <w:sz w:val="28"/>
            <w:szCs w:val="28"/>
          </w:rPr>
          <w:id w:val="-1669238322"/>
          <w:docPartObj>
            <w:docPartGallery w:val="autotext"/>
          </w:docPartObj>
        </w:sdtPr>
        <w:sdtEndPr>
          <w:rPr>
            <w:rFonts w:asciiTheme="minorEastAsia" w:hAnsiTheme="minorEastAsia" w:eastAsiaTheme="minorEastAsia"/>
            <w:sz w:val="28"/>
            <w:szCs w:val="28"/>
          </w:rPr>
        </w:sdtEndPr>
        <w:sdtContent>
          <w:p w14:paraId="325883E4">
            <w:pPr>
              <w:pStyle w:val="4"/>
              <w:jc w:val="center"/>
              <w:rPr>
                <w:rFonts w:asciiTheme="minorEastAsia" w:hAnsiTheme="minorEastAsia" w:eastAsiaTheme="minorEastAsia"/>
                <w:sz w:val="28"/>
                <w:szCs w:val="28"/>
              </w:rPr>
            </w:pPr>
            <w:r>
              <w:rPr>
                <w:rFonts w:asciiTheme="minorEastAsia" w:hAnsiTheme="minorEastAsia" w:eastAsiaTheme="minorEastAsia"/>
                <w:sz w:val="28"/>
                <w:szCs w:val="28"/>
                <w:lang w:val="zh-CN"/>
              </w:rPr>
              <w:t xml:space="preserve"> </w:t>
            </w:r>
            <w:r>
              <w:rPr>
                <w:rFonts w:asciiTheme="minorEastAsia" w:hAnsiTheme="minorEastAsia" w:eastAsiaTheme="minorEastAsia"/>
                <w:b/>
                <w:bCs/>
                <w:sz w:val="28"/>
                <w:szCs w:val="28"/>
              </w:rPr>
              <w:fldChar w:fldCharType="begin"/>
            </w:r>
            <w:r>
              <w:rPr>
                <w:rFonts w:asciiTheme="minorEastAsia" w:hAnsiTheme="minorEastAsia" w:eastAsiaTheme="minorEastAsia"/>
                <w:b/>
                <w:bCs/>
                <w:sz w:val="28"/>
                <w:szCs w:val="28"/>
              </w:rPr>
              <w:instrText xml:space="preserve">PAGE</w:instrText>
            </w:r>
            <w:r>
              <w:rPr>
                <w:rFonts w:asciiTheme="minorEastAsia" w:hAnsiTheme="minorEastAsia" w:eastAsiaTheme="minorEastAsia"/>
                <w:b/>
                <w:bCs/>
                <w:sz w:val="28"/>
                <w:szCs w:val="28"/>
              </w:rPr>
              <w:fldChar w:fldCharType="separate"/>
            </w:r>
            <w:r>
              <w:rPr>
                <w:rFonts w:asciiTheme="minorEastAsia" w:hAnsiTheme="minorEastAsia" w:eastAsiaTheme="minorEastAsia"/>
                <w:b/>
                <w:bCs/>
                <w:sz w:val="28"/>
                <w:szCs w:val="28"/>
              </w:rPr>
              <w:t>1</w:t>
            </w:r>
            <w:r>
              <w:rPr>
                <w:rFonts w:asciiTheme="minorEastAsia" w:hAnsiTheme="minorEastAsia" w:eastAsiaTheme="minorEastAsia"/>
                <w:b/>
                <w:bCs/>
                <w:sz w:val="28"/>
                <w:szCs w:val="28"/>
              </w:rPr>
              <w:fldChar w:fldCharType="end"/>
            </w:r>
            <w:r>
              <w:rPr>
                <w:rFonts w:asciiTheme="minorEastAsia" w:hAnsiTheme="minorEastAsia" w:eastAsiaTheme="minorEastAsia"/>
                <w:sz w:val="28"/>
                <w:szCs w:val="28"/>
                <w:lang w:val="zh-CN"/>
              </w:rPr>
              <w:t xml:space="preserve"> / </w:t>
            </w:r>
            <w:r>
              <w:rPr>
                <w:rFonts w:asciiTheme="minorEastAsia" w:hAnsiTheme="minorEastAsia" w:eastAsiaTheme="minorEastAsia"/>
                <w:b/>
                <w:bCs/>
                <w:sz w:val="28"/>
                <w:szCs w:val="28"/>
              </w:rPr>
              <w:fldChar w:fldCharType="begin"/>
            </w:r>
            <w:r>
              <w:rPr>
                <w:rFonts w:asciiTheme="minorEastAsia" w:hAnsiTheme="minorEastAsia" w:eastAsiaTheme="minorEastAsia"/>
                <w:b/>
                <w:bCs/>
                <w:sz w:val="28"/>
                <w:szCs w:val="28"/>
              </w:rPr>
              <w:instrText xml:space="preserve">NUMPAGES</w:instrText>
            </w:r>
            <w:r>
              <w:rPr>
                <w:rFonts w:asciiTheme="minorEastAsia" w:hAnsiTheme="minorEastAsia" w:eastAsiaTheme="minorEastAsia"/>
                <w:b/>
                <w:bCs/>
                <w:sz w:val="28"/>
                <w:szCs w:val="28"/>
              </w:rPr>
              <w:fldChar w:fldCharType="separate"/>
            </w:r>
            <w:r>
              <w:rPr>
                <w:rFonts w:asciiTheme="minorEastAsia" w:hAnsiTheme="minorEastAsia" w:eastAsiaTheme="minorEastAsia"/>
                <w:b/>
                <w:bCs/>
                <w:sz w:val="28"/>
                <w:szCs w:val="28"/>
              </w:rPr>
              <w:t>7</w:t>
            </w:r>
            <w:r>
              <w:rPr>
                <w:rFonts w:asciiTheme="minorEastAsia" w:hAnsiTheme="minorEastAsia" w:eastAsiaTheme="minorEastAsia"/>
                <w:b/>
                <w:bCs/>
                <w:sz w:val="28"/>
                <w:szCs w:val="28"/>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ODVhMjdiZGZmMWVhYjQwMGQ3YTY5NDYxM2I1MDYxM2MifQ=="/>
    <w:docVar w:name="KSO_WPS_MARK_KEY" w:val="fb69ed0e-2778-494b-9d71-b838b445f606"/>
  </w:docVars>
  <w:rsids>
    <w:rsidRoot w:val="009E142F"/>
    <w:rsid w:val="00012187"/>
    <w:rsid w:val="0012465E"/>
    <w:rsid w:val="001C0F65"/>
    <w:rsid w:val="002578A9"/>
    <w:rsid w:val="00260CDC"/>
    <w:rsid w:val="00274558"/>
    <w:rsid w:val="002B5472"/>
    <w:rsid w:val="003E68AB"/>
    <w:rsid w:val="0046023F"/>
    <w:rsid w:val="0048318C"/>
    <w:rsid w:val="00483513"/>
    <w:rsid w:val="004E7A8B"/>
    <w:rsid w:val="00503D8E"/>
    <w:rsid w:val="005B1283"/>
    <w:rsid w:val="006F3B6B"/>
    <w:rsid w:val="00794CDA"/>
    <w:rsid w:val="007D18C6"/>
    <w:rsid w:val="00833248"/>
    <w:rsid w:val="008C19CF"/>
    <w:rsid w:val="0094510C"/>
    <w:rsid w:val="00964398"/>
    <w:rsid w:val="00991655"/>
    <w:rsid w:val="009E142F"/>
    <w:rsid w:val="00AA7043"/>
    <w:rsid w:val="00AB1D08"/>
    <w:rsid w:val="00B1323C"/>
    <w:rsid w:val="00B5227F"/>
    <w:rsid w:val="00BB19F9"/>
    <w:rsid w:val="00BE53EB"/>
    <w:rsid w:val="00C055CB"/>
    <w:rsid w:val="00C63082"/>
    <w:rsid w:val="00C67203"/>
    <w:rsid w:val="00D160D6"/>
    <w:rsid w:val="00D91C4D"/>
    <w:rsid w:val="00DA4E8E"/>
    <w:rsid w:val="00E87405"/>
    <w:rsid w:val="00EC6768"/>
    <w:rsid w:val="00EF0241"/>
    <w:rsid w:val="00F160A1"/>
    <w:rsid w:val="00F60F0D"/>
    <w:rsid w:val="00FF09B4"/>
    <w:rsid w:val="14405BDC"/>
    <w:rsid w:val="1A204BC7"/>
    <w:rsid w:val="2C882C80"/>
    <w:rsid w:val="391A75AE"/>
    <w:rsid w:val="40466C75"/>
    <w:rsid w:val="46791558"/>
    <w:rsid w:val="47D17FDE"/>
    <w:rsid w:val="4B8B7843"/>
    <w:rsid w:val="4DE66089"/>
    <w:rsid w:val="4DF067FB"/>
    <w:rsid w:val="6B784E24"/>
    <w:rsid w:val="76AF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宋体"/>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qFormat/>
    <w:uiPriority w:val="0"/>
    <w:rPr>
      <w:sz w:val="18"/>
      <w:szCs w:val="18"/>
    </w:rPr>
  </w:style>
  <w:style w:type="paragraph" w:styleId="4">
    <w:name w:val="footer"/>
    <w:basedOn w:val="1"/>
    <w:link w:val="10"/>
    <w:qFormat/>
    <w:uiPriority w:val="99"/>
    <w:pPr>
      <w:widowControl w:val="0"/>
      <w:tabs>
        <w:tab w:val="center" w:pos="4153"/>
        <w:tab w:val="right" w:pos="8306"/>
      </w:tabs>
      <w:snapToGrid w:val="0"/>
    </w:pPr>
    <w:rPr>
      <w:rFonts w:ascii="Calibri" w:hAnsi="Calibri" w:cs="Arial"/>
      <w:kern w:val="2"/>
      <w:sz w:val="18"/>
      <w:szCs w:val="18"/>
    </w:rPr>
  </w:style>
  <w:style w:type="paragraph" w:styleId="5">
    <w:name w:val="header"/>
    <w:basedOn w:val="1"/>
    <w:qFormat/>
    <w:uiPriority w:val="0"/>
    <w:pPr>
      <w:widowControl w:val="0"/>
      <w:pBdr>
        <w:bottom w:val="single" w:color="auto" w:sz="6" w:space="1"/>
      </w:pBdr>
      <w:tabs>
        <w:tab w:val="center" w:pos="4153"/>
        <w:tab w:val="right" w:pos="8306"/>
      </w:tabs>
      <w:snapToGrid w:val="0"/>
      <w:jc w:val="center"/>
    </w:pPr>
    <w:rPr>
      <w:rFonts w:ascii="Calibri" w:hAnsi="Calibri" w:cs="Arial"/>
      <w:kern w:val="2"/>
      <w:sz w:val="18"/>
      <w:szCs w:val="18"/>
    </w:rPr>
  </w:style>
  <w:style w:type="paragraph" w:styleId="6">
    <w:name w:val="annotation subject"/>
    <w:basedOn w:val="2"/>
    <w:next w:val="2"/>
    <w:qFormat/>
    <w:uiPriority w:val="0"/>
    <w:rPr>
      <w:b/>
      <w:bCs/>
    </w:rPr>
  </w:style>
  <w:style w:type="character" w:styleId="9">
    <w:name w:val="annotation reference"/>
    <w:basedOn w:val="8"/>
    <w:qFormat/>
    <w:uiPriority w:val="0"/>
    <w:rPr>
      <w:sz w:val="21"/>
      <w:szCs w:val="21"/>
    </w:rPr>
  </w:style>
  <w:style w:type="character" w:customStyle="1" w:styleId="10">
    <w:name w:val="页脚 Char"/>
    <w:basedOn w:val="8"/>
    <w:link w:val="4"/>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BTIC</Company>
  <Pages>7</Pages>
  <Words>2017</Words>
  <Characters>2228</Characters>
  <Lines>21</Lines>
  <Paragraphs>6</Paragraphs>
  <TotalTime>22</TotalTime>
  <ScaleCrop>false</ScaleCrop>
  <LinksUpToDate>false</LinksUpToDate>
  <CharactersWithSpaces>2228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2022-03-10T06:46:00Z</dcterms:created>
  <dc:creator>柳宇</dc:creator>
  <cp:lastModifiedBy>自然醒</cp:lastModifiedBy>
  <cp:lastPrinted>2022-03-10T06:49:00Z</cp:lastPrinted>
  <dcterms:modified xsi:type="dcterms:W3CDTF">2026-03-19T08:50:09Z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25F6F103629A43EF86AA66E4D0CD01DF_13</vt:lpwstr>
  </property>
  <property fmtid="{D5CDD505-2E9C-101B-9397-08002B2CF9AE}" pid="4" name="KSOTemplateDocerSaveRecord">
    <vt:lpwstr>eyJoZGlkIjoiODVhMjdiZGZmMWVhYjQwMGQ3YTY5NDYxM2I1MDYxM2MiLCJ1c2VySWQiOiIzMjc5NDI3NTkifQ==</vt:lpwstr>
  </property>
</Properties>
</file>