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6134C0" w14:textId="260E60F7" w:rsidR="002867C8" w:rsidRPr="00594E8E" w:rsidRDefault="002867C8">
      <w:pPr>
        <w:spacing w:line="460" w:lineRule="exact"/>
        <w:rPr>
          <w:rFonts w:ascii="宋体" w:hAnsi="宋体"/>
          <w:color w:val="000000"/>
          <w:sz w:val="24"/>
          <w:szCs w:val="24"/>
        </w:rPr>
      </w:pPr>
      <w:r w:rsidRPr="00A449F3">
        <w:rPr>
          <w:rFonts w:ascii="宋体" w:hAnsi="宋体" w:hint="eastAsia"/>
          <w:sz w:val="24"/>
          <w:szCs w:val="24"/>
        </w:rPr>
        <w:t>股票代码：600860           股票简称：京城</w:t>
      </w:r>
      <w:r w:rsidR="00542830">
        <w:rPr>
          <w:rFonts w:ascii="宋体" w:hAnsi="宋体" w:hint="eastAsia"/>
          <w:sz w:val="24"/>
          <w:szCs w:val="24"/>
        </w:rPr>
        <w:t>股份</w:t>
      </w:r>
      <w:r w:rsidRPr="00A449F3">
        <w:rPr>
          <w:rFonts w:ascii="宋体" w:hAnsi="宋体" w:hint="eastAsia"/>
          <w:sz w:val="24"/>
          <w:szCs w:val="24"/>
        </w:rPr>
        <w:t xml:space="preserve">        </w:t>
      </w:r>
      <w:r w:rsidRPr="00E713F9">
        <w:rPr>
          <w:rFonts w:ascii="宋体" w:hAnsi="宋体" w:hint="eastAsia"/>
          <w:sz w:val="24"/>
          <w:szCs w:val="24"/>
        </w:rPr>
        <w:t>编号：</w:t>
      </w:r>
      <w:r w:rsidRPr="00252987">
        <w:rPr>
          <w:rFonts w:ascii="宋体" w:hAnsi="宋体" w:hint="eastAsia"/>
          <w:color w:val="000000"/>
          <w:sz w:val="24"/>
          <w:szCs w:val="24"/>
        </w:rPr>
        <w:t>临</w:t>
      </w:r>
      <w:r w:rsidR="008C50D3">
        <w:rPr>
          <w:rFonts w:ascii="宋体" w:hAnsi="宋体" w:hint="eastAsia"/>
          <w:color w:val="000000"/>
          <w:sz w:val="24"/>
          <w:szCs w:val="24"/>
        </w:rPr>
        <w:t>202</w:t>
      </w:r>
      <w:r w:rsidR="008C0129">
        <w:rPr>
          <w:rFonts w:ascii="宋体" w:hAnsi="宋体"/>
          <w:color w:val="000000"/>
          <w:sz w:val="24"/>
          <w:szCs w:val="24"/>
        </w:rPr>
        <w:t>4</w:t>
      </w:r>
      <w:r w:rsidR="00E948CA" w:rsidRPr="00252987">
        <w:rPr>
          <w:rFonts w:ascii="宋体" w:hAnsi="宋体" w:hint="eastAsia"/>
          <w:color w:val="000000"/>
          <w:sz w:val="24"/>
          <w:szCs w:val="24"/>
        </w:rPr>
        <w:t>-</w:t>
      </w:r>
      <w:r w:rsidR="008C50D3" w:rsidRPr="008906EE">
        <w:rPr>
          <w:rFonts w:ascii="宋体" w:hAnsi="宋体" w:hint="eastAsia"/>
          <w:color w:val="000000"/>
          <w:sz w:val="24"/>
          <w:szCs w:val="24"/>
        </w:rPr>
        <w:t>0</w:t>
      </w:r>
      <w:r w:rsidR="008C0129">
        <w:rPr>
          <w:rFonts w:ascii="宋体" w:hAnsi="宋体"/>
          <w:color w:val="000000"/>
          <w:sz w:val="24"/>
          <w:szCs w:val="24"/>
        </w:rPr>
        <w:t>02</w:t>
      </w:r>
    </w:p>
    <w:p w14:paraId="02318A69" w14:textId="77777777" w:rsidR="002867C8" w:rsidRPr="00A449F3" w:rsidRDefault="002867C8">
      <w:pPr>
        <w:spacing w:line="460" w:lineRule="exact"/>
        <w:ind w:firstLine="57"/>
        <w:rPr>
          <w:rFonts w:ascii="宋体" w:hAnsi="宋体"/>
          <w:sz w:val="24"/>
          <w:szCs w:val="24"/>
        </w:rPr>
      </w:pPr>
    </w:p>
    <w:p w14:paraId="41979DC2" w14:textId="77777777" w:rsidR="002867C8" w:rsidRPr="00A449F3" w:rsidRDefault="002867C8">
      <w:pPr>
        <w:adjustRightInd w:val="0"/>
        <w:snapToGrid w:val="0"/>
        <w:spacing w:line="460" w:lineRule="exact"/>
        <w:jc w:val="center"/>
        <w:rPr>
          <w:rFonts w:ascii="宋体" w:hAnsi="宋体"/>
          <w:b/>
          <w:color w:val="FF0000"/>
          <w:sz w:val="36"/>
          <w:szCs w:val="36"/>
        </w:rPr>
      </w:pPr>
      <w:r w:rsidRPr="00A449F3">
        <w:rPr>
          <w:rFonts w:ascii="Times New Roman" w:hAnsi="Times New Roman" w:hint="eastAsia"/>
          <w:b/>
          <w:color w:val="FF0000"/>
          <w:sz w:val="36"/>
          <w:szCs w:val="36"/>
        </w:rPr>
        <w:t>北</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城</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机</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电</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股</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份</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有</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限</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公</w:t>
      </w:r>
      <w:r w:rsidRPr="00A449F3">
        <w:rPr>
          <w:rFonts w:ascii="Times New Roman" w:hAnsi="Times New Roman" w:hint="eastAsia"/>
          <w:b/>
          <w:color w:val="FF0000"/>
          <w:sz w:val="36"/>
          <w:szCs w:val="36"/>
        </w:rPr>
        <w:t xml:space="preserve"> </w:t>
      </w:r>
      <w:r w:rsidRPr="00A449F3">
        <w:rPr>
          <w:rFonts w:ascii="Times New Roman" w:hAnsi="Times New Roman" w:hint="eastAsia"/>
          <w:b/>
          <w:color w:val="FF0000"/>
          <w:sz w:val="36"/>
          <w:szCs w:val="36"/>
        </w:rPr>
        <w:t>司</w:t>
      </w:r>
    </w:p>
    <w:p w14:paraId="708BFD7C" w14:textId="77777777" w:rsidR="002867C8" w:rsidRPr="00A449F3" w:rsidRDefault="002867C8">
      <w:pPr>
        <w:adjustRightInd w:val="0"/>
        <w:snapToGrid w:val="0"/>
        <w:spacing w:line="460" w:lineRule="exact"/>
        <w:jc w:val="center"/>
        <w:rPr>
          <w:rFonts w:ascii="宋体" w:hAnsi="宋体"/>
          <w:b/>
          <w:caps/>
          <w:color w:val="FF0000"/>
          <w:sz w:val="32"/>
          <w:szCs w:val="32"/>
        </w:rPr>
      </w:pPr>
      <w:r w:rsidRPr="00A449F3">
        <w:rPr>
          <w:rFonts w:ascii="宋体" w:hAnsi="宋体"/>
          <w:b/>
          <w:caps/>
          <w:color w:val="FF0000"/>
          <w:sz w:val="32"/>
          <w:szCs w:val="32"/>
        </w:rPr>
        <w:t>Beijing Jingcheng Machinery Electric Company Limited</w:t>
      </w:r>
    </w:p>
    <w:p w14:paraId="45885F01" w14:textId="77777777" w:rsidR="002867C8" w:rsidRPr="00A449F3" w:rsidRDefault="002867C8">
      <w:pPr>
        <w:adjustRightInd w:val="0"/>
        <w:snapToGrid w:val="0"/>
        <w:spacing w:line="460" w:lineRule="exact"/>
        <w:jc w:val="center"/>
        <w:rPr>
          <w:rFonts w:ascii="宋体" w:hAnsi="宋体"/>
          <w:b/>
          <w:i/>
          <w:color w:val="FF0000"/>
          <w:sz w:val="32"/>
          <w:szCs w:val="32"/>
        </w:rPr>
      </w:pPr>
      <w:r w:rsidRPr="00A449F3">
        <w:rPr>
          <w:rFonts w:ascii="宋体" w:hAnsi="宋体" w:hint="eastAsia"/>
          <w:b/>
          <w:i/>
          <w:color w:val="FF0000"/>
          <w:sz w:val="32"/>
          <w:szCs w:val="32"/>
        </w:rPr>
        <w:t>(在中华人民共和国注册成立之股份有限公司)</w:t>
      </w:r>
    </w:p>
    <w:p w14:paraId="1BB18501" w14:textId="77777777" w:rsidR="000E60EA" w:rsidRPr="000E60EA" w:rsidRDefault="00220E8D" w:rsidP="000E60EA">
      <w:pPr>
        <w:jc w:val="center"/>
        <w:rPr>
          <w:rFonts w:ascii="Times New Roman" w:hAnsi="Times New Roman"/>
          <w:b/>
          <w:bCs/>
          <w:color w:val="FF0000"/>
          <w:sz w:val="32"/>
          <w:szCs w:val="32"/>
        </w:rPr>
      </w:pPr>
      <w:r>
        <w:rPr>
          <w:rFonts w:ascii="Times New Roman" w:hAnsi="Times New Roman" w:hint="eastAsia"/>
          <w:b/>
          <w:bCs/>
          <w:color w:val="FF0000"/>
          <w:sz w:val="32"/>
          <w:szCs w:val="32"/>
        </w:rPr>
        <w:t>关于</w:t>
      </w:r>
      <w:r w:rsidR="006F20D8">
        <w:rPr>
          <w:rFonts w:ascii="Times New Roman" w:hAnsi="Times New Roman" w:hint="eastAsia"/>
          <w:b/>
          <w:bCs/>
          <w:color w:val="FF0000"/>
          <w:sz w:val="32"/>
          <w:szCs w:val="32"/>
        </w:rPr>
        <w:t>公司</w:t>
      </w:r>
      <w:r>
        <w:rPr>
          <w:rFonts w:ascii="Times New Roman" w:hAnsi="Times New Roman" w:hint="eastAsia"/>
          <w:b/>
          <w:bCs/>
          <w:color w:val="FF0000"/>
          <w:sz w:val="32"/>
          <w:szCs w:val="32"/>
        </w:rPr>
        <w:t>A</w:t>
      </w:r>
      <w:r>
        <w:rPr>
          <w:rFonts w:ascii="Times New Roman" w:hAnsi="Times New Roman" w:hint="eastAsia"/>
          <w:b/>
          <w:bCs/>
          <w:color w:val="FF0000"/>
          <w:sz w:val="32"/>
          <w:szCs w:val="32"/>
        </w:rPr>
        <w:t>股</w:t>
      </w:r>
      <w:r w:rsidR="00D14AB6" w:rsidRPr="00D14AB6">
        <w:rPr>
          <w:rFonts w:ascii="Times New Roman" w:hAnsi="Times New Roman" w:hint="eastAsia"/>
          <w:b/>
          <w:bCs/>
          <w:color w:val="FF0000"/>
          <w:sz w:val="32"/>
          <w:szCs w:val="32"/>
        </w:rPr>
        <w:t>股票交易异常波动公告</w:t>
      </w:r>
    </w:p>
    <w:p w14:paraId="04483076" w14:textId="2FEE0A7E" w:rsidR="002867C8" w:rsidRPr="007F4DE7" w:rsidRDefault="001C509E" w:rsidP="001C509E">
      <w:pPr>
        <w:pBdr>
          <w:top w:val="single" w:sz="4" w:space="1" w:color="auto"/>
          <w:left w:val="single" w:sz="4" w:space="4" w:color="auto"/>
          <w:bottom w:val="single" w:sz="4" w:space="7" w:color="auto"/>
          <w:right w:val="single" w:sz="4" w:space="4" w:color="auto"/>
        </w:pBdr>
        <w:autoSpaceDE w:val="0"/>
        <w:autoSpaceDN w:val="0"/>
        <w:spacing w:line="400" w:lineRule="exact"/>
        <w:ind w:firstLineChars="200" w:firstLine="480"/>
        <w:rPr>
          <w:rFonts w:ascii="宋体" w:hAnsi="宋体"/>
          <w:bCs/>
          <w:color w:val="000000"/>
          <w:sz w:val="24"/>
          <w:szCs w:val="24"/>
        </w:rPr>
      </w:pPr>
      <w:r w:rsidRPr="007F4DE7">
        <w:rPr>
          <w:rFonts w:ascii="宋体" w:hAnsi="宋体" w:hint="eastAsia"/>
          <w:bCs/>
          <w:color w:val="000000"/>
          <w:sz w:val="24"/>
          <w:szCs w:val="24"/>
        </w:rPr>
        <w:t>本公司董事会及全体董事保证本公告内容不存在任何虚假记载、误导性陈述或者重大遗漏，并对其内容的真实性、准确性和完整性承担</w:t>
      </w:r>
      <w:r w:rsidR="008C0129" w:rsidRPr="007F4DE7">
        <w:rPr>
          <w:rFonts w:ascii="宋体" w:hAnsi="宋体" w:hint="eastAsia"/>
          <w:bCs/>
          <w:color w:val="000000"/>
          <w:sz w:val="24"/>
          <w:szCs w:val="24"/>
        </w:rPr>
        <w:t>法律</w:t>
      </w:r>
      <w:r w:rsidRPr="007F4DE7">
        <w:rPr>
          <w:rFonts w:ascii="宋体" w:hAnsi="宋体" w:hint="eastAsia"/>
          <w:bCs/>
          <w:color w:val="000000"/>
          <w:sz w:val="24"/>
          <w:szCs w:val="24"/>
        </w:rPr>
        <w:t xml:space="preserve">责任。   </w:t>
      </w:r>
    </w:p>
    <w:p w14:paraId="6077E214" w14:textId="77777777" w:rsidR="00376BE2" w:rsidRDefault="00376BE2" w:rsidP="00376BE2">
      <w:pPr>
        <w:spacing w:line="500" w:lineRule="exact"/>
        <w:ind w:firstLineChars="200" w:firstLine="480"/>
        <w:rPr>
          <w:rFonts w:ascii="Times New Roman" w:hAnsi="Times New Roman"/>
          <w:sz w:val="24"/>
          <w:szCs w:val="21"/>
        </w:rPr>
      </w:pPr>
    </w:p>
    <w:p w14:paraId="7228F07B" w14:textId="77777777" w:rsidR="00D14AB6" w:rsidRPr="00E37849" w:rsidRDefault="00D14AB6" w:rsidP="00E37849">
      <w:pPr>
        <w:spacing w:line="480" w:lineRule="exact"/>
        <w:ind w:firstLineChars="200" w:firstLine="482"/>
        <w:rPr>
          <w:rFonts w:ascii="Times New Roman" w:hAnsi="Times New Roman"/>
          <w:b/>
          <w:sz w:val="24"/>
          <w:szCs w:val="21"/>
        </w:rPr>
      </w:pPr>
      <w:r w:rsidRPr="00E37849">
        <w:rPr>
          <w:rFonts w:ascii="Times New Roman" w:hAnsi="Times New Roman" w:hint="eastAsia"/>
          <w:b/>
          <w:sz w:val="24"/>
          <w:szCs w:val="21"/>
        </w:rPr>
        <w:t>重要内容提示</w:t>
      </w:r>
    </w:p>
    <w:p w14:paraId="279E8902" w14:textId="7E2A8C6B" w:rsidR="00657962" w:rsidRPr="00657962" w:rsidRDefault="00657962" w:rsidP="00594E8E">
      <w:pPr>
        <w:numPr>
          <w:ilvl w:val="0"/>
          <w:numId w:val="2"/>
        </w:numPr>
        <w:spacing w:line="480" w:lineRule="exact"/>
        <w:ind w:left="0" w:firstLineChars="200" w:firstLine="480"/>
        <w:rPr>
          <w:rFonts w:ascii="Times New Roman" w:hAnsi="Times New Roman"/>
          <w:sz w:val="24"/>
          <w:szCs w:val="21"/>
        </w:rPr>
      </w:pPr>
      <w:r w:rsidRPr="00657962">
        <w:rPr>
          <w:rFonts w:ascii="Times New Roman" w:hAnsi="Times New Roman" w:hint="eastAsia"/>
          <w:sz w:val="24"/>
          <w:szCs w:val="21"/>
        </w:rPr>
        <w:t xml:space="preserve"> </w:t>
      </w:r>
      <w:r w:rsidRPr="00657962">
        <w:rPr>
          <w:rFonts w:ascii="Times New Roman" w:hAnsi="Times New Roman" w:hint="eastAsia"/>
          <w:sz w:val="24"/>
          <w:szCs w:val="21"/>
        </w:rPr>
        <w:t>北京京城机电股份有限公司（以下简称“公司”）</w:t>
      </w:r>
      <w:r w:rsidRPr="00657962">
        <w:rPr>
          <w:rFonts w:ascii="Times New Roman" w:hAnsi="Times New Roman" w:hint="eastAsia"/>
          <w:sz w:val="24"/>
          <w:szCs w:val="21"/>
        </w:rPr>
        <w:t xml:space="preserve">A </w:t>
      </w:r>
      <w:r w:rsidRPr="00657962">
        <w:rPr>
          <w:rFonts w:ascii="Times New Roman" w:hAnsi="Times New Roman" w:hint="eastAsia"/>
          <w:sz w:val="24"/>
          <w:szCs w:val="21"/>
        </w:rPr>
        <w:t>股股票价格于</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27</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28</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29</w:t>
      </w:r>
      <w:r w:rsidR="008E5AD6" w:rsidRPr="008E5AD6">
        <w:rPr>
          <w:rFonts w:ascii="Times New Roman" w:hAnsi="Times New Roman" w:hint="eastAsia"/>
          <w:sz w:val="24"/>
          <w:szCs w:val="21"/>
        </w:rPr>
        <w:t>日</w:t>
      </w:r>
      <w:r w:rsidR="00594E8E" w:rsidRPr="00594E8E">
        <w:rPr>
          <w:rFonts w:ascii="Times New Roman" w:hAnsi="Times New Roman" w:hint="eastAsia"/>
          <w:sz w:val="24"/>
          <w:szCs w:val="21"/>
        </w:rPr>
        <w:t>连续</w:t>
      </w:r>
      <w:r w:rsidR="00FA75E0">
        <w:rPr>
          <w:rFonts w:ascii="Times New Roman" w:hAnsi="Times New Roman" w:hint="eastAsia"/>
          <w:sz w:val="24"/>
          <w:szCs w:val="21"/>
        </w:rPr>
        <w:t>3</w:t>
      </w:r>
      <w:r w:rsidR="00594E8E" w:rsidRPr="00594E8E">
        <w:rPr>
          <w:rFonts w:ascii="Times New Roman" w:hAnsi="Times New Roman" w:hint="eastAsia"/>
          <w:sz w:val="24"/>
          <w:szCs w:val="21"/>
        </w:rPr>
        <w:t>个交易日内收盘价格</w:t>
      </w:r>
      <w:r w:rsidR="008E5AD6">
        <w:rPr>
          <w:rFonts w:ascii="Times New Roman" w:hAnsi="Times New Roman" w:hint="eastAsia"/>
          <w:sz w:val="24"/>
          <w:szCs w:val="21"/>
        </w:rPr>
        <w:t>涨</w:t>
      </w:r>
      <w:r w:rsidRPr="00657962">
        <w:rPr>
          <w:rFonts w:ascii="Times New Roman" w:hAnsi="Times New Roman" w:hint="eastAsia"/>
          <w:sz w:val="24"/>
          <w:szCs w:val="21"/>
        </w:rPr>
        <w:t>幅偏离值累计超过</w:t>
      </w:r>
      <w:r w:rsidRPr="00657962">
        <w:rPr>
          <w:rFonts w:ascii="Times New Roman" w:hAnsi="Times New Roman" w:hint="eastAsia"/>
          <w:sz w:val="24"/>
          <w:szCs w:val="21"/>
        </w:rPr>
        <w:t xml:space="preserve"> 20%</w:t>
      </w:r>
      <w:r w:rsidRPr="00657962">
        <w:rPr>
          <w:rFonts w:ascii="Times New Roman" w:hAnsi="Times New Roman" w:hint="eastAsia"/>
          <w:sz w:val="24"/>
          <w:szCs w:val="21"/>
        </w:rPr>
        <w:t>。根据上海证券交易所（以下简称“上交所”）的有关规定，属于股票交易异常波动。</w:t>
      </w:r>
    </w:p>
    <w:p w14:paraId="07FAE1FA" w14:textId="77777777" w:rsidR="00657962" w:rsidRDefault="00657962" w:rsidP="00C11787">
      <w:pPr>
        <w:numPr>
          <w:ilvl w:val="0"/>
          <w:numId w:val="2"/>
        </w:numPr>
        <w:spacing w:line="480" w:lineRule="exact"/>
        <w:ind w:left="0" w:firstLine="426"/>
        <w:rPr>
          <w:rFonts w:ascii="Times New Roman" w:hAnsi="Times New Roman"/>
          <w:sz w:val="24"/>
          <w:szCs w:val="21"/>
        </w:rPr>
      </w:pPr>
      <w:r w:rsidRPr="00657962">
        <w:rPr>
          <w:rFonts w:ascii="Times New Roman" w:hAnsi="Times New Roman" w:hint="eastAsia"/>
          <w:sz w:val="24"/>
          <w:szCs w:val="21"/>
        </w:rPr>
        <w:t>经公司董事会向公司管理层及公司控股股东北京京城机电控股有限责任公司（以下简称“京城机电”）核实，截至本公告日，除</w:t>
      </w:r>
      <w:r w:rsidR="006E2698">
        <w:rPr>
          <w:rFonts w:ascii="Times New Roman" w:hAnsi="Times New Roman" w:hint="eastAsia"/>
          <w:sz w:val="24"/>
          <w:szCs w:val="21"/>
        </w:rPr>
        <w:t>已披露</w:t>
      </w:r>
      <w:r w:rsidRPr="00657962">
        <w:rPr>
          <w:rFonts w:ascii="Times New Roman" w:hAnsi="Times New Roman" w:hint="eastAsia"/>
          <w:sz w:val="24"/>
          <w:szCs w:val="21"/>
        </w:rPr>
        <w:t>的</w:t>
      </w:r>
      <w:r w:rsidR="00EE6A7A">
        <w:rPr>
          <w:rFonts w:ascii="Times New Roman" w:hAnsi="Times New Roman" w:hint="eastAsia"/>
          <w:sz w:val="24"/>
          <w:szCs w:val="21"/>
        </w:rPr>
        <w:t>2</w:t>
      </w:r>
      <w:r w:rsidR="00EE6A7A">
        <w:rPr>
          <w:rFonts w:ascii="Times New Roman" w:hAnsi="Times New Roman"/>
          <w:sz w:val="24"/>
          <w:szCs w:val="21"/>
        </w:rPr>
        <w:t>023</w:t>
      </w:r>
      <w:r w:rsidR="00EE6A7A">
        <w:rPr>
          <w:rFonts w:ascii="Times New Roman" w:hAnsi="Times New Roman" w:hint="eastAsia"/>
          <w:sz w:val="24"/>
          <w:szCs w:val="21"/>
        </w:rPr>
        <w:t>年</w:t>
      </w:r>
      <w:r w:rsidR="002D0345" w:rsidRPr="002D0345">
        <w:rPr>
          <w:rFonts w:ascii="Times New Roman" w:hAnsi="Times New Roman" w:hint="eastAsia"/>
          <w:sz w:val="24"/>
          <w:szCs w:val="21"/>
        </w:rPr>
        <w:t>限制性股票激励计划</w:t>
      </w:r>
      <w:r w:rsidR="009F71C1" w:rsidRPr="009F71C1">
        <w:rPr>
          <w:rFonts w:ascii="Times New Roman" w:hAnsi="Times New Roman" w:hint="eastAsia"/>
          <w:sz w:val="24"/>
          <w:szCs w:val="21"/>
        </w:rPr>
        <w:t>事项外</w:t>
      </w:r>
      <w:r w:rsidR="00F659A1">
        <w:rPr>
          <w:rFonts w:ascii="Times New Roman" w:hAnsi="Times New Roman" w:hint="eastAsia"/>
          <w:sz w:val="24"/>
          <w:szCs w:val="21"/>
        </w:rPr>
        <w:t>，公司及公司控股股东京城机电均</w:t>
      </w:r>
      <w:r w:rsidRPr="00657962">
        <w:rPr>
          <w:rFonts w:ascii="Times New Roman" w:hAnsi="Times New Roman" w:hint="eastAsia"/>
          <w:sz w:val="24"/>
          <w:szCs w:val="21"/>
        </w:rPr>
        <w:t>不存在应披露而未披露的事项。</w:t>
      </w:r>
    </w:p>
    <w:p w14:paraId="4E99B8F8" w14:textId="058F528D" w:rsidR="000129B1" w:rsidRDefault="000129B1" w:rsidP="00C11787">
      <w:pPr>
        <w:numPr>
          <w:ilvl w:val="0"/>
          <w:numId w:val="2"/>
        </w:numPr>
        <w:spacing w:line="480" w:lineRule="exact"/>
        <w:ind w:left="0" w:firstLine="426"/>
        <w:rPr>
          <w:rFonts w:ascii="Times New Roman" w:hAnsi="Times New Roman"/>
          <w:sz w:val="24"/>
          <w:szCs w:val="21"/>
        </w:rPr>
      </w:pPr>
      <w:r w:rsidRPr="000129B1">
        <w:rPr>
          <w:rFonts w:ascii="Times New Roman" w:hAnsi="Times New Roman" w:hint="eastAsia"/>
          <w:sz w:val="24"/>
          <w:szCs w:val="21"/>
        </w:rPr>
        <w:t>公司于</w:t>
      </w:r>
      <w:r w:rsidRPr="000129B1">
        <w:rPr>
          <w:rFonts w:ascii="Times New Roman" w:hAnsi="Times New Roman" w:hint="eastAsia"/>
          <w:sz w:val="24"/>
          <w:szCs w:val="21"/>
        </w:rPr>
        <w:t>2024</w:t>
      </w:r>
      <w:r w:rsidRPr="000129B1">
        <w:rPr>
          <w:rFonts w:ascii="Times New Roman" w:hAnsi="Times New Roman" w:hint="eastAsia"/>
          <w:sz w:val="24"/>
          <w:szCs w:val="21"/>
        </w:rPr>
        <w:t>年</w:t>
      </w:r>
      <w:r w:rsidRPr="000129B1">
        <w:rPr>
          <w:rFonts w:ascii="Times New Roman" w:hAnsi="Times New Roman" w:hint="eastAsia"/>
          <w:sz w:val="24"/>
          <w:szCs w:val="21"/>
        </w:rPr>
        <w:t>1</w:t>
      </w:r>
      <w:r w:rsidRPr="000129B1">
        <w:rPr>
          <w:rFonts w:ascii="Times New Roman" w:hAnsi="Times New Roman" w:hint="eastAsia"/>
          <w:sz w:val="24"/>
          <w:szCs w:val="21"/>
        </w:rPr>
        <w:t>月</w:t>
      </w:r>
      <w:r w:rsidRPr="000129B1">
        <w:rPr>
          <w:rFonts w:ascii="Times New Roman" w:hAnsi="Times New Roman" w:hint="eastAsia"/>
          <w:sz w:val="24"/>
          <w:szCs w:val="21"/>
        </w:rPr>
        <w:t>31</w:t>
      </w:r>
      <w:r w:rsidRPr="000129B1">
        <w:rPr>
          <w:rFonts w:ascii="Times New Roman" w:hAnsi="Times New Roman" w:hint="eastAsia"/>
          <w:sz w:val="24"/>
          <w:szCs w:val="21"/>
        </w:rPr>
        <w:t>日披露《</w:t>
      </w:r>
      <w:r w:rsidRPr="000129B1">
        <w:rPr>
          <w:rFonts w:ascii="Times New Roman" w:hAnsi="Times New Roman" w:hint="eastAsia"/>
          <w:sz w:val="24"/>
          <w:szCs w:val="21"/>
        </w:rPr>
        <w:t>2023</w:t>
      </w:r>
      <w:r w:rsidRPr="000129B1">
        <w:rPr>
          <w:rFonts w:ascii="Times New Roman" w:hAnsi="Times New Roman" w:hint="eastAsia"/>
          <w:sz w:val="24"/>
          <w:szCs w:val="21"/>
        </w:rPr>
        <w:t>年年度业绩预亏公告》（公告编号：临</w:t>
      </w:r>
      <w:r w:rsidRPr="000129B1">
        <w:rPr>
          <w:rFonts w:ascii="Times New Roman" w:hAnsi="Times New Roman" w:hint="eastAsia"/>
          <w:sz w:val="24"/>
          <w:szCs w:val="21"/>
        </w:rPr>
        <w:t>2024-001</w:t>
      </w:r>
      <w:r w:rsidRPr="000129B1">
        <w:rPr>
          <w:rFonts w:ascii="Times New Roman" w:hAnsi="Times New Roman" w:hint="eastAsia"/>
          <w:sz w:val="24"/>
          <w:szCs w:val="21"/>
        </w:rPr>
        <w:t>），预计公司</w:t>
      </w:r>
      <w:r w:rsidRPr="000129B1">
        <w:rPr>
          <w:rFonts w:ascii="Times New Roman" w:hAnsi="Times New Roman" w:hint="eastAsia"/>
          <w:sz w:val="24"/>
          <w:szCs w:val="21"/>
        </w:rPr>
        <w:t>2023</w:t>
      </w:r>
      <w:r w:rsidRPr="000129B1">
        <w:rPr>
          <w:rFonts w:ascii="Times New Roman" w:hAnsi="Times New Roman" w:hint="eastAsia"/>
          <w:sz w:val="24"/>
          <w:szCs w:val="21"/>
        </w:rPr>
        <w:t>年年度实现归属于上市公司股东的净利润约为人民币</w:t>
      </w:r>
      <w:r w:rsidRPr="000129B1">
        <w:rPr>
          <w:rFonts w:ascii="Times New Roman" w:hAnsi="Times New Roman" w:hint="eastAsia"/>
          <w:sz w:val="24"/>
          <w:szCs w:val="21"/>
        </w:rPr>
        <w:t>-4,600</w:t>
      </w:r>
      <w:r w:rsidRPr="000129B1">
        <w:rPr>
          <w:rFonts w:ascii="Times New Roman" w:hAnsi="Times New Roman" w:hint="eastAsia"/>
          <w:sz w:val="24"/>
          <w:szCs w:val="21"/>
        </w:rPr>
        <w:t>万元到</w:t>
      </w:r>
      <w:r w:rsidRPr="000129B1">
        <w:rPr>
          <w:rFonts w:ascii="Times New Roman" w:hAnsi="Times New Roman" w:hint="eastAsia"/>
          <w:sz w:val="24"/>
          <w:szCs w:val="21"/>
        </w:rPr>
        <w:t>-5,500</w:t>
      </w:r>
      <w:r w:rsidRPr="000129B1">
        <w:rPr>
          <w:rFonts w:ascii="Times New Roman" w:hAnsi="Times New Roman" w:hint="eastAsia"/>
          <w:sz w:val="24"/>
          <w:szCs w:val="21"/>
        </w:rPr>
        <w:t>万元，与上年同期（法定披露数据）相比将出现亏损。</w:t>
      </w:r>
      <w:r w:rsidRPr="000129B1">
        <w:rPr>
          <w:rFonts w:ascii="Times New Roman" w:hAnsi="Times New Roman"/>
          <w:sz w:val="24"/>
          <w:szCs w:val="21"/>
        </w:rPr>
        <w:tab/>
      </w:r>
      <w:r w:rsidRPr="000129B1">
        <w:rPr>
          <w:rFonts w:ascii="Times New Roman" w:hAnsi="Times New Roman" w:hint="eastAsia"/>
          <w:sz w:val="24"/>
          <w:szCs w:val="21"/>
        </w:rPr>
        <w:t>预计公司</w:t>
      </w:r>
      <w:r w:rsidRPr="000129B1">
        <w:rPr>
          <w:rFonts w:ascii="Times New Roman" w:hAnsi="Times New Roman"/>
          <w:sz w:val="24"/>
          <w:szCs w:val="21"/>
        </w:rPr>
        <w:t>2023</w:t>
      </w:r>
      <w:r w:rsidRPr="000129B1">
        <w:rPr>
          <w:rFonts w:ascii="Times New Roman" w:hAnsi="Times New Roman" w:hint="eastAsia"/>
          <w:sz w:val="24"/>
          <w:szCs w:val="21"/>
        </w:rPr>
        <w:t>年年度实现归属于上市公司股东的扣除非经常性损益的净利润约为人民币</w:t>
      </w:r>
      <w:r w:rsidRPr="000129B1">
        <w:rPr>
          <w:rFonts w:ascii="Times New Roman" w:hAnsi="Times New Roman"/>
          <w:sz w:val="24"/>
          <w:szCs w:val="21"/>
        </w:rPr>
        <w:t>-5,930</w:t>
      </w:r>
      <w:r w:rsidRPr="000129B1">
        <w:rPr>
          <w:rFonts w:ascii="Times New Roman" w:hAnsi="Times New Roman" w:hint="eastAsia"/>
          <w:sz w:val="24"/>
          <w:szCs w:val="21"/>
        </w:rPr>
        <w:t>万元到</w:t>
      </w:r>
      <w:r w:rsidRPr="000129B1">
        <w:rPr>
          <w:rFonts w:ascii="Times New Roman" w:hAnsi="Times New Roman"/>
          <w:sz w:val="24"/>
          <w:szCs w:val="21"/>
        </w:rPr>
        <w:t>-6,830</w:t>
      </w:r>
      <w:r w:rsidRPr="000129B1">
        <w:rPr>
          <w:rFonts w:ascii="Times New Roman" w:hAnsi="Times New Roman" w:hint="eastAsia"/>
          <w:sz w:val="24"/>
          <w:szCs w:val="21"/>
        </w:rPr>
        <w:t>万元。</w:t>
      </w:r>
    </w:p>
    <w:p w14:paraId="3EBBFBE7" w14:textId="77777777" w:rsidR="008478F3" w:rsidRDefault="008478F3" w:rsidP="008478F3">
      <w:pPr>
        <w:numPr>
          <w:ilvl w:val="0"/>
          <w:numId w:val="2"/>
        </w:numPr>
        <w:spacing w:line="480" w:lineRule="exact"/>
        <w:ind w:left="0" w:firstLine="426"/>
        <w:rPr>
          <w:rFonts w:ascii="Times New Roman" w:hAnsi="Times New Roman"/>
          <w:sz w:val="24"/>
          <w:szCs w:val="21"/>
        </w:rPr>
      </w:pPr>
      <w:r>
        <w:rPr>
          <w:rFonts w:ascii="Times New Roman" w:hAnsi="Times New Roman" w:hint="eastAsia"/>
          <w:sz w:val="24"/>
          <w:szCs w:val="21"/>
        </w:rPr>
        <w:t>公司主营业务</w:t>
      </w:r>
      <w:r w:rsidRPr="00B047F0">
        <w:rPr>
          <w:rFonts w:ascii="Times New Roman" w:hAnsi="Times New Roman"/>
          <w:sz w:val="24"/>
          <w:szCs w:val="21"/>
        </w:rPr>
        <w:t>未发生变化，</w:t>
      </w:r>
      <w:r>
        <w:rPr>
          <w:rFonts w:ascii="Times New Roman" w:hAnsi="Times New Roman"/>
          <w:sz w:val="24"/>
          <w:szCs w:val="21"/>
        </w:rPr>
        <w:t>仍</w:t>
      </w:r>
      <w:r>
        <w:rPr>
          <w:rFonts w:ascii="Times New Roman" w:hAnsi="Times New Roman" w:hint="eastAsia"/>
          <w:sz w:val="24"/>
          <w:szCs w:val="21"/>
        </w:rPr>
        <w:t>为装备制造。</w:t>
      </w:r>
    </w:p>
    <w:p w14:paraId="4CBB9CB7" w14:textId="77777777" w:rsidR="008478F3" w:rsidRPr="002E061C" w:rsidRDefault="008478F3" w:rsidP="008478F3">
      <w:pPr>
        <w:numPr>
          <w:ilvl w:val="0"/>
          <w:numId w:val="2"/>
        </w:numPr>
        <w:spacing w:line="480" w:lineRule="exact"/>
        <w:ind w:left="0" w:firstLine="426"/>
        <w:rPr>
          <w:rFonts w:ascii="Times New Roman" w:hAnsi="Times New Roman"/>
          <w:sz w:val="24"/>
          <w:szCs w:val="21"/>
        </w:rPr>
      </w:pPr>
      <w:r>
        <w:rPr>
          <w:rFonts w:ascii="Times New Roman" w:hAnsi="Times New Roman" w:hint="eastAsia"/>
          <w:sz w:val="24"/>
          <w:szCs w:val="21"/>
        </w:rPr>
        <w:t>公司储氢瓶等相关产品的销售收入相比公司其他主营产品</w:t>
      </w:r>
      <w:r w:rsidRPr="00567283">
        <w:rPr>
          <w:rFonts w:ascii="Times New Roman" w:hAnsi="Times New Roman" w:hint="eastAsia"/>
          <w:sz w:val="24"/>
          <w:szCs w:val="21"/>
        </w:rPr>
        <w:t>占比较小，对公司业绩贡献度有限。</w:t>
      </w:r>
      <w:r w:rsidRPr="001656E9">
        <w:rPr>
          <w:rFonts w:ascii="Times New Roman" w:hAnsi="Times New Roman"/>
          <w:sz w:val="24"/>
          <w:szCs w:val="24"/>
        </w:rPr>
        <w:t>敬请广大投资者理性决策，注意二级市场交易风险。</w:t>
      </w:r>
    </w:p>
    <w:p w14:paraId="2F6C896E" w14:textId="419B45E9" w:rsidR="002E061C" w:rsidRPr="004902C9" w:rsidRDefault="002E061C" w:rsidP="008478F3">
      <w:pPr>
        <w:numPr>
          <w:ilvl w:val="0"/>
          <w:numId w:val="2"/>
        </w:numPr>
        <w:spacing w:line="480" w:lineRule="exact"/>
        <w:ind w:left="0" w:firstLine="426"/>
        <w:rPr>
          <w:rFonts w:ascii="Times New Roman" w:hAnsi="Times New Roman"/>
          <w:sz w:val="24"/>
          <w:szCs w:val="21"/>
        </w:rPr>
      </w:pPr>
      <w:r w:rsidRPr="002E061C">
        <w:rPr>
          <w:rFonts w:ascii="Times New Roman" w:hAnsi="Times New Roman" w:hint="eastAsia"/>
          <w:sz w:val="24"/>
          <w:szCs w:val="21"/>
        </w:rPr>
        <w:t>公司</w:t>
      </w:r>
      <w:r>
        <w:rPr>
          <w:rFonts w:ascii="Times New Roman" w:hAnsi="Times New Roman" w:hint="eastAsia"/>
          <w:sz w:val="24"/>
          <w:szCs w:val="21"/>
        </w:rPr>
        <w:t>披露的业绩</w:t>
      </w:r>
      <w:r w:rsidRPr="002E061C">
        <w:rPr>
          <w:rFonts w:ascii="Times New Roman" w:hAnsi="Times New Roman" w:hint="eastAsia"/>
          <w:sz w:val="24"/>
          <w:szCs w:val="21"/>
        </w:rPr>
        <w:t>预告数据仅为初步核算数据，具体准确的财务数据以公司正式披露的经审计后的</w:t>
      </w:r>
      <w:r w:rsidRPr="002E061C">
        <w:rPr>
          <w:rFonts w:ascii="Times New Roman" w:hAnsi="Times New Roman" w:hint="eastAsia"/>
          <w:sz w:val="24"/>
          <w:szCs w:val="21"/>
        </w:rPr>
        <w:t>2023</w:t>
      </w:r>
      <w:r w:rsidRPr="002E061C">
        <w:rPr>
          <w:rFonts w:ascii="Times New Roman" w:hAnsi="Times New Roman" w:hint="eastAsia"/>
          <w:sz w:val="24"/>
          <w:szCs w:val="21"/>
        </w:rPr>
        <w:t>年年报为准。敬请广大投资者注意投资风险。</w:t>
      </w:r>
    </w:p>
    <w:p w14:paraId="40131238"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lastRenderedPageBreak/>
        <w:t>一、股票交易异常波动的具体情况</w:t>
      </w:r>
    </w:p>
    <w:p w14:paraId="36AEC5A3" w14:textId="4EC3F8CC"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截至</w:t>
      </w:r>
      <w:r w:rsidR="00AD27C4">
        <w:rPr>
          <w:rFonts w:ascii="Times New Roman" w:hAnsi="Times New Roman" w:hint="eastAsia"/>
          <w:sz w:val="24"/>
          <w:szCs w:val="21"/>
        </w:rPr>
        <w:t xml:space="preserve"> </w:t>
      </w:r>
      <w:r w:rsidR="00550BA0" w:rsidRPr="00594E8E">
        <w:rPr>
          <w:rFonts w:ascii="Times New Roman" w:hAnsi="Times New Roman" w:hint="eastAsia"/>
          <w:sz w:val="24"/>
          <w:szCs w:val="21"/>
        </w:rPr>
        <w:t>202</w:t>
      </w:r>
      <w:r w:rsidR="008C0129">
        <w:rPr>
          <w:rFonts w:ascii="Times New Roman" w:hAnsi="Times New Roman"/>
          <w:sz w:val="24"/>
          <w:szCs w:val="21"/>
        </w:rPr>
        <w:t>4</w:t>
      </w:r>
      <w:r w:rsidR="00550BA0" w:rsidRPr="00594E8E">
        <w:rPr>
          <w:rFonts w:ascii="Times New Roman" w:hAnsi="Times New Roman" w:hint="eastAsia"/>
          <w:sz w:val="24"/>
          <w:szCs w:val="21"/>
        </w:rPr>
        <w:t>年</w:t>
      </w:r>
      <w:r w:rsidR="008C0129">
        <w:rPr>
          <w:rFonts w:ascii="Times New Roman" w:hAnsi="Times New Roman" w:hint="eastAsia"/>
          <w:sz w:val="24"/>
          <w:szCs w:val="21"/>
        </w:rPr>
        <w:t>2</w:t>
      </w:r>
      <w:r w:rsidR="00550BA0" w:rsidRPr="00594E8E">
        <w:rPr>
          <w:rFonts w:ascii="Times New Roman" w:hAnsi="Times New Roman" w:hint="eastAsia"/>
          <w:sz w:val="24"/>
          <w:szCs w:val="21"/>
        </w:rPr>
        <w:t>月</w:t>
      </w:r>
      <w:r w:rsidR="008E5AD6">
        <w:rPr>
          <w:rFonts w:ascii="Times New Roman" w:hAnsi="Times New Roman"/>
          <w:sz w:val="24"/>
          <w:szCs w:val="21"/>
        </w:rPr>
        <w:t>29</w:t>
      </w:r>
      <w:r w:rsidR="00550BA0" w:rsidRPr="00594E8E">
        <w:rPr>
          <w:rFonts w:ascii="Times New Roman" w:hAnsi="Times New Roman" w:hint="eastAsia"/>
          <w:sz w:val="24"/>
          <w:szCs w:val="21"/>
        </w:rPr>
        <w:t>日</w:t>
      </w:r>
      <w:r w:rsidR="00217238">
        <w:rPr>
          <w:rFonts w:ascii="Times New Roman" w:hAnsi="Times New Roman" w:hint="eastAsia"/>
          <w:sz w:val="24"/>
          <w:szCs w:val="21"/>
        </w:rPr>
        <w:t>，公</w:t>
      </w:r>
      <w:r w:rsidR="00DB355C">
        <w:rPr>
          <w:rFonts w:ascii="Times New Roman" w:hAnsi="Times New Roman" w:hint="eastAsia"/>
          <w:sz w:val="24"/>
          <w:szCs w:val="21"/>
        </w:rPr>
        <w:t>司</w:t>
      </w:r>
      <w:r w:rsidR="003C40F3">
        <w:rPr>
          <w:rFonts w:ascii="Times New Roman" w:hAnsi="Times New Roman" w:hint="eastAsia"/>
          <w:sz w:val="24"/>
          <w:szCs w:val="21"/>
        </w:rPr>
        <w:t>A</w:t>
      </w:r>
      <w:r w:rsidR="003C40F3">
        <w:rPr>
          <w:rFonts w:ascii="Times New Roman" w:hAnsi="Times New Roman" w:hint="eastAsia"/>
          <w:sz w:val="24"/>
          <w:szCs w:val="21"/>
        </w:rPr>
        <w:t>股</w:t>
      </w:r>
      <w:r w:rsidR="009422DA">
        <w:rPr>
          <w:rFonts w:ascii="Times New Roman" w:hAnsi="Times New Roman" w:hint="eastAsia"/>
          <w:sz w:val="24"/>
          <w:szCs w:val="21"/>
        </w:rPr>
        <w:t>股票</w:t>
      </w:r>
      <w:r w:rsidR="002E2DCA">
        <w:rPr>
          <w:rFonts w:ascii="Times New Roman" w:hAnsi="Times New Roman" w:hint="eastAsia"/>
          <w:sz w:val="24"/>
          <w:szCs w:val="21"/>
        </w:rPr>
        <w:t>连续</w:t>
      </w:r>
      <w:r w:rsidR="00FA75E0">
        <w:rPr>
          <w:rFonts w:ascii="Times New Roman" w:hAnsi="Times New Roman" w:hint="eastAsia"/>
          <w:sz w:val="24"/>
          <w:szCs w:val="21"/>
        </w:rPr>
        <w:t>3</w:t>
      </w:r>
      <w:r w:rsidR="002E2DCA" w:rsidRPr="00401D00">
        <w:rPr>
          <w:rFonts w:ascii="Times New Roman" w:hAnsi="Times New Roman" w:hint="eastAsia"/>
          <w:sz w:val="24"/>
          <w:szCs w:val="21"/>
        </w:rPr>
        <w:t>个交易日</w:t>
      </w:r>
      <w:r w:rsidRPr="00657962">
        <w:rPr>
          <w:rFonts w:ascii="Times New Roman" w:hAnsi="Times New Roman" w:hint="eastAsia"/>
          <w:sz w:val="24"/>
          <w:szCs w:val="21"/>
        </w:rPr>
        <w:t>（</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27</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28</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29</w:t>
      </w:r>
      <w:r w:rsidR="008E5AD6" w:rsidRPr="008E5AD6">
        <w:rPr>
          <w:rFonts w:ascii="Times New Roman" w:hAnsi="Times New Roman" w:hint="eastAsia"/>
          <w:sz w:val="24"/>
          <w:szCs w:val="21"/>
        </w:rPr>
        <w:t>日</w:t>
      </w:r>
      <w:r w:rsidR="00594E8E">
        <w:rPr>
          <w:rFonts w:ascii="Times New Roman" w:hAnsi="Times New Roman" w:hint="eastAsia"/>
          <w:sz w:val="24"/>
          <w:szCs w:val="21"/>
        </w:rPr>
        <w:t>）内收盘价格</w:t>
      </w:r>
      <w:r w:rsidR="008E5AD6">
        <w:rPr>
          <w:rFonts w:ascii="Times New Roman" w:hAnsi="Times New Roman" w:hint="eastAsia"/>
          <w:sz w:val="24"/>
          <w:szCs w:val="21"/>
        </w:rPr>
        <w:t>涨</w:t>
      </w:r>
      <w:r w:rsidRPr="00657962">
        <w:rPr>
          <w:rFonts w:ascii="Times New Roman" w:hAnsi="Times New Roman" w:hint="eastAsia"/>
          <w:sz w:val="24"/>
          <w:szCs w:val="21"/>
        </w:rPr>
        <w:t>幅偏离值累计超过</w:t>
      </w:r>
      <w:r w:rsidRPr="00657962">
        <w:rPr>
          <w:rFonts w:ascii="Times New Roman" w:hAnsi="Times New Roman" w:hint="eastAsia"/>
          <w:sz w:val="24"/>
          <w:szCs w:val="21"/>
        </w:rPr>
        <w:t>20%</w:t>
      </w:r>
      <w:r w:rsidRPr="00657962">
        <w:rPr>
          <w:rFonts w:ascii="Times New Roman" w:hAnsi="Times New Roman" w:hint="eastAsia"/>
          <w:sz w:val="24"/>
          <w:szCs w:val="21"/>
        </w:rPr>
        <w:t>。根据上交所的有关规定，属于股票交易异常波动。</w:t>
      </w:r>
    </w:p>
    <w:p w14:paraId="69E0C924"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二、公司关注并核实的相关情况</w:t>
      </w:r>
    </w:p>
    <w:p w14:paraId="6F915C7E"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经公司自查核实并向公司控股股东征询，现将核实情况公告如下：</w:t>
      </w:r>
    </w:p>
    <w:p w14:paraId="369635A0"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（一）</w:t>
      </w:r>
      <w:r w:rsidR="00FA58CA" w:rsidRPr="00FA58CA">
        <w:rPr>
          <w:rFonts w:ascii="Times New Roman" w:hAnsi="Times New Roman" w:hint="eastAsia"/>
          <w:sz w:val="24"/>
          <w:szCs w:val="21"/>
        </w:rPr>
        <w:t>生产经营情况。经公司自查，公司目前生产经营活动正常，内部生产经营秩序正常，公司主营业务未发生重大变化，不存在应披露而未披露的重大事项。</w:t>
      </w:r>
    </w:p>
    <w:p w14:paraId="3B940BAC" w14:textId="77777777" w:rsidR="00657962" w:rsidRPr="00657962" w:rsidRDefault="00B95C90" w:rsidP="002E3E1C">
      <w:pPr>
        <w:spacing w:line="480" w:lineRule="exact"/>
        <w:ind w:firstLineChars="236" w:firstLine="566"/>
        <w:rPr>
          <w:rFonts w:ascii="Times New Roman" w:hAnsi="Times New Roman"/>
          <w:sz w:val="24"/>
          <w:szCs w:val="21"/>
        </w:rPr>
      </w:pPr>
      <w:r>
        <w:rPr>
          <w:rFonts w:ascii="Times New Roman" w:hAnsi="Times New Roman" w:hint="eastAsia"/>
          <w:sz w:val="24"/>
          <w:szCs w:val="21"/>
        </w:rPr>
        <w:t>（二）重大事项情况</w:t>
      </w:r>
    </w:p>
    <w:p w14:paraId="7310C347" w14:textId="12C064CF"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经公司自查，不存在根据《上海证券交易所股票上市规则》（以下简称“《上市规则》”）等有关规定应予以披露而未披露的事项或与该事项有关的筹划、商谈、意向、协议等</w:t>
      </w:r>
      <w:r w:rsidR="00992136">
        <w:rPr>
          <w:rFonts w:ascii="Times New Roman" w:hAnsi="Times New Roman" w:hint="eastAsia"/>
          <w:sz w:val="24"/>
          <w:szCs w:val="21"/>
        </w:rPr>
        <w:t>；</w:t>
      </w:r>
      <w:r w:rsidRPr="00657962">
        <w:rPr>
          <w:rFonts w:ascii="Times New Roman" w:hAnsi="Times New Roman" w:hint="eastAsia"/>
          <w:sz w:val="24"/>
          <w:szCs w:val="21"/>
        </w:rPr>
        <w:t>董事会也未获悉公司有根据《上市规则》等有关规定应予以披露而未披露的、对公司股票及其衍生品种交易价格产生较大影响的信息</w:t>
      </w:r>
      <w:r w:rsidR="00992136">
        <w:rPr>
          <w:rFonts w:ascii="Times New Roman" w:hAnsi="Times New Roman" w:hint="eastAsia"/>
          <w:sz w:val="24"/>
          <w:szCs w:val="21"/>
        </w:rPr>
        <w:t>；</w:t>
      </w:r>
      <w:r w:rsidR="00992136" w:rsidRPr="00992136">
        <w:rPr>
          <w:rFonts w:ascii="Times New Roman" w:hAnsi="Times New Roman" w:hint="eastAsia"/>
          <w:sz w:val="24"/>
          <w:szCs w:val="21"/>
        </w:rPr>
        <w:t>公司前期披露的信息不存在需要更正、补充之处</w:t>
      </w:r>
      <w:r w:rsidR="00992136">
        <w:rPr>
          <w:rFonts w:ascii="Times New Roman" w:hAnsi="Times New Roman" w:hint="eastAsia"/>
          <w:sz w:val="24"/>
          <w:szCs w:val="21"/>
        </w:rPr>
        <w:t>。</w:t>
      </w:r>
    </w:p>
    <w:p w14:paraId="65207B98" w14:textId="77777777" w:rsid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公司经向控股股东</w:t>
      </w:r>
      <w:r w:rsidR="00B95C90">
        <w:rPr>
          <w:rFonts w:ascii="Times New Roman" w:hAnsi="Times New Roman" w:hint="eastAsia"/>
          <w:sz w:val="24"/>
          <w:szCs w:val="21"/>
        </w:rPr>
        <w:t>京城机电函证，回复如下：</w:t>
      </w:r>
      <w:r w:rsidR="00F21D37" w:rsidRPr="00F21D37">
        <w:rPr>
          <w:rFonts w:ascii="Times New Roman" w:hAnsi="Times New Roman" w:hint="eastAsia"/>
          <w:sz w:val="24"/>
          <w:szCs w:val="21"/>
        </w:rPr>
        <w:t>除正在进行的</w:t>
      </w:r>
      <w:r w:rsidR="0003239F">
        <w:rPr>
          <w:rFonts w:ascii="Times New Roman" w:hAnsi="Times New Roman" w:hint="eastAsia"/>
          <w:sz w:val="24"/>
          <w:szCs w:val="21"/>
        </w:rPr>
        <w:t>2</w:t>
      </w:r>
      <w:r w:rsidR="0003239F">
        <w:rPr>
          <w:rFonts w:ascii="Times New Roman" w:hAnsi="Times New Roman"/>
          <w:sz w:val="24"/>
          <w:szCs w:val="21"/>
        </w:rPr>
        <w:t>023</w:t>
      </w:r>
      <w:r w:rsidR="0003239F">
        <w:rPr>
          <w:rFonts w:ascii="Times New Roman" w:hAnsi="Times New Roman" w:hint="eastAsia"/>
          <w:sz w:val="24"/>
          <w:szCs w:val="21"/>
        </w:rPr>
        <w:t>年</w:t>
      </w:r>
      <w:r w:rsidR="00F21D37" w:rsidRPr="00F21D37">
        <w:rPr>
          <w:rFonts w:ascii="Times New Roman" w:hAnsi="Times New Roman" w:hint="eastAsia"/>
          <w:sz w:val="24"/>
          <w:szCs w:val="21"/>
        </w:rPr>
        <w:t>限制性股票激励计划事项外，</w:t>
      </w:r>
      <w:r w:rsidR="00F21D37">
        <w:rPr>
          <w:rFonts w:ascii="Times New Roman" w:hAnsi="Times New Roman" w:hint="eastAsia"/>
          <w:sz w:val="24"/>
          <w:szCs w:val="21"/>
        </w:rPr>
        <w:t>京城机电</w:t>
      </w:r>
      <w:r w:rsidR="00F21D37" w:rsidRPr="00F21D37">
        <w:rPr>
          <w:rFonts w:ascii="Times New Roman" w:hAnsi="Times New Roman" w:hint="eastAsia"/>
          <w:sz w:val="24"/>
          <w:szCs w:val="21"/>
        </w:rPr>
        <w:t>不存在《上市规则》中规定的影响你公司股价的应披露而未披露的重大敏感信息，包括但不限于筹划涉及你公司的重大资产重组、股份发行、收购、债务重组、业务重组、资产剥离、资产注入、股份回购、股权激励、破产重整、重大业务合作、引进战略投资者等重大事项。</w:t>
      </w:r>
    </w:p>
    <w:p w14:paraId="2A32595A"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（三）媒体报道、市场传闻、热点概念情况</w:t>
      </w:r>
    </w:p>
    <w:p w14:paraId="689A9115" w14:textId="77777777" w:rsidR="00657962" w:rsidRPr="00657962" w:rsidRDefault="00DB355C" w:rsidP="002E3E1C">
      <w:pPr>
        <w:spacing w:line="480" w:lineRule="exact"/>
        <w:ind w:firstLineChars="236" w:firstLine="566"/>
        <w:rPr>
          <w:rFonts w:ascii="Times New Roman" w:hAnsi="Times New Roman"/>
          <w:sz w:val="24"/>
          <w:szCs w:val="21"/>
        </w:rPr>
      </w:pPr>
      <w:r w:rsidRPr="00991559">
        <w:rPr>
          <w:rFonts w:ascii="Times New Roman" w:hAnsi="Times New Roman"/>
          <w:sz w:val="24"/>
          <w:szCs w:val="24"/>
        </w:rPr>
        <w:t>公司主营业务为装备制造，储氢瓶等相关产品的销售收入相比公司其他主营产品占比较小，对公司业绩贡献度有限。</w:t>
      </w:r>
      <w:r w:rsidRPr="00DB6C4C">
        <w:rPr>
          <w:rFonts w:ascii="Times New Roman" w:hAnsi="Times New Roman" w:hint="eastAsia"/>
          <w:sz w:val="24"/>
          <w:szCs w:val="24"/>
        </w:rPr>
        <w:t>公司未发现对公司股票交易价格可能产生重大影响的媒体报道或市场传闻，公司未发现其他可能对公司股价产生较大影响的重大事件。</w:t>
      </w:r>
      <w:r w:rsidRPr="00A040E9">
        <w:rPr>
          <w:rFonts w:ascii="Times New Roman" w:hAnsi="Times New Roman"/>
          <w:sz w:val="24"/>
          <w:szCs w:val="24"/>
        </w:rPr>
        <w:t>敬请广大投资者注意二级市场交易风险，理性决策，审慎投资。</w:t>
      </w:r>
    </w:p>
    <w:p w14:paraId="0CBCC619"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（四）其他股价敏感信息</w:t>
      </w:r>
    </w:p>
    <w:p w14:paraId="6DBAFFD4" w14:textId="7E7F7718" w:rsidR="002E061C" w:rsidRDefault="002E061C" w:rsidP="002E3E1C">
      <w:pPr>
        <w:spacing w:line="480" w:lineRule="exact"/>
        <w:ind w:firstLineChars="236" w:firstLine="566"/>
        <w:rPr>
          <w:rFonts w:ascii="Times New Roman" w:hAnsi="Times New Roman"/>
          <w:sz w:val="24"/>
          <w:szCs w:val="21"/>
        </w:rPr>
      </w:pPr>
      <w:r>
        <w:rPr>
          <w:rFonts w:ascii="Times New Roman" w:hAnsi="Times New Roman"/>
          <w:sz w:val="24"/>
          <w:szCs w:val="21"/>
        </w:rPr>
        <w:t>1</w:t>
      </w:r>
      <w:r w:rsidRPr="002E061C">
        <w:rPr>
          <w:rFonts w:ascii="Times New Roman" w:hAnsi="Times New Roman" w:hint="eastAsia"/>
          <w:sz w:val="24"/>
          <w:szCs w:val="21"/>
        </w:rPr>
        <w:t>、</w:t>
      </w:r>
      <w:r w:rsidRPr="000129B1">
        <w:rPr>
          <w:rFonts w:ascii="Times New Roman" w:hAnsi="Times New Roman" w:hint="eastAsia"/>
          <w:sz w:val="24"/>
          <w:szCs w:val="21"/>
        </w:rPr>
        <w:t>公司于</w:t>
      </w:r>
      <w:r w:rsidRPr="000129B1">
        <w:rPr>
          <w:rFonts w:ascii="Times New Roman" w:hAnsi="Times New Roman" w:hint="eastAsia"/>
          <w:sz w:val="24"/>
          <w:szCs w:val="21"/>
        </w:rPr>
        <w:t>2024</w:t>
      </w:r>
      <w:r w:rsidRPr="000129B1">
        <w:rPr>
          <w:rFonts w:ascii="Times New Roman" w:hAnsi="Times New Roman" w:hint="eastAsia"/>
          <w:sz w:val="24"/>
          <w:szCs w:val="21"/>
        </w:rPr>
        <w:t>年</w:t>
      </w:r>
      <w:r w:rsidRPr="000129B1">
        <w:rPr>
          <w:rFonts w:ascii="Times New Roman" w:hAnsi="Times New Roman" w:hint="eastAsia"/>
          <w:sz w:val="24"/>
          <w:szCs w:val="21"/>
        </w:rPr>
        <w:t>1</w:t>
      </w:r>
      <w:r w:rsidRPr="000129B1">
        <w:rPr>
          <w:rFonts w:ascii="Times New Roman" w:hAnsi="Times New Roman" w:hint="eastAsia"/>
          <w:sz w:val="24"/>
          <w:szCs w:val="21"/>
        </w:rPr>
        <w:t>月</w:t>
      </w:r>
      <w:r w:rsidRPr="000129B1">
        <w:rPr>
          <w:rFonts w:ascii="Times New Roman" w:hAnsi="Times New Roman" w:hint="eastAsia"/>
          <w:sz w:val="24"/>
          <w:szCs w:val="21"/>
        </w:rPr>
        <w:t>31</w:t>
      </w:r>
      <w:r w:rsidRPr="000129B1">
        <w:rPr>
          <w:rFonts w:ascii="Times New Roman" w:hAnsi="Times New Roman" w:hint="eastAsia"/>
          <w:sz w:val="24"/>
          <w:szCs w:val="21"/>
        </w:rPr>
        <w:t>日披露《</w:t>
      </w:r>
      <w:r w:rsidRPr="000129B1">
        <w:rPr>
          <w:rFonts w:ascii="Times New Roman" w:hAnsi="Times New Roman" w:hint="eastAsia"/>
          <w:sz w:val="24"/>
          <w:szCs w:val="21"/>
        </w:rPr>
        <w:t>2023</w:t>
      </w:r>
      <w:r w:rsidRPr="000129B1">
        <w:rPr>
          <w:rFonts w:ascii="Times New Roman" w:hAnsi="Times New Roman" w:hint="eastAsia"/>
          <w:sz w:val="24"/>
          <w:szCs w:val="21"/>
        </w:rPr>
        <w:t>年年度业绩预亏公告》（公告编号：临</w:t>
      </w:r>
      <w:r w:rsidRPr="000129B1">
        <w:rPr>
          <w:rFonts w:ascii="Times New Roman" w:hAnsi="Times New Roman" w:hint="eastAsia"/>
          <w:sz w:val="24"/>
          <w:szCs w:val="21"/>
        </w:rPr>
        <w:t>2024-001</w:t>
      </w:r>
      <w:r w:rsidRPr="000129B1">
        <w:rPr>
          <w:rFonts w:ascii="Times New Roman" w:hAnsi="Times New Roman" w:hint="eastAsia"/>
          <w:sz w:val="24"/>
          <w:szCs w:val="21"/>
        </w:rPr>
        <w:t>），预计公司</w:t>
      </w:r>
      <w:r w:rsidRPr="000129B1">
        <w:rPr>
          <w:rFonts w:ascii="Times New Roman" w:hAnsi="Times New Roman" w:hint="eastAsia"/>
          <w:sz w:val="24"/>
          <w:szCs w:val="21"/>
        </w:rPr>
        <w:t>2023</w:t>
      </w:r>
      <w:r w:rsidRPr="000129B1">
        <w:rPr>
          <w:rFonts w:ascii="Times New Roman" w:hAnsi="Times New Roman" w:hint="eastAsia"/>
          <w:sz w:val="24"/>
          <w:szCs w:val="21"/>
        </w:rPr>
        <w:t>年年度实现归属于上市公司股东的净利润约为人民币</w:t>
      </w:r>
      <w:r w:rsidRPr="000129B1">
        <w:rPr>
          <w:rFonts w:ascii="Times New Roman" w:hAnsi="Times New Roman" w:hint="eastAsia"/>
          <w:sz w:val="24"/>
          <w:szCs w:val="21"/>
        </w:rPr>
        <w:t>-4,600</w:t>
      </w:r>
      <w:r w:rsidRPr="000129B1">
        <w:rPr>
          <w:rFonts w:ascii="Times New Roman" w:hAnsi="Times New Roman" w:hint="eastAsia"/>
          <w:sz w:val="24"/>
          <w:szCs w:val="21"/>
        </w:rPr>
        <w:t>万元到</w:t>
      </w:r>
      <w:r w:rsidRPr="000129B1">
        <w:rPr>
          <w:rFonts w:ascii="Times New Roman" w:hAnsi="Times New Roman" w:hint="eastAsia"/>
          <w:sz w:val="24"/>
          <w:szCs w:val="21"/>
        </w:rPr>
        <w:t>-5,500</w:t>
      </w:r>
      <w:r w:rsidRPr="000129B1">
        <w:rPr>
          <w:rFonts w:ascii="Times New Roman" w:hAnsi="Times New Roman" w:hint="eastAsia"/>
          <w:sz w:val="24"/>
          <w:szCs w:val="21"/>
        </w:rPr>
        <w:t>万元，与上年同期（法定披露数据）相比将出现亏损。</w:t>
      </w:r>
      <w:r w:rsidRPr="000129B1">
        <w:rPr>
          <w:rFonts w:ascii="Times New Roman" w:hAnsi="Times New Roman"/>
          <w:sz w:val="24"/>
          <w:szCs w:val="21"/>
        </w:rPr>
        <w:lastRenderedPageBreak/>
        <w:tab/>
      </w:r>
      <w:r w:rsidRPr="000129B1">
        <w:rPr>
          <w:rFonts w:ascii="Times New Roman" w:hAnsi="Times New Roman" w:hint="eastAsia"/>
          <w:sz w:val="24"/>
          <w:szCs w:val="21"/>
        </w:rPr>
        <w:t>预计公司</w:t>
      </w:r>
      <w:r w:rsidRPr="000129B1">
        <w:rPr>
          <w:rFonts w:ascii="Times New Roman" w:hAnsi="Times New Roman"/>
          <w:sz w:val="24"/>
          <w:szCs w:val="21"/>
        </w:rPr>
        <w:t>2023</w:t>
      </w:r>
      <w:r w:rsidRPr="000129B1">
        <w:rPr>
          <w:rFonts w:ascii="Times New Roman" w:hAnsi="Times New Roman" w:hint="eastAsia"/>
          <w:sz w:val="24"/>
          <w:szCs w:val="21"/>
        </w:rPr>
        <w:t>年年度实现归属于上市公司股东的扣除非经常性损益的净利润约为人民币</w:t>
      </w:r>
      <w:r w:rsidRPr="000129B1">
        <w:rPr>
          <w:rFonts w:ascii="Times New Roman" w:hAnsi="Times New Roman"/>
          <w:sz w:val="24"/>
          <w:szCs w:val="21"/>
        </w:rPr>
        <w:t>-5,930</w:t>
      </w:r>
      <w:r w:rsidRPr="000129B1">
        <w:rPr>
          <w:rFonts w:ascii="Times New Roman" w:hAnsi="Times New Roman" w:hint="eastAsia"/>
          <w:sz w:val="24"/>
          <w:szCs w:val="21"/>
        </w:rPr>
        <w:t>万元到</w:t>
      </w:r>
      <w:r w:rsidRPr="000129B1">
        <w:rPr>
          <w:rFonts w:ascii="Times New Roman" w:hAnsi="Times New Roman"/>
          <w:sz w:val="24"/>
          <w:szCs w:val="21"/>
        </w:rPr>
        <w:t>-6,830</w:t>
      </w:r>
      <w:r w:rsidRPr="000129B1">
        <w:rPr>
          <w:rFonts w:ascii="Times New Roman" w:hAnsi="Times New Roman" w:hint="eastAsia"/>
          <w:sz w:val="24"/>
          <w:szCs w:val="21"/>
        </w:rPr>
        <w:t>万元。</w:t>
      </w:r>
    </w:p>
    <w:p w14:paraId="41085D09" w14:textId="1C88EF7B" w:rsidR="00657962" w:rsidRDefault="002E061C" w:rsidP="002E3E1C">
      <w:pPr>
        <w:spacing w:line="480" w:lineRule="exact"/>
        <w:ind w:firstLineChars="236" w:firstLine="566"/>
        <w:rPr>
          <w:rFonts w:ascii="Times New Roman" w:hAnsi="Times New Roman"/>
          <w:sz w:val="24"/>
          <w:szCs w:val="21"/>
        </w:rPr>
      </w:pPr>
      <w:r>
        <w:rPr>
          <w:rFonts w:ascii="Times New Roman" w:hAnsi="Times New Roman" w:hint="eastAsia"/>
          <w:sz w:val="24"/>
          <w:szCs w:val="21"/>
        </w:rPr>
        <w:t>2</w:t>
      </w:r>
      <w:r>
        <w:rPr>
          <w:rFonts w:ascii="Times New Roman" w:hAnsi="Times New Roman" w:hint="eastAsia"/>
          <w:sz w:val="24"/>
          <w:szCs w:val="21"/>
        </w:rPr>
        <w:t>、</w:t>
      </w:r>
      <w:r w:rsidR="00657962" w:rsidRPr="00657962">
        <w:rPr>
          <w:rFonts w:ascii="Times New Roman" w:hAnsi="Times New Roman" w:hint="eastAsia"/>
          <w:sz w:val="24"/>
          <w:szCs w:val="21"/>
        </w:rPr>
        <w:t>经公司核实，未发现公司控股股东、实际控制人及公司董事、监事、高级管理人员在公司本次股票交易异常波动期间买卖公司股票的情况。</w:t>
      </w:r>
    </w:p>
    <w:p w14:paraId="78E605B2"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三、相关风险提示</w:t>
      </w:r>
    </w:p>
    <w:p w14:paraId="2B757F4B" w14:textId="77777777" w:rsidR="00657962" w:rsidRPr="00657962" w:rsidRDefault="00B95C90" w:rsidP="002E3E1C">
      <w:pPr>
        <w:spacing w:line="480" w:lineRule="exact"/>
        <w:ind w:firstLineChars="236" w:firstLine="566"/>
        <w:rPr>
          <w:rFonts w:ascii="Times New Roman" w:hAnsi="Times New Roman"/>
          <w:sz w:val="24"/>
          <w:szCs w:val="21"/>
        </w:rPr>
      </w:pPr>
      <w:r>
        <w:rPr>
          <w:rFonts w:ascii="Times New Roman" w:hAnsi="Times New Roman" w:hint="eastAsia"/>
          <w:sz w:val="24"/>
          <w:szCs w:val="21"/>
        </w:rPr>
        <w:t>（一）二级市场交易风险</w:t>
      </w:r>
    </w:p>
    <w:p w14:paraId="55A11D03" w14:textId="16BBA6D8" w:rsidR="00657962" w:rsidRPr="00244D22" w:rsidRDefault="00DB355C" w:rsidP="002E3E1C">
      <w:pPr>
        <w:spacing w:line="480" w:lineRule="exact"/>
        <w:ind w:firstLineChars="236" w:firstLine="566"/>
        <w:rPr>
          <w:rFonts w:ascii="Times New Roman" w:hAnsi="Times New Roman"/>
          <w:sz w:val="24"/>
          <w:szCs w:val="21"/>
        </w:rPr>
      </w:pPr>
      <w:r>
        <w:rPr>
          <w:rFonts w:ascii="Times New Roman" w:hAnsi="Times New Roman" w:hint="eastAsia"/>
          <w:sz w:val="24"/>
          <w:szCs w:val="21"/>
        </w:rPr>
        <w:t>公司</w:t>
      </w:r>
      <w:r w:rsidR="003C40F3">
        <w:rPr>
          <w:rFonts w:ascii="Times New Roman" w:hAnsi="Times New Roman" w:hint="eastAsia"/>
          <w:sz w:val="24"/>
          <w:szCs w:val="21"/>
        </w:rPr>
        <w:t>A</w:t>
      </w:r>
      <w:r w:rsidR="003C40F3">
        <w:rPr>
          <w:rFonts w:ascii="Times New Roman" w:hAnsi="Times New Roman" w:hint="eastAsia"/>
          <w:sz w:val="24"/>
          <w:szCs w:val="21"/>
        </w:rPr>
        <w:t>股</w:t>
      </w:r>
      <w:r w:rsidR="002E2DCA">
        <w:rPr>
          <w:rFonts w:ascii="Times New Roman" w:hAnsi="Times New Roman" w:hint="eastAsia"/>
          <w:sz w:val="24"/>
          <w:szCs w:val="21"/>
        </w:rPr>
        <w:t>股票连续</w:t>
      </w:r>
      <w:r w:rsidR="00FA75E0">
        <w:rPr>
          <w:rFonts w:ascii="Times New Roman" w:hAnsi="Times New Roman" w:hint="eastAsia"/>
          <w:sz w:val="24"/>
          <w:szCs w:val="21"/>
        </w:rPr>
        <w:t>3</w:t>
      </w:r>
      <w:r w:rsidR="00657962" w:rsidRPr="009263E9">
        <w:rPr>
          <w:rFonts w:ascii="Times New Roman" w:hAnsi="Times New Roman" w:hint="eastAsia"/>
          <w:sz w:val="24"/>
          <w:szCs w:val="21"/>
        </w:rPr>
        <w:t>个交易日（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27</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28</w:t>
      </w:r>
      <w:r w:rsidR="008E5AD6" w:rsidRPr="008E5AD6">
        <w:rPr>
          <w:rFonts w:ascii="Times New Roman" w:hAnsi="Times New Roman" w:hint="eastAsia"/>
          <w:sz w:val="24"/>
          <w:szCs w:val="21"/>
        </w:rPr>
        <w:t>日、</w:t>
      </w:r>
      <w:r w:rsidR="008E5AD6" w:rsidRPr="008E5AD6">
        <w:rPr>
          <w:rFonts w:ascii="Times New Roman" w:hAnsi="Times New Roman" w:hint="eastAsia"/>
          <w:sz w:val="24"/>
          <w:szCs w:val="21"/>
        </w:rPr>
        <w:t>2024</w:t>
      </w:r>
      <w:r w:rsidR="008E5AD6" w:rsidRPr="008E5AD6">
        <w:rPr>
          <w:rFonts w:ascii="Times New Roman" w:hAnsi="Times New Roman" w:hint="eastAsia"/>
          <w:sz w:val="24"/>
          <w:szCs w:val="21"/>
        </w:rPr>
        <w:t>年</w:t>
      </w:r>
      <w:r w:rsidR="008E5AD6" w:rsidRPr="008E5AD6">
        <w:rPr>
          <w:rFonts w:ascii="Times New Roman" w:hAnsi="Times New Roman" w:hint="eastAsia"/>
          <w:sz w:val="24"/>
          <w:szCs w:val="21"/>
        </w:rPr>
        <w:t>2</w:t>
      </w:r>
      <w:r w:rsidR="008E5AD6" w:rsidRPr="008E5AD6">
        <w:rPr>
          <w:rFonts w:ascii="Times New Roman" w:hAnsi="Times New Roman" w:hint="eastAsia"/>
          <w:sz w:val="24"/>
          <w:szCs w:val="21"/>
        </w:rPr>
        <w:t>月</w:t>
      </w:r>
      <w:r w:rsidR="008E5AD6" w:rsidRPr="008E5AD6">
        <w:rPr>
          <w:rFonts w:ascii="Times New Roman" w:hAnsi="Times New Roman" w:hint="eastAsia"/>
          <w:sz w:val="24"/>
          <w:szCs w:val="21"/>
        </w:rPr>
        <w:t>29</w:t>
      </w:r>
      <w:r w:rsidR="008E5AD6" w:rsidRPr="008E5AD6">
        <w:rPr>
          <w:rFonts w:ascii="Times New Roman" w:hAnsi="Times New Roman" w:hint="eastAsia"/>
          <w:sz w:val="24"/>
          <w:szCs w:val="21"/>
        </w:rPr>
        <w:t>日</w:t>
      </w:r>
      <w:r w:rsidR="00657962" w:rsidRPr="009263E9">
        <w:rPr>
          <w:rFonts w:ascii="Times New Roman" w:hAnsi="Times New Roman" w:hint="eastAsia"/>
          <w:sz w:val="24"/>
          <w:szCs w:val="21"/>
        </w:rPr>
        <w:t>）内收盘价格</w:t>
      </w:r>
      <w:r w:rsidR="00A13DCC">
        <w:rPr>
          <w:rFonts w:ascii="Times New Roman" w:hAnsi="Times New Roman" w:hint="eastAsia"/>
          <w:sz w:val="24"/>
          <w:szCs w:val="21"/>
        </w:rPr>
        <w:t>涨</w:t>
      </w:r>
      <w:r w:rsidR="00657962" w:rsidRPr="009263E9">
        <w:rPr>
          <w:rFonts w:ascii="Times New Roman" w:hAnsi="Times New Roman" w:hint="eastAsia"/>
          <w:sz w:val="24"/>
          <w:szCs w:val="21"/>
        </w:rPr>
        <w:t>幅偏离值累计超过</w:t>
      </w:r>
      <w:r w:rsidR="00657962" w:rsidRPr="009263E9">
        <w:rPr>
          <w:rFonts w:ascii="Times New Roman" w:hAnsi="Times New Roman" w:hint="eastAsia"/>
          <w:sz w:val="24"/>
          <w:szCs w:val="21"/>
        </w:rPr>
        <w:t>20%</w:t>
      </w:r>
      <w:r w:rsidR="006E2698" w:rsidRPr="009263E9">
        <w:rPr>
          <w:rFonts w:ascii="Times New Roman" w:hAnsi="Times New Roman" w:hint="eastAsia"/>
          <w:sz w:val="24"/>
          <w:szCs w:val="21"/>
        </w:rPr>
        <w:t>，</w:t>
      </w:r>
      <w:bookmarkStart w:id="0" w:name="_Hlk73713464"/>
      <w:r w:rsidR="00F659A1" w:rsidRPr="00F659A1">
        <w:rPr>
          <w:rFonts w:ascii="Times New Roman" w:hAnsi="Times New Roman" w:hint="eastAsia"/>
          <w:sz w:val="24"/>
          <w:szCs w:val="21"/>
        </w:rPr>
        <w:t>公司提醒广大投资者注意二级市场交易风险，理性决策，审慎投资！</w:t>
      </w:r>
      <w:bookmarkEnd w:id="0"/>
    </w:p>
    <w:p w14:paraId="603D7BAC" w14:textId="25A36892" w:rsidR="00657962" w:rsidRPr="00657962" w:rsidRDefault="00B95C90" w:rsidP="002E3E1C">
      <w:pPr>
        <w:spacing w:line="480" w:lineRule="exact"/>
        <w:ind w:firstLineChars="236" w:firstLine="566"/>
        <w:rPr>
          <w:rFonts w:ascii="Times New Roman" w:hAnsi="Times New Roman"/>
          <w:sz w:val="24"/>
          <w:szCs w:val="21"/>
        </w:rPr>
      </w:pPr>
      <w:r>
        <w:rPr>
          <w:rFonts w:ascii="Times New Roman" w:hAnsi="Times New Roman" w:hint="eastAsia"/>
          <w:sz w:val="24"/>
          <w:szCs w:val="21"/>
        </w:rPr>
        <w:t>（二）</w:t>
      </w:r>
      <w:r w:rsidR="006F6D36" w:rsidRPr="009263E9">
        <w:rPr>
          <w:rFonts w:ascii="Times New Roman" w:hAnsi="Times New Roman" w:hint="eastAsia"/>
          <w:sz w:val="24"/>
          <w:szCs w:val="21"/>
        </w:rPr>
        <w:t>其他</w:t>
      </w:r>
      <w:r w:rsidR="00657962" w:rsidRPr="009263E9">
        <w:rPr>
          <w:rFonts w:ascii="Times New Roman" w:hAnsi="Times New Roman" w:hint="eastAsia"/>
          <w:sz w:val="24"/>
          <w:szCs w:val="21"/>
        </w:rPr>
        <w:t>风险</w:t>
      </w:r>
      <w:r w:rsidR="006F6D36" w:rsidRPr="009263E9">
        <w:rPr>
          <w:rFonts w:ascii="Times New Roman" w:hAnsi="Times New Roman" w:hint="eastAsia"/>
          <w:sz w:val="24"/>
          <w:szCs w:val="21"/>
        </w:rPr>
        <w:t>提示</w:t>
      </w:r>
    </w:p>
    <w:p w14:paraId="45C6D57D" w14:textId="77777777" w:rsidR="002E061C" w:rsidRDefault="00DB13E9" w:rsidP="002E061C">
      <w:pPr>
        <w:spacing w:line="480" w:lineRule="exact"/>
        <w:ind w:firstLineChars="236" w:firstLine="566"/>
        <w:rPr>
          <w:rFonts w:ascii="Times New Roman" w:hAnsi="Times New Roman"/>
          <w:sz w:val="24"/>
          <w:szCs w:val="21"/>
        </w:rPr>
      </w:pPr>
      <w:r>
        <w:rPr>
          <w:rFonts w:ascii="Times New Roman" w:hAnsi="Times New Roman" w:hint="eastAsia"/>
          <w:sz w:val="24"/>
          <w:szCs w:val="21"/>
        </w:rPr>
        <w:t>公司</w:t>
      </w:r>
      <w:r w:rsidR="009B5C78">
        <w:rPr>
          <w:rFonts w:ascii="Times New Roman" w:hAnsi="Times New Roman" w:hint="eastAsia"/>
          <w:sz w:val="24"/>
          <w:szCs w:val="21"/>
        </w:rPr>
        <w:t>所处行业为</w:t>
      </w:r>
      <w:r>
        <w:rPr>
          <w:rFonts w:ascii="Times New Roman" w:hAnsi="Times New Roman" w:hint="eastAsia"/>
          <w:sz w:val="24"/>
          <w:szCs w:val="21"/>
        </w:rPr>
        <w:t>装备</w:t>
      </w:r>
      <w:r w:rsidR="00913B7B">
        <w:rPr>
          <w:rFonts w:ascii="Times New Roman" w:hAnsi="Times New Roman" w:hint="eastAsia"/>
          <w:sz w:val="24"/>
          <w:szCs w:val="21"/>
        </w:rPr>
        <w:t>制造</w:t>
      </w:r>
      <w:r w:rsidR="009B5C78">
        <w:rPr>
          <w:rFonts w:ascii="Times New Roman" w:hAnsi="Times New Roman" w:hint="eastAsia"/>
          <w:sz w:val="24"/>
          <w:szCs w:val="21"/>
        </w:rPr>
        <w:t>。</w:t>
      </w:r>
      <w:r w:rsidR="002E061C" w:rsidRPr="002E061C">
        <w:rPr>
          <w:rFonts w:ascii="Times New Roman" w:hAnsi="Times New Roman" w:hint="eastAsia"/>
          <w:sz w:val="24"/>
          <w:szCs w:val="21"/>
        </w:rPr>
        <w:t>经公司财务部门初步测算</w:t>
      </w:r>
      <w:r w:rsidR="002E061C">
        <w:rPr>
          <w:rFonts w:ascii="Times New Roman" w:hAnsi="Times New Roman" w:hint="eastAsia"/>
          <w:sz w:val="24"/>
          <w:szCs w:val="21"/>
        </w:rPr>
        <w:t>，</w:t>
      </w:r>
      <w:r w:rsidR="002E061C" w:rsidRPr="002E061C">
        <w:rPr>
          <w:rFonts w:ascii="Times New Roman" w:hAnsi="Times New Roman" w:hint="eastAsia"/>
          <w:sz w:val="24"/>
          <w:szCs w:val="21"/>
        </w:rPr>
        <w:t>预计公司</w:t>
      </w:r>
      <w:r w:rsidR="002E061C" w:rsidRPr="002E061C">
        <w:rPr>
          <w:rFonts w:ascii="Times New Roman" w:hAnsi="Times New Roman" w:hint="eastAsia"/>
          <w:sz w:val="24"/>
          <w:szCs w:val="21"/>
        </w:rPr>
        <w:t>2023</w:t>
      </w:r>
      <w:r w:rsidR="002E061C" w:rsidRPr="002E061C">
        <w:rPr>
          <w:rFonts w:ascii="Times New Roman" w:hAnsi="Times New Roman" w:hint="eastAsia"/>
          <w:sz w:val="24"/>
          <w:szCs w:val="21"/>
        </w:rPr>
        <w:t>年年度实现归属于上市公司股东的净利润约为人民币</w:t>
      </w:r>
      <w:r w:rsidR="002E061C" w:rsidRPr="002E061C">
        <w:rPr>
          <w:rFonts w:ascii="Times New Roman" w:hAnsi="Times New Roman" w:hint="eastAsia"/>
          <w:sz w:val="24"/>
          <w:szCs w:val="21"/>
        </w:rPr>
        <w:t>-4,600</w:t>
      </w:r>
      <w:r w:rsidR="002E061C" w:rsidRPr="002E061C">
        <w:rPr>
          <w:rFonts w:ascii="Times New Roman" w:hAnsi="Times New Roman" w:hint="eastAsia"/>
          <w:sz w:val="24"/>
          <w:szCs w:val="21"/>
        </w:rPr>
        <w:t>万元到</w:t>
      </w:r>
      <w:r w:rsidR="002E061C" w:rsidRPr="002E061C">
        <w:rPr>
          <w:rFonts w:ascii="Times New Roman" w:hAnsi="Times New Roman" w:hint="eastAsia"/>
          <w:sz w:val="24"/>
          <w:szCs w:val="21"/>
        </w:rPr>
        <w:t>-5,500</w:t>
      </w:r>
      <w:r w:rsidR="002E061C" w:rsidRPr="002E061C">
        <w:rPr>
          <w:rFonts w:ascii="Times New Roman" w:hAnsi="Times New Roman" w:hint="eastAsia"/>
          <w:sz w:val="24"/>
          <w:szCs w:val="21"/>
        </w:rPr>
        <w:t>万元，与上年同期（法定披露数据）相比将出现亏损。预计公司</w:t>
      </w:r>
      <w:r w:rsidR="002E061C" w:rsidRPr="002E061C">
        <w:rPr>
          <w:rFonts w:ascii="Times New Roman" w:hAnsi="Times New Roman" w:hint="eastAsia"/>
          <w:sz w:val="24"/>
          <w:szCs w:val="21"/>
        </w:rPr>
        <w:t>2023</w:t>
      </w:r>
      <w:r w:rsidR="002E061C" w:rsidRPr="002E061C">
        <w:rPr>
          <w:rFonts w:ascii="Times New Roman" w:hAnsi="Times New Roman" w:hint="eastAsia"/>
          <w:sz w:val="24"/>
          <w:szCs w:val="21"/>
        </w:rPr>
        <w:t>年年度实现归属于上市公司股东的扣除非经常性损益的净利润约为人民币</w:t>
      </w:r>
      <w:r w:rsidR="002E061C" w:rsidRPr="002E061C">
        <w:rPr>
          <w:rFonts w:ascii="Times New Roman" w:hAnsi="Times New Roman" w:hint="eastAsia"/>
          <w:sz w:val="24"/>
          <w:szCs w:val="21"/>
        </w:rPr>
        <w:t>-5,930</w:t>
      </w:r>
      <w:r w:rsidR="002E061C" w:rsidRPr="002E061C">
        <w:rPr>
          <w:rFonts w:ascii="Times New Roman" w:hAnsi="Times New Roman" w:hint="eastAsia"/>
          <w:sz w:val="24"/>
          <w:szCs w:val="21"/>
        </w:rPr>
        <w:t>万元到</w:t>
      </w:r>
      <w:r w:rsidR="002E061C" w:rsidRPr="002E061C">
        <w:rPr>
          <w:rFonts w:ascii="Times New Roman" w:hAnsi="Times New Roman" w:hint="eastAsia"/>
          <w:sz w:val="24"/>
          <w:szCs w:val="21"/>
        </w:rPr>
        <w:t>-6,830</w:t>
      </w:r>
      <w:r w:rsidR="002E061C" w:rsidRPr="002E061C">
        <w:rPr>
          <w:rFonts w:ascii="Times New Roman" w:hAnsi="Times New Roman" w:hint="eastAsia"/>
          <w:sz w:val="24"/>
          <w:szCs w:val="21"/>
        </w:rPr>
        <w:t>万元。</w:t>
      </w:r>
    </w:p>
    <w:p w14:paraId="223D2741" w14:textId="16DA04D9" w:rsidR="002E061C" w:rsidRDefault="002E061C" w:rsidP="002E061C">
      <w:pPr>
        <w:spacing w:line="480" w:lineRule="exact"/>
        <w:ind w:firstLineChars="236" w:firstLine="566"/>
        <w:rPr>
          <w:rFonts w:ascii="Times New Roman" w:hAnsi="Times New Roman"/>
          <w:sz w:val="24"/>
          <w:szCs w:val="21"/>
        </w:rPr>
      </w:pPr>
      <w:r w:rsidRPr="002E061C">
        <w:rPr>
          <w:rFonts w:ascii="Times New Roman" w:hAnsi="Times New Roman" w:hint="eastAsia"/>
          <w:sz w:val="24"/>
          <w:szCs w:val="21"/>
        </w:rPr>
        <w:t>公司</w:t>
      </w:r>
      <w:r w:rsidRPr="002E061C">
        <w:rPr>
          <w:rFonts w:ascii="Times New Roman" w:hAnsi="Times New Roman" w:hint="eastAsia"/>
          <w:sz w:val="24"/>
          <w:szCs w:val="21"/>
        </w:rPr>
        <w:t>2023</w:t>
      </w:r>
      <w:r w:rsidRPr="002E061C">
        <w:rPr>
          <w:rFonts w:ascii="Times New Roman" w:hAnsi="Times New Roman" w:hint="eastAsia"/>
          <w:sz w:val="24"/>
          <w:szCs w:val="21"/>
        </w:rPr>
        <w:t>年年度业绩预计将出现亏损主要是由于：</w:t>
      </w:r>
    </w:p>
    <w:p w14:paraId="0E9387D2" w14:textId="77F8E384" w:rsidR="002E061C" w:rsidRPr="002E061C" w:rsidRDefault="002E061C" w:rsidP="002E061C">
      <w:pPr>
        <w:spacing w:line="480" w:lineRule="exact"/>
        <w:ind w:firstLineChars="236" w:firstLine="566"/>
        <w:rPr>
          <w:rFonts w:ascii="Times New Roman" w:hAnsi="Times New Roman"/>
          <w:sz w:val="24"/>
          <w:szCs w:val="21"/>
        </w:rPr>
      </w:pPr>
      <w:r w:rsidRPr="002E061C">
        <w:rPr>
          <w:rFonts w:ascii="Times New Roman" w:hAnsi="Times New Roman" w:hint="eastAsia"/>
          <w:sz w:val="24"/>
          <w:szCs w:val="21"/>
        </w:rPr>
        <w:t>1</w:t>
      </w:r>
      <w:r w:rsidRPr="002E061C">
        <w:rPr>
          <w:rFonts w:ascii="Times New Roman" w:hAnsi="Times New Roman" w:hint="eastAsia"/>
          <w:sz w:val="24"/>
          <w:szCs w:val="21"/>
        </w:rPr>
        <w:t>、当前国际形势持续复杂严峻，公司出口业务受到影响，出口业务贡献度同比下滑；国内市场竞争加剧，传统气瓶产品增长受到抑制，低温产品收入下滑，同时氢能产业市场增长不及预期。</w:t>
      </w:r>
    </w:p>
    <w:p w14:paraId="4CCE4932" w14:textId="77777777" w:rsidR="002E061C" w:rsidRPr="002E061C" w:rsidRDefault="002E061C" w:rsidP="002E061C">
      <w:pPr>
        <w:spacing w:line="480" w:lineRule="exact"/>
        <w:ind w:firstLineChars="236" w:firstLine="566"/>
        <w:rPr>
          <w:rFonts w:ascii="Times New Roman" w:hAnsi="Times New Roman"/>
          <w:sz w:val="24"/>
          <w:szCs w:val="21"/>
        </w:rPr>
      </w:pPr>
      <w:r w:rsidRPr="002E061C">
        <w:rPr>
          <w:rFonts w:ascii="Times New Roman" w:hAnsi="Times New Roman" w:hint="eastAsia"/>
          <w:sz w:val="24"/>
          <w:szCs w:val="21"/>
        </w:rPr>
        <w:t>2</w:t>
      </w:r>
      <w:r w:rsidRPr="002E061C">
        <w:rPr>
          <w:rFonts w:ascii="Times New Roman" w:hAnsi="Times New Roman" w:hint="eastAsia"/>
          <w:sz w:val="24"/>
          <w:szCs w:val="21"/>
        </w:rPr>
        <w:t>、为增强竞争力，促进氢能产业高质量发展，加大了氢能储运关键技术研发，研发投入大幅增加；同时由于行业处于培育阶段，需投入较多成本用于市场开拓、品牌营销、产业链布局及竞争优势巩固等，盈利能力全面释放仍需要时间。</w:t>
      </w:r>
    </w:p>
    <w:p w14:paraId="06576345" w14:textId="77777777" w:rsidR="00FA75E0" w:rsidRDefault="002E061C" w:rsidP="002E061C">
      <w:pPr>
        <w:spacing w:line="480" w:lineRule="exact"/>
        <w:ind w:firstLineChars="236" w:firstLine="566"/>
        <w:rPr>
          <w:rFonts w:ascii="Times New Roman" w:hAnsi="Times New Roman"/>
          <w:sz w:val="24"/>
          <w:szCs w:val="21"/>
        </w:rPr>
      </w:pPr>
      <w:r w:rsidRPr="002E061C">
        <w:rPr>
          <w:rFonts w:ascii="Times New Roman" w:hAnsi="Times New Roman" w:hint="eastAsia"/>
          <w:sz w:val="24"/>
          <w:szCs w:val="21"/>
        </w:rPr>
        <w:t>3</w:t>
      </w:r>
      <w:r w:rsidRPr="002E061C">
        <w:rPr>
          <w:rFonts w:ascii="Times New Roman" w:hAnsi="Times New Roman" w:hint="eastAsia"/>
          <w:sz w:val="24"/>
          <w:szCs w:val="21"/>
        </w:rPr>
        <w:t>、受宏观经济环境承压的影响，部分客户回款不及预期，计提信用减值损失较上年同期增加较多</w:t>
      </w:r>
      <w:r w:rsidR="00FA75E0">
        <w:rPr>
          <w:rFonts w:ascii="Times New Roman" w:hAnsi="Times New Roman" w:hint="eastAsia"/>
          <w:sz w:val="24"/>
          <w:szCs w:val="21"/>
        </w:rPr>
        <w:t>。</w:t>
      </w:r>
    </w:p>
    <w:p w14:paraId="31BE5877" w14:textId="0453F629" w:rsidR="00657962" w:rsidRDefault="00FA75E0" w:rsidP="002E061C">
      <w:pPr>
        <w:spacing w:line="480" w:lineRule="exact"/>
        <w:ind w:firstLineChars="236" w:firstLine="566"/>
        <w:rPr>
          <w:rFonts w:ascii="Times New Roman" w:hAnsi="Times New Roman"/>
          <w:sz w:val="24"/>
          <w:szCs w:val="21"/>
        </w:rPr>
      </w:pPr>
      <w:r w:rsidRPr="00FA75E0">
        <w:rPr>
          <w:rFonts w:ascii="Times New Roman" w:hAnsi="Times New Roman" w:hint="eastAsia"/>
          <w:sz w:val="24"/>
          <w:szCs w:val="21"/>
        </w:rPr>
        <w:t>公司披露的业绩预告数据仅为初步核算数据，具体准确的财务数据以公司正式披露的经审计后的</w:t>
      </w:r>
      <w:r w:rsidRPr="00FA75E0">
        <w:rPr>
          <w:rFonts w:ascii="Times New Roman" w:hAnsi="Times New Roman"/>
          <w:sz w:val="24"/>
          <w:szCs w:val="21"/>
        </w:rPr>
        <w:t>2023</w:t>
      </w:r>
      <w:r w:rsidRPr="00FA75E0">
        <w:rPr>
          <w:rFonts w:ascii="Times New Roman" w:hAnsi="Times New Roman" w:hint="eastAsia"/>
          <w:sz w:val="24"/>
          <w:szCs w:val="21"/>
        </w:rPr>
        <w:t>年年报为准。敬请广大投资者注意投资风险。</w:t>
      </w:r>
    </w:p>
    <w:p w14:paraId="6E54A50B" w14:textId="77777777"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四、董事会声明及相关方承诺</w:t>
      </w:r>
    </w:p>
    <w:p w14:paraId="404C92B4" w14:textId="53D7FF2F" w:rsidR="00657962" w:rsidRPr="00657962"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公司董事会确认，公司没有任何根据《上市规则》等有关规定应披露而未披露的事项或与该等事项有关的筹划、商谈、意向、协议等，董事会也未获悉根据《上市规则》等有关规定应披露而未披露的、对本公司股票及其衍生品种交易价</w:t>
      </w:r>
      <w:r w:rsidRPr="00657962">
        <w:rPr>
          <w:rFonts w:ascii="Times New Roman" w:hAnsi="Times New Roman" w:hint="eastAsia"/>
          <w:sz w:val="24"/>
          <w:szCs w:val="21"/>
        </w:rPr>
        <w:lastRenderedPageBreak/>
        <w:t>格可能产生较大影响的信息；公司前期披露的信息不存在需要更正、补充之处。公司指定的信息披露媒体为</w:t>
      </w:r>
      <w:bookmarkStart w:id="1" w:name="_Hlk138680605"/>
      <w:r w:rsidRPr="00657962">
        <w:rPr>
          <w:rFonts w:ascii="Times New Roman" w:hAnsi="Times New Roman" w:hint="eastAsia"/>
          <w:sz w:val="24"/>
          <w:szCs w:val="21"/>
        </w:rPr>
        <w:t>上海证券交易所网站</w:t>
      </w:r>
      <w:r w:rsidRPr="00657962">
        <w:rPr>
          <w:rFonts w:ascii="Times New Roman" w:hAnsi="Times New Roman" w:hint="eastAsia"/>
          <w:sz w:val="24"/>
          <w:szCs w:val="21"/>
        </w:rPr>
        <w:t xml:space="preserve"> www.sse.com.cn</w:t>
      </w:r>
      <w:r w:rsidRPr="00657962">
        <w:rPr>
          <w:rFonts w:ascii="Times New Roman" w:hAnsi="Times New Roman" w:hint="eastAsia"/>
          <w:sz w:val="24"/>
          <w:szCs w:val="21"/>
        </w:rPr>
        <w:t>、《上海证券报》以及香港联合交易所披露易网站</w:t>
      </w:r>
      <w:r w:rsidRPr="00657962">
        <w:rPr>
          <w:rFonts w:ascii="Times New Roman" w:hAnsi="Times New Roman" w:hint="eastAsia"/>
          <w:sz w:val="24"/>
          <w:szCs w:val="21"/>
        </w:rPr>
        <w:t xml:space="preserve"> www.hkexnews.hk</w:t>
      </w:r>
      <w:bookmarkEnd w:id="1"/>
      <w:r w:rsidRPr="00657962">
        <w:rPr>
          <w:rFonts w:ascii="Times New Roman" w:hAnsi="Times New Roman" w:hint="eastAsia"/>
          <w:sz w:val="24"/>
          <w:szCs w:val="21"/>
        </w:rPr>
        <w:t>。敬请广大投资者注意投资风险。</w:t>
      </w:r>
    </w:p>
    <w:p w14:paraId="54A4D908" w14:textId="77777777" w:rsidR="00657962" w:rsidRPr="00A51151" w:rsidRDefault="00657962" w:rsidP="002E3E1C">
      <w:pPr>
        <w:spacing w:line="480" w:lineRule="exact"/>
        <w:ind w:firstLineChars="236" w:firstLine="566"/>
        <w:rPr>
          <w:rFonts w:ascii="Times New Roman" w:hAnsi="Times New Roman"/>
          <w:sz w:val="24"/>
          <w:szCs w:val="21"/>
        </w:rPr>
      </w:pPr>
      <w:r w:rsidRPr="00657962">
        <w:rPr>
          <w:rFonts w:ascii="Times New Roman" w:hAnsi="Times New Roman" w:hint="eastAsia"/>
          <w:sz w:val="24"/>
          <w:szCs w:val="21"/>
        </w:rPr>
        <w:t>特此公告。</w:t>
      </w:r>
    </w:p>
    <w:p w14:paraId="5326F959" w14:textId="77777777" w:rsidR="00657962" w:rsidRPr="00657962" w:rsidRDefault="00657962" w:rsidP="00657962">
      <w:pPr>
        <w:spacing w:line="480" w:lineRule="exact"/>
        <w:rPr>
          <w:rFonts w:ascii="Times New Roman" w:hAnsi="Times New Roman"/>
          <w:sz w:val="24"/>
          <w:szCs w:val="21"/>
        </w:rPr>
      </w:pPr>
    </w:p>
    <w:p w14:paraId="1938A553" w14:textId="77777777" w:rsidR="00657962" w:rsidRDefault="00657962" w:rsidP="00657962">
      <w:pPr>
        <w:spacing w:line="480" w:lineRule="exact"/>
        <w:rPr>
          <w:rFonts w:ascii="Times New Roman" w:hAnsi="Times New Roman"/>
          <w:sz w:val="24"/>
          <w:szCs w:val="21"/>
        </w:rPr>
      </w:pPr>
    </w:p>
    <w:p w14:paraId="2D2B1A66" w14:textId="77777777" w:rsidR="007A0590" w:rsidRPr="00657962" w:rsidRDefault="007A0590" w:rsidP="00657962">
      <w:pPr>
        <w:spacing w:line="480" w:lineRule="exact"/>
        <w:rPr>
          <w:rFonts w:ascii="Times New Roman" w:hAnsi="Times New Roman"/>
          <w:sz w:val="24"/>
          <w:szCs w:val="21"/>
        </w:rPr>
      </w:pPr>
    </w:p>
    <w:p w14:paraId="69A08C33" w14:textId="77777777" w:rsidR="00657962" w:rsidRPr="00657962" w:rsidRDefault="00657962" w:rsidP="00A709FB">
      <w:pPr>
        <w:spacing w:line="480" w:lineRule="exact"/>
        <w:ind w:firstLineChars="1900" w:firstLine="4560"/>
        <w:rPr>
          <w:rFonts w:ascii="Times New Roman" w:hAnsi="Times New Roman"/>
          <w:sz w:val="24"/>
          <w:szCs w:val="21"/>
        </w:rPr>
      </w:pPr>
      <w:r w:rsidRPr="00657962">
        <w:rPr>
          <w:rFonts w:ascii="Times New Roman" w:hAnsi="Times New Roman" w:hint="eastAsia"/>
          <w:sz w:val="24"/>
          <w:szCs w:val="21"/>
        </w:rPr>
        <w:t>北京京城机电股份有限公司董事会</w:t>
      </w:r>
    </w:p>
    <w:p w14:paraId="4F2F75DD" w14:textId="1E612EC3" w:rsidR="00657962" w:rsidRPr="00657962" w:rsidRDefault="007A1DB0" w:rsidP="00A709FB">
      <w:pPr>
        <w:spacing w:line="480" w:lineRule="exact"/>
        <w:ind w:firstLineChars="2300" w:firstLine="5520"/>
        <w:rPr>
          <w:rFonts w:ascii="Times New Roman" w:hAnsi="Times New Roman"/>
          <w:sz w:val="24"/>
          <w:szCs w:val="21"/>
        </w:rPr>
      </w:pPr>
      <w:r>
        <w:rPr>
          <w:rFonts w:ascii="Times New Roman" w:hAnsi="Times New Roman" w:hint="eastAsia"/>
          <w:sz w:val="24"/>
          <w:szCs w:val="21"/>
        </w:rPr>
        <w:t>202</w:t>
      </w:r>
      <w:r w:rsidR="002E061C">
        <w:rPr>
          <w:rFonts w:ascii="Times New Roman" w:hAnsi="Times New Roman"/>
          <w:sz w:val="24"/>
          <w:szCs w:val="21"/>
        </w:rPr>
        <w:t>4</w:t>
      </w:r>
      <w:r w:rsidR="00657962" w:rsidRPr="00657962">
        <w:rPr>
          <w:rFonts w:ascii="Times New Roman" w:hAnsi="Times New Roman" w:hint="eastAsia"/>
          <w:sz w:val="24"/>
          <w:szCs w:val="21"/>
        </w:rPr>
        <w:t>年</w:t>
      </w:r>
      <w:r w:rsidR="002E061C">
        <w:rPr>
          <w:rFonts w:ascii="Times New Roman" w:hAnsi="Times New Roman"/>
          <w:sz w:val="24"/>
          <w:szCs w:val="21"/>
        </w:rPr>
        <w:t>2</w:t>
      </w:r>
      <w:r w:rsidR="00657962" w:rsidRPr="00657962">
        <w:rPr>
          <w:rFonts w:ascii="Times New Roman" w:hAnsi="Times New Roman" w:hint="eastAsia"/>
          <w:sz w:val="24"/>
          <w:szCs w:val="21"/>
        </w:rPr>
        <w:t>月</w:t>
      </w:r>
      <w:r w:rsidR="008E5AD6">
        <w:rPr>
          <w:rFonts w:ascii="Times New Roman" w:hAnsi="Times New Roman"/>
          <w:sz w:val="24"/>
          <w:szCs w:val="21"/>
        </w:rPr>
        <w:t>29</w:t>
      </w:r>
      <w:r w:rsidR="00657962" w:rsidRPr="00657962">
        <w:rPr>
          <w:rFonts w:ascii="Times New Roman" w:hAnsi="Times New Roman" w:hint="eastAsia"/>
          <w:sz w:val="24"/>
          <w:szCs w:val="21"/>
        </w:rPr>
        <w:t>日</w:t>
      </w:r>
    </w:p>
    <w:p w14:paraId="6AC98A5B" w14:textId="77777777" w:rsidR="00657962" w:rsidRDefault="00657962" w:rsidP="00657962">
      <w:pPr>
        <w:spacing w:line="480" w:lineRule="exact"/>
        <w:rPr>
          <w:rFonts w:ascii="Times New Roman" w:hAnsi="Times New Roman"/>
          <w:sz w:val="24"/>
          <w:szCs w:val="21"/>
        </w:rPr>
      </w:pPr>
    </w:p>
    <w:sectPr w:rsidR="00657962">
      <w:footerReference w:type="even" r:id="rId7"/>
      <w:footerReference w:type="default" r:id="rId8"/>
      <w:pgSz w:w="11906" w:h="16838"/>
      <w:pgMar w:top="1418" w:right="1758" w:bottom="1440" w:left="1758" w:header="1247"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B53AE" w14:textId="77777777" w:rsidR="00524C29" w:rsidRDefault="00524C29">
      <w:r>
        <w:separator/>
      </w:r>
    </w:p>
  </w:endnote>
  <w:endnote w:type="continuationSeparator" w:id="0">
    <w:p w14:paraId="01CB15CB" w14:textId="77777777" w:rsidR="00524C29" w:rsidRDefault="0052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DB08E"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end"/>
    </w:r>
  </w:p>
  <w:p w14:paraId="36BB1EB0" w14:textId="77777777" w:rsidR="002867C8" w:rsidRDefault="002867C8">
    <w:pPr>
      <w:pStyle w:val="a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4EB1A" w14:textId="77777777" w:rsidR="002867C8" w:rsidRDefault="002867C8">
    <w:pPr>
      <w:pStyle w:val="a9"/>
      <w:framePr w:wrap="around" w:vAnchor="text" w:hAnchor="margin" w:xAlign="center" w:y="1"/>
      <w:rPr>
        <w:rStyle w:val="a5"/>
      </w:rPr>
    </w:pPr>
    <w:r>
      <w:fldChar w:fldCharType="begin"/>
    </w:r>
    <w:r>
      <w:rPr>
        <w:rStyle w:val="a5"/>
      </w:rPr>
      <w:instrText xml:space="preserve">PAGE  </w:instrText>
    </w:r>
    <w:r>
      <w:fldChar w:fldCharType="separate"/>
    </w:r>
    <w:r w:rsidR="00BF72C8">
      <w:rPr>
        <w:rStyle w:val="a5"/>
        <w:noProof/>
      </w:rPr>
      <w:t>1</w:t>
    </w:r>
    <w:r>
      <w:fldChar w:fldCharType="end"/>
    </w:r>
  </w:p>
  <w:p w14:paraId="4E0C2E9E" w14:textId="77777777" w:rsidR="002867C8" w:rsidRDefault="002867C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9469D9" w14:textId="77777777" w:rsidR="00524C29" w:rsidRDefault="00524C29">
      <w:r>
        <w:separator/>
      </w:r>
    </w:p>
  </w:footnote>
  <w:footnote w:type="continuationSeparator" w:id="0">
    <w:p w14:paraId="070D90D8" w14:textId="77777777" w:rsidR="00524C29" w:rsidRDefault="00524C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DC5C2D"/>
    <w:multiLevelType w:val="hybridMultilevel"/>
    <w:tmpl w:val="4DBA6E16"/>
    <w:lvl w:ilvl="0" w:tplc="D2C0ACB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275763F5"/>
    <w:multiLevelType w:val="hybridMultilevel"/>
    <w:tmpl w:val="CC543B68"/>
    <w:lvl w:ilvl="0" w:tplc="04090001">
      <w:start w:val="1"/>
      <w:numFmt w:val="bullet"/>
      <w:lvlText w:val=""/>
      <w:lvlJc w:val="left"/>
      <w:pPr>
        <w:ind w:left="900" w:hanging="420"/>
      </w:pPr>
      <w:rPr>
        <w:rFonts w:ascii="Wingdings" w:hAnsi="Wingdings" w:hint="default"/>
      </w:rPr>
    </w:lvl>
    <w:lvl w:ilvl="1" w:tplc="FFFFFFFF" w:tentative="1">
      <w:start w:val="1"/>
      <w:numFmt w:val="bullet"/>
      <w:lvlText w:val=""/>
      <w:lvlJc w:val="left"/>
      <w:pPr>
        <w:ind w:left="1320" w:hanging="420"/>
      </w:pPr>
      <w:rPr>
        <w:rFonts w:ascii="Wingdings" w:hAnsi="Wingdings" w:hint="default"/>
      </w:rPr>
    </w:lvl>
    <w:lvl w:ilvl="2" w:tplc="FFFFFFFF" w:tentative="1">
      <w:start w:val="1"/>
      <w:numFmt w:val="bullet"/>
      <w:lvlText w:val=""/>
      <w:lvlJc w:val="left"/>
      <w:pPr>
        <w:ind w:left="1740" w:hanging="420"/>
      </w:pPr>
      <w:rPr>
        <w:rFonts w:ascii="Wingdings" w:hAnsi="Wingdings" w:hint="default"/>
      </w:rPr>
    </w:lvl>
    <w:lvl w:ilvl="3" w:tplc="FFFFFFFF" w:tentative="1">
      <w:start w:val="1"/>
      <w:numFmt w:val="bullet"/>
      <w:lvlText w:val=""/>
      <w:lvlJc w:val="left"/>
      <w:pPr>
        <w:ind w:left="2160" w:hanging="420"/>
      </w:pPr>
      <w:rPr>
        <w:rFonts w:ascii="Wingdings" w:hAnsi="Wingdings" w:hint="default"/>
      </w:rPr>
    </w:lvl>
    <w:lvl w:ilvl="4" w:tplc="FFFFFFFF" w:tentative="1">
      <w:start w:val="1"/>
      <w:numFmt w:val="bullet"/>
      <w:lvlText w:val=""/>
      <w:lvlJc w:val="left"/>
      <w:pPr>
        <w:ind w:left="2580" w:hanging="420"/>
      </w:pPr>
      <w:rPr>
        <w:rFonts w:ascii="Wingdings" w:hAnsi="Wingdings" w:hint="default"/>
      </w:rPr>
    </w:lvl>
    <w:lvl w:ilvl="5" w:tplc="FFFFFFFF" w:tentative="1">
      <w:start w:val="1"/>
      <w:numFmt w:val="bullet"/>
      <w:lvlText w:val=""/>
      <w:lvlJc w:val="left"/>
      <w:pPr>
        <w:ind w:left="3000" w:hanging="420"/>
      </w:pPr>
      <w:rPr>
        <w:rFonts w:ascii="Wingdings" w:hAnsi="Wingdings" w:hint="default"/>
      </w:rPr>
    </w:lvl>
    <w:lvl w:ilvl="6" w:tplc="FFFFFFFF" w:tentative="1">
      <w:start w:val="1"/>
      <w:numFmt w:val="bullet"/>
      <w:lvlText w:val=""/>
      <w:lvlJc w:val="left"/>
      <w:pPr>
        <w:ind w:left="3420" w:hanging="420"/>
      </w:pPr>
      <w:rPr>
        <w:rFonts w:ascii="Wingdings" w:hAnsi="Wingdings" w:hint="default"/>
      </w:rPr>
    </w:lvl>
    <w:lvl w:ilvl="7" w:tplc="FFFFFFFF" w:tentative="1">
      <w:start w:val="1"/>
      <w:numFmt w:val="bullet"/>
      <w:lvlText w:val=""/>
      <w:lvlJc w:val="left"/>
      <w:pPr>
        <w:ind w:left="3840" w:hanging="420"/>
      </w:pPr>
      <w:rPr>
        <w:rFonts w:ascii="Wingdings" w:hAnsi="Wingdings" w:hint="default"/>
      </w:rPr>
    </w:lvl>
    <w:lvl w:ilvl="8" w:tplc="FFFFFFFF" w:tentative="1">
      <w:start w:val="1"/>
      <w:numFmt w:val="bullet"/>
      <w:lvlText w:val=""/>
      <w:lvlJc w:val="left"/>
      <w:pPr>
        <w:ind w:left="4260" w:hanging="420"/>
      </w:pPr>
      <w:rPr>
        <w:rFonts w:ascii="Wingdings" w:hAnsi="Wingdings" w:hint="default"/>
      </w:rPr>
    </w:lvl>
  </w:abstractNum>
  <w:abstractNum w:abstractNumId="2" w15:restartNumberingAfterBreak="0">
    <w:nsid w:val="6EE47FCB"/>
    <w:multiLevelType w:val="hybridMultilevel"/>
    <w:tmpl w:val="34B4515C"/>
    <w:lvl w:ilvl="0" w:tplc="04090001">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num w:numId="1" w16cid:durableId="580413168">
    <w:abstractNumId w:val="0"/>
  </w:num>
  <w:num w:numId="2" w16cid:durableId="1344088925">
    <w:abstractNumId w:val="2"/>
  </w:num>
  <w:num w:numId="3" w16cid:durableId="175728969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774E"/>
    <w:rsid w:val="00007DC9"/>
    <w:rsid w:val="000129B1"/>
    <w:rsid w:val="0003239F"/>
    <w:rsid w:val="00044830"/>
    <w:rsid w:val="0005131C"/>
    <w:rsid w:val="0005146D"/>
    <w:rsid w:val="0005181A"/>
    <w:rsid w:val="00060B5F"/>
    <w:rsid w:val="00074182"/>
    <w:rsid w:val="00076F29"/>
    <w:rsid w:val="00083CB1"/>
    <w:rsid w:val="00086CBA"/>
    <w:rsid w:val="00091CCA"/>
    <w:rsid w:val="000949F2"/>
    <w:rsid w:val="000971BC"/>
    <w:rsid w:val="000B08A8"/>
    <w:rsid w:val="000C685C"/>
    <w:rsid w:val="000D0F76"/>
    <w:rsid w:val="000D756C"/>
    <w:rsid w:val="000E0E1E"/>
    <w:rsid w:val="000E60EA"/>
    <w:rsid w:val="000F7FF5"/>
    <w:rsid w:val="00110A4F"/>
    <w:rsid w:val="0011270C"/>
    <w:rsid w:val="00114841"/>
    <w:rsid w:val="001170F2"/>
    <w:rsid w:val="00134733"/>
    <w:rsid w:val="00137CE9"/>
    <w:rsid w:val="00137E40"/>
    <w:rsid w:val="0014103E"/>
    <w:rsid w:val="00147451"/>
    <w:rsid w:val="00147E2A"/>
    <w:rsid w:val="00151E53"/>
    <w:rsid w:val="00152FD0"/>
    <w:rsid w:val="001616CE"/>
    <w:rsid w:val="00164BAC"/>
    <w:rsid w:val="00171966"/>
    <w:rsid w:val="00175D87"/>
    <w:rsid w:val="001A5AC6"/>
    <w:rsid w:val="001A621C"/>
    <w:rsid w:val="001A6545"/>
    <w:rsid w:val="001B7C53"/>
    <w:rsid w:val="001C38AB"/>
    <w:rsid w:val="001C509E"/>
    <w:rsid w:val="001D04C6"/>
    <w:rsid w:val="00200A3C"/>
    <w:rsid w:val="0021201C"/>
    <w:rsid w:val="00216A87"/>
    <w:rsid w:val="00217238"/>
    <w:rsid w:val="00220E8D"/>
    <w:rsid w:val="00225EC4"/>
    <w:rsid w:val="00226BF0"/>
    <w:rsid w:val="00237543"/>
    <w:rsid w:val="0024241C"/>
    <w:rsid w:val="00244D22"/>
    <w:rsid w:val="00244FA9"/>
    <w:rsid w:val="002466DF"/>
    <w:rsid w:val="0025294A"/>
    <w:rsid w:val="00252987"/>
    <w:rsid w:val="00260869"/>
    <w:rsid w:val="00265AE9"/>
    <w:rsid w:val="0026645A"/>
    <w:rsid w:val="00274903"/>
    <w:rsid w:val="00284564"/>
    <w:rsid w:val="002867C8"/>
    <w:rsid w:val="0029437D"/>
    <w:rsid w:val="002A6168"/>
    <w:rsid w:val="002D0345"/>
    <w:rsid w:val="002E061C"/>
    <w:rsid w:val="002E2DCA"/>
    <w:rsid w:val="002E3E1C"/>
    <w:rsid w:val="002E72C6"/>
    <w:rsid w:val="002F2655"/>
    <w:rsid w:val="002F3F14"/>
    <w:rsid w:val="002F745B"/>
    <w:rsid w:val="0030496B"/>
    <w:rsid w:val="00327812"/>
    <w:rsid w:val="00334E7B"/>
    <w:rsid w:val="00336946"/>
    <w:rsid w:val="00353386"/>
    <w:rsid w:val="00367C09"/>
    <w:rsid w:val="00367D10"/>
    <w:rsid w:val="00367EBE"/>
    <w:rsid w:val="00376BE2"/>
    <w:rsid w:val="00376C5A"/>
    <w:rsid w:val="00380B7F"/>
    <w:rsid w:val="00383F72"/>
    <w:rsid w:val="00386E8A"/>
    <w:rsid w:val="0039699B"/>
    <w:rsid w:val="003A27A7"/>
    <w:rsid w:val="003A5D28"/>
    <w:rsid w:val="003C394F"/>
    <w:rsid w:val="003C40F3"/>
    <w:rsid w:val="003D6110"/>
    <w:rsid w:val="003F5040"/>
    <w:rsid w:val="003F5AFD"/>
    <w:rsid w:val="003F726A"/>
    <w:rsid w:val="00401D00"/>
    <w:rsid w:val="004115CF"/>
    <w:rsid w:val="0041680F"/>
    <w:rsid w:val="00426750"/>
    <w:rsid w:val="00431E6E"/>
    <w:rsid w:val="00433EA6"/>
    <w:rsid w:val="00436069"/>
    <w:rsid w:val="004401BA"/>
    <w:rsid w:val="00442ABE"/>
    <w:rsid w:val="004430CF"/>
    <w:rsid w:val="00452741"/>
    <w:rsid w:val="00453E86"/>
    <w:rsid w:val="00456E54"/>
    <w:rsid w:val="00456F80"/>
    <w:rsid w:val="00464759"/>
    <w:rsid w:val="00472C11"/>
    <w:rsid w:val="00481549"/>
    <w:rsid w:val="004902C9"/>
    <w:rsid w:val="0049528B"/>
    <w:rsid w:val="004A01C9"/>
    <w:rsid w:val="004B352F"/>
    <w:rsid w:val="004C66F6"/>
    <w:rsid w:val="004D3275"/>
    <w:rsid w:val="004E050B"/>
    <w:rsid w:val="004E3CF7"/>
    <w:rsid w:val="004E4C4D"/>
    <w:rsid w:val="004E6610"/>
    <w:rsid w:val="005139F1"/>
    <w:rsid w:val="005229A1"/>
    <w:rsid w:val="005236E1"/>
    <w:rsid w:val="00524232"/>
    <w:rsid w:val="00524C29"/>
    <w:rsid w:val="00524CD8"/>
    <w:rsid w:val="005323B6"/>
    <w:rsid w:val="00533596"/>
    <w:rsid w:val="005352CE"/>
    <w:rsid w:val="00535CBF"/>
    <w:rsid w:val="00536890"/>
    <w:rsid w:val="00537377"/>
    <w:rsid w:val="00542830"/>
    <w:rsid w:val="00542D4B"/>
    <w:rsid w:val="005434EC"/>
    <w:rsid w:val="00550BA0"/>
    <w:rsid w:val="00551A8C"/>
    <w:rsid w:val="005529A9"/>
    <w:rsid w:val="00557993"/>
    <w:rsid w:val="00575B7B"/>
    <w:rsid w:val="00576972"/>
    <w:rsid w:val="00580375"/>
    <w:rsid w:val="00581C2B"/>
    <w:rsid w:val="005851C3"/>
    <w:rsid w:val="00585A5A"/>
    <w:rsid w:val="00594E8E"/>
    <w:rsid w:val="0059670A"/>
    <w:rsid w:val="005B4F99"/>
    <w:rsid w:val="005C6374"/>
    <w:rsid w:val="005D39E7"/>
    <w:rsid w:val="005E0A17"/>
    <w:rsid w:val="005E52EE"/>
    <w:rsid w:val="005F52D7"/>
    <w:rsid w:val="005F58D2"/>
    <w:rsid w:val="005F69C8"/>
    <w:rsid w:val="005F7652"/>
    <w:rsid w:val="00600CE2"/>
    <w:rsid w:val="006167FF"/>
    <w:rsid w:val="00637EB3"/>
    <w:rsid w:val="006435BB"/>
    <w:rsid w:val="00657962"/>
    <w:rsid w:val="006702BF"/>
    <w:rsid w:val="00674B8E"/>
    <w:rsid w:val="00681E7A"/>
    <w:rsid w:val="006904D9"/>
    <w:rsid w:val="00695CFD"/>
    <w:rsid w:val="006B3C68"/>
    <w:rsid w:val="006B4813"/>
    <w:rsid w:val="006B742D"/>
    <w:rsid w:val="006C08B8"/>
    <w:rsid w:val="006E07E0"/>
    <w:rsid w:val="006E0CD1"/>
    <w:rsid w:val="006E2698"/>
    <w:rsid w:val="006E32CE"/>
    <w:rsid w:val="006E7A60"/>
    <w:rsid w:val="006F20D8"/>
    <w:rsid w:val="006F352F"/>
    <w:rsid w:val="006F6D36"/>
    <w:rsid w:val="00703D1C"/>
    <w:rsid w:val="00712C3A"/>
    <w:rsid w:val="00735B62"/>
    <w:rsid w:val="00762AC8"/>
    <w:rsid w:val="0076498B"/>
    <w:rsid w:val="00775B0C"/>
    <w:rsid w:val="007809CC"/>
    <w:rsid w:val="00791484"/>
    <w:rsid w:val="007A0590"/>
    <w:rsid w:val="007A1DB0"/>
    <w:rsid w:val="007A3094"/>
    <w:rsid w:val="007A55B9"/>
    <w:rsid w:val="007B57C3"/>
    <w:rsid w:val="007C49D6"/>
    <w:rsid w:val="007C5C7D"/>
    <w:rsid w:val="007D7732"/>
    <w:rsid w:val="007F38CE"/>
    <w:rsid w:val="007F4DE7"/>
    <w:rsid w:val="007F6E1C"/>
    <w:rsid w:val="00811DC6"/>
    <w:rsid w:val="00812C21"/>
    <w:rsid w:val="00826535"/>
    <w:rsid w:val="008345AA"/>
    <w:rsid w:val="00835B01"/>
    <w:rsid w:val="00843039"/>
    <w:rsid w:val="008478F3"/>
    <w:rsid w:val="00852BA6"/>
    <w:rsid w:val="00864E0F"/>
    <w:rsid w:val="008705B0"/>
    <w:rsid w:val="008748ED"/>
    <w:rsid w:val="008906EE"/>
    <w:rsid w:val="008C0129"/>
    <w:rsid w:val="008C50D3"/>
    <w:rsid w:val="008C5EAE"/>
    <w:rsid w:val="008E3BF9"/>
    <w:rsid w:val="008E5AD6"/>
    <w:rsid w:val="0090145C"/>
    <w:rsid w:val="00902136"/>
    <w:rsid w:val="00911BC1"/>
    <w:rsid w:val="0091326B"/>
    <w:rsid w:val="00913B7B"/>
    <w:rsid w:val="009263E9"/>
    <w:rsid w:val="0093260D"/>
    <w:rsid w:val="00935EA5"/>
    <w:rsid w:val="00936FC1"/>
    <w:rsid w:val="009422DA"/>
    <w:rsid w:val="00952DAE"/>
    <w:rsid w:val="009625F7"/>
    <w:rsid w:val="00964C86"/>
    <w:rsid w:val="00972C13"/>
    <w:rsid w:val="00976ADE"/>
    <w:rsid w:val="0098137C"/>
    <w:rsid w:val="00992136"/>
    <w:rsid w:val="009A42CF"/>
    <w:rsid w:val="009A609A"/>
    <w:rsid w:val="009B15D5"/>
    <w:rsid w:val="009B3DEC"/>
    <w:rsid w:val="009B5C78"/>
    <w:rsid w:val="009B6E7F"/>
    <w:rsid w:val="009E747D"/>
    <w:rsid w:val="009F044F"/>
    <w:rsid w:val="009F71C1"/>
    <w:rsid w:val="009F7294"/>
    <w:rsid w:val="009F7E88"/>
    <w:rsid w:val="00A13DCC"/>
    <w:rsid w:val="00A2103B"/>
    <w:rsid w:val="00A341CA"/>
    <w:rsid w:val="00A36E3D"/>
    <w:rsid w:val="00A449F3"/>
    <w:rsid w:val="00A45BF7"/>
    <w:rsid w:val="00A51151"/>
    <w:rsid w:val="00A709FB"/>
    <w:rsid w:val="00A71ED2"/>
    <w:rsid w:val="00A740F2"/>
    <w:rsid w:val="00A749CE"/>
    <w:rsid w:val="00A77911"/>
    <w:rsid w:val="00A811C3"/>
    <w:rsid w:val="00A86305"/>
    <w:rsid w:val="00A91263"/>
    <w:rsid w:val="00A96454"/>
    <w:rsid w:val="00AA2871"/>
    <w:rsid w:val="00AA401E"/>
    <w:rsid w:val="00AB126B"/>
    <w:rsid w:val="00AB2E79"/>
    <w:rsid w:val="00AB4BD5"/>
    <w:rsid w:val="00AD0EC0"/>
    <w:rsid w:val="00AD27C4"/>
    <w:rsid w:val="00AD4081"/>
    <w:rsid w:val="00AD53C4"/>
    <w:rsid w:val="00AE0C15"/>
    <w:rsid w:val="00AF2072"/>
    <w:rsid w:val="00AF30BB"/>
    <w:rsid w:val="00AF69AB"/>
    <w:rsid w:val="00AF7E53"/>
    <w:rsid w:val="00B06A35"/>
    <w:rsid w:val="00B119D4"/>
    <w:rsid w:val="00B25F19"/>
    <w:rsid w:val="00B305F4"/>
    <w:rsid w:val="00B43271"/>
    <w:rsid w:val="00B43B2F"/>
    <w:rsid w:val="00B44A9D"/>
    <w:rsid w:val="00B504A6"/>
    <w:rsid w:val="00B538E9"/>
    <w:rsid w:val="00B64D9D"/>
    <w:rsid w:val="00B65BEF"/>
    <w:rsid w:val="00B65F54"/>
    <w:rsid w:val="00B72072"/>
    <w:rsid w:val="00B95C90"/>
    <w:rsid w:val="00BA141C"/>
    <w:rsid w:val="00BB048A"/>
    <w:rsid w:val="00BE1B97"/>
    <w:rsid w:val="00BE21CC"/>
    <w:rsid w:val="00BE399D"/>
    <w:rsid w:val="00BE6946"/>
    <w:rsid w:val="00BF0F50"/>
    <w:rsid w:val="00BF32FE"/>
    <w:rsid w:val="00BF3AB4"/>
    <w:rsid w:val="00BF4C40"/>
    <w:rsid w:val="00BF72C8"/>
    <w:rsid w:val="00C11787"/>
    <w:rsid w:val="00C1799B"/>
    <w:rsid w:val="00C22F96"/>
    <w:rsid w:val="00C246CA"/>
    <w:rsid w:val="00C323A5"/>
    <w:rsid w:val="00C339CA"/>
    <w:rsid w:val="00C34666"/>
    <w:rsid w:val="00C503A5"/>
    <w:rsid w:val="00C517E2"/>
    <w:rsid w:val="00C72B67"/>
    <w:rsid w:val="00CA5AFF"/>
    <w:rsid w:val="00D00CC9"/>
    <w:rsid w:val="00D01B8D"/>
    <w:rsid w:val="00D03174"/>
    <w:rsid w:val="00D14AB6"/>
    <w:rsid w:val="00D1771C"/>
    <w:rsid w:val="00D1774E"/>
    <w:rsid w:val="00D21132"/>
    <w:rsid w:val="00D304B6"/>
    <w:rsid w:val="00D529CD"/>
    <w:rsid w:val="00D55399"/>
    <w:rsid w:val="00D729CB"/>
    <w:rsid w:val="00D85820"/>
    <w:rsid w:val="00D9078D"/>
    <w:rsid w:val="00D91050"/>
    <w:rsid w:val="00D912DA"/>
    <w:rsid w:val="00D94449"/>
    <w:rsid w:val="00DB13E9"/>
    <w:rsid w:val="00DB355C"/>
    <w:rsid w:val="00DC68D6"/>
    <w:rsid w:val="00DC69BE"/>
    <w:rsid w:val="00DD1D29"/>
    <w:rsid w:val="00DD6E33"/>
    <w:rsid w:val="00DE3EF8"/>
    <w:rsid w:val="00DF3CB7"/>
    <w:rsid w:val="00DF5F5A"/>
    <w:rsid w:val="00E03196"/>
    <w:rsid w:val="00E12D42"/>
    <w:rsid w:val="00E16A25"/>
    <w:rsid w:val="00E26A3D"/>
    <w:rsid w:val="00E33217"/>
    <w:rsid w:val="00E35352"/>
    <w:rsid w:val="00E359C1"/>
    <w:rsid w:val="00E37849"/>
    <w:rsid w:val="00E37C61"/>
    <w:rsid w:val="00E44849"/>
    <w:rsid w:val="00E65EA6"/>
    <w:rsid w:val="00E713F9"/>
    <w:rsid w:val="00E71C2E"/>
    <w:rsid w:val="00E7626D"/>
    <w:rsid w:val="00E77922"/>
    <w:rsid w:val="00E77F78"/>
    <w:rsid w:val="00E80170"/>
    <w:rsid w:val="00E84979"/>
    <w:rsid w:val="00E920A3"/>
    <w:rsid w:val="00E948CA"/>
    <w:rsid w:val="00EA2596"/>
    <w:rsid w:val="00EB0001"/>
    <w:rsid w:val="00EB3683"/>
    <w:rsid w:val="00EC17D0"/>
    <w:rsid w:val="00ED7211"/>
    <w:rsid w:val="00ED7A26"/>
    <w:rsid w:val="00EE5803"/>
    <w:rsid w:val="00EE6A7A"/>
    <w:rsid w:val="00EE6C24"/>
    <w:rsid w:val="00EF2ACC"/>
    <w:rsid w:val="00F0745F"/>
    <w:rsid w:val="00F076F5"/>
    <w:rsid w:val="00F13383"/>
    <w:rsid w:val="00F16799"/>
    <w:rsid w:val="00F21897"/>
    <w:rsid w:val="00F21D37"/>
    <w:rsid w:val="00F23780"/>
    <w:rsid w:val="00F471C3"/>
    <w:rsid w:val="00F52DDA"/>
    <w:rsid w:val="00F56491"/>
    <w:rsid w:val="00F56C4F"/>
    <w:rsid w:val="00F60535"/>
    <w:rsid w:val="00F63CAE"/>
    <w:rsid w:val="00F659A1"/>
    <w:rsid w:val="00F703AB"/>
    <w:rsid w:val="00F73032"/>
    <w:rsid w:val="00F735A7"/>
    <w:rsid w:val="00F744EF"/>
    <w:rsid w:val="00F8162D"/>
    <w:rsid w:val="00F81D3D"/>
    <w:rsid w:val="00F83137"/>
    <w:rsid w:val="00F85E39"/>
    <w:rsid w:val="00F94C41"/>
    <w:rsid w:val="00FA55AF"/>
    <w:rsid w:val="00FA58CA"/>
    <w:rsid w:val="00FA5918"/>
    <w:rsid w:val="00FA75E0"/>
    <w:rsid w:val="00FB2AC1"/>
    <w:rsid w:val="00FC00E4"/>
    <w:rsid w:val="00FC17A3"/>
    <w:rsid w:val="00FC1CDD"/>
    <w:rsid w:val="00FF34CD"/>
    <w:rsid w:val="713C1A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o:shapedefaults>
    <o:shapelayout v:ext="edit">
      <o:idmap v:ext="edit" data="2"/>
    </o:shapelayout>
  </w:shapeDefaults>
  <w:decimalSymbol w:val="."/>
  <w:listSeparator w:val=","/>
  <w14:docId w14:val="22FFCDE3"/>
  <w15:chartTrackingRefBased/>
  <w15:docId w15:val="{8146C695-5A4D-4618-9F71-31283637B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239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页眉 字符"/>
    <w:link w:val="a4"/>
    <w:uiPriority w:val="99"/>
    <w:rPr>
      <w:kern w:val="2"/>
      <w:sz w:val="18"/>
      <w:szCs w:val="18"/>
    </w:rPr>
  </w:style>
  <w:style w:type="character" w:styleId="a5">
    <w:name w:val="page number"/>
  </w:style>
  <w:style w:type="character" w:customStyle="1" w:styleId="a6">
    <w:name w:val="批注框文本 字符"/>
    <w:link w:val="a7"/>
    <w:uiPriority w:val="99"/>
    <w:semiHidden/>
    <w:rPr>
      <w:sz w:val="18"/>
      <w:szCs w:val="18"/>
    </w:rPr>
  </w:style>
  <w:style w:type="character" w:customStyle="1" w:styleId="a8">
    <w:name w:val="页脚 字符"/>
    <w:link w:val="a9"/>
    <w:rPr>
      <w:rFonts w:ascii="Times New Roman" w:eastAsia="宋体" w:hAnsi="Times New Roman" w:cs="Times New Roman"/>
      <w:sz w:val="18"/>
      <w:szCs w:val="18"/>
    </w:rPr>
  </w:style>
  <w:style w:type="character" w:customStyle="1" w:styleId="aa">
    <w:name w:val="日期 字符"/>
    <w:link w:val="ab"/>
    <w:uiPriority w:val="99"/>
    <w:semiHidden/>
    <w:rPr>
      <w:kern w:val="2"/>
      <w:sz w:val="21"/>
      <w:szCs w:val="22"/>
    </w:rPr>
  </w:style>
  <w:style w:type="paragraph" w:styleId="ab">
    <w:name w:val="Date"/>
    <w:basedOn w:val="a"/>
    <w:next w:val="a"/>
    <w:link w:val="aa"/>
    <w:uiPriority w:val="99"/>
    <w:unhideWhenUsed/>
    <w:pPr>
      <w:ind w:leftChars="2500" w:left="100"/>
    </w:pPr>
  </w:style>
  <w:style w:type="paragraph" w:styleId="a7">
    <w:name w:val="Balloon Text"/>
    <w:basedOn w:val="a"/>
    <w:link w:val="a6"/>
    <w:uiPriority w:val="99"/>
    <w:unhideWhenUsed/>
    <w:rPr>
      <w:sz w:val="18"/>
      <w:szCs w:val="18"/>
    </w:rPr>
  </w:style>
  <w:style w:type="paragraph" w:styleId="a4">
    <w:name w:val="header"/>
    <w:basedOn w:val="a"/>
    <w:link w:val="a3"/>
    <w:uiPriority w:val="99"/>
    <w:unhideWhenUsed/>
    <w:pPr>
      <w:pBdr>
        <w:bottom w:val="single" w:sz="6" w:space="1" w:color="auto"/>
      </w:pBdr>
      <w:tabs>
        <w:tab w:val="center" w:pos="4153"/>
        <w:tab w:val="right" w:pos="8306"/>
      </w:tabs>
      <w:snapToGrid w:val="0"/>
      <w:jc w:val="center"/>
    </w:pPr>
    <w:rPr>
      <w:sz w:val="18"/>
      <w:szCs w:val="18"/>
    </w:rPr>
  </w:style>
  <w:style w:type="paragraph" w:styleId="a9">
    <w:name w:val="footer"/>
    <w:basedOn w:val="a"/>
    <w:link w:val="a8"/>
    <w:pPr>
      <w:tabs>
        <w:tab w:val="center" w:pos="4153"/>
        <w:tab w:val="right" w:pos="8306"/>
      </w:tabs>
      <w:snapToGrid w:val="0"/>
      <w:jc w:val="left"/>
    </w:pPr>
    <w:rPr>
      <w:rFonts w:ascii="Times New Roman" w:hAnsi="Times New Roman"/>
      <w:sz w:val="18"/>
      <w:szCs w:val="18"/>
    </w:rPr>
  </w:style>
  <w:style w:type="paragraph" w:customStyle="1" w:styleId="ac">
    <w:name w:val="列出段落"/>
    <w:basedOn w:val="a"/>
    <w:uiPriority w:val="34"/>
    <w:qFormat/>
    <w:pPr>
      <w:ind w:firstLineChars="200" w:firstLine="420"/>
    </w:pPr>
  </w:style>
  <w:style w:type="paragraph" w:customStyle="1" w:styleId="DefaultParagraphFontParaChar">
    <w:name w:val="Default Paragraph Font Para Char"/>
    <w:basedOn w:val="a"/>
    <w:pPr>
      <w:widowControl/>
      <w:spacing w:after="160" w:line="240" w:lineRule="exact"/>
      <w:jc w:val="left"/>
    </w:pPr>
    <w:rPr>
      <w:rFonts w:ascii="Tahoma" w:eastAsia="Times New Roman" w:hAnsi="Tahoma"/>
      <w:kern w:val="0"/>
      <w:sz w:val="20"/>
      <w:szCs w:val="20"/>
      <w:lang w:eastAsia="en-US"/>
    </w:rPr>
  </w:style>
  <w:style w:type="character" w:styleId="ad">
    <w:name w:val="Hyperlink"/>
    <w:uiPriority w:val="99"/>
    <w:unhideWhenUsed/>
    <w:rsid w:val="00EC17D0"/>
    <w:rPr>
      <w:color w:val="0000FF"/>
      <w:u w:val="single"/>
    </w:rPr>
  </w:style>
  <w:style w:type="paragraph" w:customStyle="1" w:styleId="Default">
    <w:name w:val="Default"/>
    <w:rsid w:val="00171966"/>
    <w:pPr>
      <w:widowControl w:val="0"/>
      <w:autoSpaceDE w:val="0"/>
      <w:autoSpaceDN w:val="0"/>
      <w:adjustRightInd w:val="0"/>
    </w:pPr>
    <w:rPr>
      <w:rFonts w:ascii="宋体" w:cs="宋体"/>
      <w:color w:val="000000"/>
      <w:sz w:val="24"/>
      <w:szCs w:val="24"/>
    </w:rPr>
  </w:style>
  <w:style w:type="character" w:styleId="ae">
    <w:name w:val="Unresolved Mention"/>
    <w:uiPriority w:val="99"/>
    <w:semiHidden/>
    <w:unhideWhenUsed/>
    <w:rsid w:val="00F21D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4</Pages>
  <Words>400</Words>
  <Characters>2281</Characters>
  <Application>Microsoft Office Word</Application>
  <DocSecurity>0</DocSecurity>
  <PresentationFormat/>
  <Lines>19</Lines>
  <Paragraphs>5</Paragraphs>
  <Slides>0</Slides>
  <Notes>0</Notes>
  <HiddenSlides>0</HiddenSlides>
  <MMClips>0</MMClips>
  <ScaleCrop>false</ScaleCrop>
  <Company>Microsoft</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股票代码：600860           股票简称：北人股份        编号：临2013-032</dc:title>
  <dc:subject/>
  <dc:creator>郑文</dc:creator>
  <cp:keywords/>
  <cp:lastModifiedBy>e24628</cp:lastModifiedBy>
  <cp:revision>6</cp:revision>
  <cp:lastPrinted>2013-10-22T09:57:00Z</cp:lastPrinted>
  <dcterms:created xsi:type="dcterms:W3CDTF">2024-02-06T05:10:00Z</dcterms:created>
  <dcterms:modified xsi:type="dcterms:W3CDTF">2024-02-29T09:02:00Z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2052-9.1.0.4885</vt:lpwstr>
  </property>
</Properties>
</file>