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B227" w14:textId="7D3A5E8A" w:rsidR="008963BA" w:rsidRDefault="008963BA">
      <w:pPr>
        <w:spacing w:line="460" w:lineRule="exact"/>
        <w:rPr>
          <w:rFonts w:ascii="宋体" w:hAnsi="宋体"/>
          <w:sz w:val="24"/>
          <w:szCs w:val="24"/>
        </w:rPr>
      </w:pPr>
      <w:r>
        <w:rPr>
          <w:rFonts w:ascii="宋体" w:hAnsi="宋体" w:hint="eastAsia"/>
          <w:sz w:val="24"/>
          <w:szCs w:val="24"/>
        </w:rPr>
        <w:t>股票代码：600860           股票简称：京城股份        编号：临</w:t>
      </w:r>
      <w:r w:rsidR="00B2152F">
        <w:rPr>
          <w:rFonts w:ascii="宋体" w:hAnsi="宋体" w:hint="eastAsia"/>
          <w:sz w:val="24"/>
          <w:szCs w:val="24"/>
        </w:rPr>
        <w:t>20</w:t>
      </w:r>
      <w:r w:rsidR="003A6C1B">
        <w:rPr>
          <w:rFonts w:ascii="宋体" w:hAnsi="宋体" w:hint="eastAsia"/>
          <w:sz w:val="24"/>
          <w:szCs w:val="24"/>
        </w:rPr>
        <w:t>2</w:t>
      </w:r>
      <w:r w:rsidR="00075B8D">
        <w:rPr>
          <w:rFonts w:ascii="宋体" w:hAnsi="宋体"/>
          <w:sz w:val="24"/>
          <w:szCs w:val="24"/>
        </w:rPr>
        <w:t>3</w:t>
      </w:r>
      <w:r w:rsidR="00B2152F">
        <w:rPr>
          <w:rFonts w:ascii="宋体" w:hAnsi="宋体" w:hint="eastAsia"/>
          <w:sz w:val="24"/>
          <w:szCs w:val="24"/>
        </w:rPr>
        <w:t>-</w:t>
      </w:r>
      <w:r w:rsidR="00B2152F" w:rsidRPr="00093B42">
        <w:rPr>
          <w:rFonts w:ascii="宋体" w:hAnsi="宋体" w:hint="eastAsia"/>
          <w:sz w:val="24"/>
          <w:szCs w:val="24"/>
        </w:rPr>
        <w:t>0</w:t>
      </w:r>
      <w:r w:rsidR="00075B8D" w:rsidRPr="00093B42">
        <w:rPr>
          <w:rFonts w:ascii="宋体" w:hAnsi="宋体"/>
          <w:sz w:val="24"/>
          <w:szCs w:val="24"/>
        </w:rPr>
        <w:t>5</w:t>
      </w:r>
      <w:r w:rsidR="00677EA1" w:rsidRPr="00093B42">
        <w:rPr>
          <w:rFonts w:ascii="宋体" w:hAnsi="宋体"/>
          <w:sz w:val="24"/>
          <w:szCs w:val="24"/>
        </w:rPr>
        <w:t>4</w:t>
      </w:r>
    </w:p>
    <w:p w14:paraId="71837E8C" w14:textId="77777777" w:rsidR="008963BA" w:rsidRDefault="008963BA">
      <w:pPr>
        <w:spacing w:line="460" w:lineRule="exact"/>
        <w:ind w:firstLine="57"/>
        <w:rPr>
          <w:rFonts w:ascii="宋体" w:hAnsi="宋体"/>
          <w:sz w:val="24"/>
          <w:szCs w:val="24"/>
        </w:rPr>
      </w:pPr>
    </w:p>
    <w:p w14:paraId="5C9AAEC7" w14:textId="77777777" w:rsidR="008963BA" w:rsidRDefault="008963BA">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352FF41E" w14:textId="77777777" w:rsidR="008963BA" w:rsidRDefault="008963BA">
      <w:pPr>
        <w:adjustRightInd w:val="0"/>
        <w:snapToGrid w:val="0"/>
        <w:spacing w:line="460" w:lineRule="exact"/>
        <w:jc w:val="center"/>
        <w:rPr>
          <w:rFonts w:ascii="宋体" w:hAnsi="宋体"/>
          <w:b/>
          <w:caps/>
          <w:color w:val="FF0000"/>
          <w:sz w:val="32"/>
          <w:szCs w:val="32"/>
        </w:rPr>
      </w:pPr>
      <w:r>
        <w:rPr>
          <w:rFonts w:ascii="宋体" w:hAnsi="宋体"/>
          <w:b/>
          <w:caps/>
          <w:color w:val="FF0000"/>
          <w:sz w:val="32"/>
          <w:szCs w:val="32"/>
        </w:rPr>
        <w:t>Beijing Jingcheng Machinery Electric Company Limited</w:t>
      </w:r>
    </w:p>
    <w:p w14:paraId="0BB4E4FD" w14:textId="77777777" w:rsidR="008963BA" w:rsidRDefault="008963BA">
      <w:pPr>
        <w:adjustRightInd w:val="0"/>
        <w:snapToGrid w:val="0"/>
        <w:spacing w:line="460" w:lineRule="exact"/>
        <w:jc w:val="center"/>
        <w:rPr>
          <w:rFonts w:ascii="宋体" w:hAnsi="宋体"/>
          <w:b/>
          <w:i/>
          <w:color w:val="FF0000"/>
          <w:sz w:val="32"/>
          <w:szCs w:val="32"/>
        </w:rPr>
      </w:pPr>
      <w:r>
        <w:rPr>
          <w:rFonts w:ascii="宋体" w:hAnsi="宋体" w:hint="eastAsia"/>
          <w:b/>
          <w:i/>
          <w:color w:val="FF0000"/>
          <w:sz w:val="32"/>
          <w:szCs w:val="32"/>
        </w:rPr>
        <w:t>(在中华人民共和国注册成立之股份有限公司)</w:t>
      </w:r>
    </w:p>
    <w:p w14:paraId="35C17954" w14:textId="528A5CE9" w:rsidR="008963BA" w:rsidRDefault="007D3AAE">
      <w:pPr>
        <w:jc w:val="center"/>
        <w:rPr>
          <w:rFonts w:ascii="Times New Roman" w:hAnsi="Times New Roman"/>
          <w:b/>
          <w:bCs/>
          <w:color w:val="FF0000"/>
          <w:sz w:val="32"/>
          <w:szCs w:val="32"/>
        </w:rPr>
      </w:pPr>
      <w:r>
        <w:rPr>
          <w:rFonts w:ascii="Times New Roman" w:hAnsi="Times New Roman" w:hint="eastAsia"/>
          <w:b/>
          <w:bCs/>
          <w:color w:val="FF0000"/>
          <w:sz w:val="32"/>
          <w:szCs w:val="32"/>
        </w:rPr>
        <w:t>第</w:t>
      </w:r>
      <w:r w:rsidR="00075B8D">
        <w:rPr>
          <w:rFonts w:ascii="Times New Roman" w:hAnsi="Times New Roman" w:hint="eastAsia"/>
          <w:b/>
          <w:bCs/>
          <w:color w:val="FF0000"/>
          <w:sz w:val="32"/>
          <w:szCs w:val="32"/>
        </w:rPr>
        <w:t>十一</w:t>
      </w:r>
      <w:r w:rsidR="008963BA">
        <w:rPr>
          <w:rFonts w:ascii="Times New Roman" w:hAnsi="Times New Roman" w:hint="eastAsia"/>
          <w:b/>
          <w:bCs/>
          <w:color w:val="FF0000"/>
          <w:sz w:val="32"/>
          <w:szCs w:val="32"/>
        </w:rPr>
        <w:t>届监事会第</w:t>
      </w:r>
      <w:r w:rsidR="004851D3">
        <w:rPr>
          <w:rFonts w:ascii="Times New Roman" w:hAnsi="Times New Roman" w:hint="eastAsia"/>
          <w:b/>
          <w:bCs/>
          <w:color w:val="FF0000"/>
          <w:sz w:val="32"/>
          <w:szCs w:val="32"/>
        </w:rPr>
        <w:t>六</w:t>
      </w:r>
      <w:r w:rsidR="008963BA">
        <w:rPr>
          <w:rFonts w:ascii="Times New Roman" w:hAnsi="Times New Roman" w:hint="eastAsia"/>
          <w:b/>
          <w:bCs/>
          <w:color w:val="FF0000"/>
          <w:sz w:val="32"/>
          <w:szCs w:val="32"/>
        </w:rPr>
        <w:t>次会议决议公告</w:t>
      </w:r>
    </w:p>
    <w:p w14:paraId="5A5866ED" w14:textId="77777777" w:rsidR="008963BA" w:rsidRDefault="008963BA">
      <w:pPr>
        <w:spacing w:line="360" w:lineRule="exact"/>
        <w:jc w:val="center"/>
        <w:rPr>
          <w:rFonts w:ascii="宋体" w:hAnsi="宋体"/>
          <w:b/>
          <w:sz w:val="30"/>
          <w:szCs w:val="30"/>
        </w:rPr>
      </w:pPr>
    </w:p>
    <w:p w14:paraId="0C718305" w14:textId="765A1CA8" w:rsidR="008963BA" w:rsidRPr="00B37752" w:rsidRDefault="008963BA" w:rsidP="00C54CE9">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宋体" w:hAnsi="宋体"/>
          <w:b/>
          <w:color w:val="000000"/>
          <w:sz w:val="24"/>
          <w:szCs w:val="24"/>
        </w:rPr>
      </w:pPr>
      <w:r w:rsidRPr="00B37752">
        <w:rPr>
          <w:rFonts w:ascii="宋体" w:hAnsi="宋体" w:hint="eastAsia"/>
          <w:b/>
          <w:color w:val="000000"/>
          <w:sz w:val="24"/>
          <w:szCs w:val="24"/>
        </w:rPr>
        <w:t>本公司监事会及全体监事保证本公告内容不存在任何虚假记载、误导性陈述或者重大遗漏，并对其内容的真实性、准确性和完整性承担</w:t>
      </w:r>
      <w:r w:rsidR="00075B8D" w:rsidRPr="00B37752">
        <w:rPr>
          <w:rFonts w:ascii="宋体" w:hAnsi="宋体" w:hint="eastAsia"/>
          <w:b/>
          <w:color w:val="000000"/>
          <w:sz w:val="24"/>
          <w:szCs w:val="24"/>
        </w:rPr>
        <w:t>法律</w:t>
      </w:r>
      <w:r w:rsidRPr="00B37752">
        <w:rPr>
          <w:rFonts w:ascii="宋体" w:hAnsi="宋体" w:hint="eastAsia"/>
          <w:b/>
          <w:color w:val="000000"/>
          <w:sz w:val="24"/>
          <w:szCs w:val="24"/>
        </w:rPr>
        <w:t>责任。</w:t>
      </w:r>
    </w:p>
    <w:p w14:paraId="79BC0006" w14:textId="77777777" w:rsidR="008963BA" w:rsidRDefault="008963BA">
      <w:pPr>
        <w:spacing w:line="500" w:lineRule="exact"/>
        <w:ind w:firstLineChars="200" w:firstLine="480"/>
        <w:rPr>
          <w:rFonts w:ascii="Times New Roman" w:hAnsi="Times New Roman"/>
          <w:sz w:val="24"/>
          <w:szCs w:val="21"/>
        </w:rPr>
      </w:pPr>
    </w:p>
    <w:p w14:paraId="3C59E2A3" w14:textId="75728C2E" w:rsidR="008963BA" w:rsidRDefault="008963BA" w:rsidP="00B2152F">
      <w:pPr>
        <w:spacing w:line="500" w:lineRule="exact"/>
        <w:ind w:firstLineChars="202" w:firstLine="485"/>
        <w:rPr>
          <w:rFonts w:ascii="宋体" w:hAnsi="宋体"/>
          <w:sz w:val="24"/>
          <w:szCs w:val="24"/>
        </w:rPr>
      </w:pPr>
      <w:r>
        <w:rPr>
          <w:rFonts w:ascii="宋体" w:hAnsi="宋体" w:hint="eastAsia"/>
          <w:sz w:val="24"/>
          <w:szCs w:val="24"/>
        </w:rPr>
        <w:t>北京京城机电股份有限公司（以下简</w:t>
      </w:r>
      <w:r w:rsidR="007D3AAE">
        <w:rPr>
          <w:rFonts w:ascii="宋体" w:hAnsi="宋体" w:hint="eastAsia"/>
          <w:sz w:val="24"/>
          <w:szCs w:val="24"/>
        </w:rPr>
        <w:t>称“公司”）第十</w:t>
      </w:r>
      <w:r w:rsidR="00075B8D">
        <w:rPr>
          <w:rFonts w:ascii="宋体" w:hAnsi="宋体" w:hint="eastAsia"/>
          <w:sz w:val="24"/>
          <w:szCs w:val="24"/>
        </w:rPr>
        <w:t>一</w:t>
      </w:r>
      <w:r>
        <w:rPr>
          <w:rFonts w:ascii="宋体" w:hAnsi="宋体" w:hint="eastAsia"/>
          <w:sz w:val="24"/>
          <w:szCs w:val="24"/>
        </w:rPr>
        <w:t>届监事会第</w:t>
      </w:r>
      <w:r w:rsidR="004851D3">
        <w:rPr>
          <w:rFonts w:ascii="宋体" w:hAnsi="宋体" w:hint="eastAsia"/>
          <w:sz w:val="24"/>
          <w:szCs w:val="24"/>
        </w:rPr>
        <w:t>六</w:t>
      </w:r>
      <w:r>
        <w:rPr>
          <w:rFonts w:ascii="宋体" w:hAnsi="宋体" w:hint="eastAsia"/>
          <w:sz w:val="24"/>
          <w:szCs w:val="24"/>
        </w:rPr>
        <w:t>次会议于20</w:t>
      </w:r>
      <w:r w:rsidR="007D3AAE">
        <w:rPr>
          <w:rFonts w:ascii="宋体" w:hAnsi="宋体" w:hint="eastAsia"/>
          <w:sz w:val="24"/>
          <w:szCs w:val="24"/>
        </w:rPr>
        <w:t>2</w:t>
      </w:r>
      <w:r w:rsidR="00075B8D">
        <w:rPr>
          <w:rFonts w:ascii="宋体" w:hAnsi="宋体"/>
          <w:sz w:val="24"/>
          <w:szCs w:val="24"/>
        </w:rPr>
        <w:t>3</w:t>
      </w:r>
      <w:r>
        <w:rPr>
          <w:rFonts w:ascii="宋体" w:hAnsi="宋体" w:hint="eastAsia"/>
          <w:sz w:val="24"/>
          <w:szCs w:val="24"/>
        </w:rPr>
        <w:t>年</w:t>
      </w:r>
      <w:r w:rsidR="007D3AAE">
        <w:rPr>
          <w:rFonts w:ascii="宋体" w:hAnsi="宋体" w:hint="eastAsia"/>
          <w:sz w:val="24"/>
          <w:szCs w:val="24"/>
        </w:rPr>
        <w:t>10</w:t>
      </w:r>
      <w:r>
        <w:rPr>
          <w:rFonts w:ascii="宋体" w:hAnsi="宋体" w:hint="eastAsia"/>
          <w:sz w:val="24"/>
          <w:szCs w:val="24"/>
        </w:rPr>
        <w:t>月</w:t>
      </w:r>
      <w:r w:rsidR="00075B8D">
        <w:rPr>
          <w:rFonts w:ascii="宋体" w:hAnsi="宋体"/>
          <w:sz w:val="24"/>
          <w:szCs w:val="24"/>
        </w:rPr>
        <w:t>30</w:t>
      </w:r>
      <w:r>
        <w:rPr>
          <w:rFonts w:ascii="宋体" w:hAnsi="宋体" w:hint="eastAsia"/>
          <w:sz w:val="24"/>
          <w:szCs w:val="24"/>
        </w:rPr>
        <w:t>日以现场方式召开。会议由监事</w:t>
      </w:r>
      <w:r w:rsidR="007D3AAE">
        <w:rPr>
          <w:rFonts w:ascii="宋体" w:hAnsi="宋体" w:hint="eastAsia"/>
          <w:sz w:val="24"/>
          <w:szCs w:val="24"/>
        </w:rPr>
        <w:t>会主席田东强</w:t>
      </w:r>
      <w:r>
        <w:rPr>
          <w:rFonts w:ascii="宋体" w:hAnsi="宋体" w:hint="eastAsia"/>
          <w:sz w:val="24"/>
          <w:szCs w:val="24"/>
        </w:rPr>
        <w:t>先生主持，会议应到监事3人，实到3人。</w:t>
      </w:r>
      <w:r w:rsidR="000953D0">
        <w:rPr>
          <w:rFonts w:ascii="宋体" w:hAnsi="宋体" w:hint="eastAsia"/>
          <w:sz w:val="24"/>
          <w:szCs w:val="24"/>
        </w:rPr>
        <w:t>会议召开</w:t>
      </w:r>
      <w:r>
        <w:rPr>
          <w:rFonts w:ascii="宋体" w:hAnsi="宋体" w:hint="eastAsia"/>
          <w:sz w:val="24"/>
          <w:szCs w:val="24"/>
        </w:rPr>
        <w:t>符合《公司法》及《公司章程》的有关规定，监事会审议通过以下议案：</w:t>
      </w:r>
    </w:p>
    <w:p w14:paraId="5F5855D0" w14:textId="20446296" w:rsidR="007D3AAE" w:rsidRPr="00E27360" w:rsidRDefault="0006274E" w:rsidP="007D3AAE">
      <w:pPr>
        <w:spacing w:line="360" w:lineRule="auto"/>
        <w:ind w:firstLineChars="202" w:firstLine="485"/>
        <w:rPr>
          <w:rFonts w:ascii="宋体" w:hAnsi="宋体"/>
          <w:sz w:val="24"/>
          <w:szCs w:val="24"/>
        </w:rPr>
      </w:pPr>
      <w:bookmarkStart w:id="0" w:name="_Hlk149223663"/>
      <w:r>
        <w:rPr>
          <w:rFonts w:ascii="宋体" w:hAnsi="宋体" w:hint="eastAsia"/>
          <w:sz w:val="24"/>
          <w:szCs w:val="24"/>
        </w:rPr>
        <w:t>1、</w:t>
      </w:r>
      <w:r w:rsidR="007D3AAE" w:rsidRPr="00E27360">
        <w:rPr>
          <w:rFonts w:ascii="宋体" w:hAnsi="宋体" w:hint="eastAsia"/>
          <w:sz w:val="24"/>
          <w:szCs w:val="24"/>
        </w:rPr>
        <w:t>审议通过</w:t>
      </w:r>
      <w:r w:rsidR="00BA5906">
        <w:rPr>
          <w:rFonts w:ascii="宋体" w:hAnsi="宋体" w:hint="eastAsia"/>
          <w:sz w:val="24"/>
          <w:szCs w:val="24"/>
        </w:rPr>
        <w:t>《</w:t>
      </w:r>
      <w:r w:rsidR="007D3AAE" w:rsidRPr="00E27360">
        <w:rPr>
          <w:rFonts w:ascii="宋体" w:hAnsi="宋体" w:hint="eastAsia"/>
          <w:sz w:val="24"/>
          <w:szCs w:val="24"/>
        </w:rPr>
        <w:t>公司</w:t>
      </w:r>
      <w:r w:rsidR="004851D3">
        <w:rPr>
          <w:rFonts w:ascii="宋体" w:hAnsi="宋体" w:hint="eastAsia"/>
          <w:sz w:val="24"/>
          <w:szCs w:val="24"/>
        </w:rPr>
        <w:t>202</w:t>
      </w:r>
      <w:r w:rsidR="00075B8D">
        <w:rPr>
          <w:rFonts w:ascii="宋体" w:hAnsi="宋体"/>
          <w:sz w:val="24"/>
          <w:szCs w:val="24"/>
        </w:rPr>
        <w:t>3</w:t>
      </w:r>
      <w:r w:rsidR="007D3AAE" w:rsidRPr="00E27360">
        <w:rPr>
          <w:rFonts w:ascii="宋体" w:hAnsi="宋体" w:hint="eastAsia"/>
          <w:sz w:val="24"/>
          <w:szCs w:val="24"/>
        </w:rPr>
        <w:t>年第三季度报告</w:t>
      </w:r>
      <w:r w:rsidR="00BA5906">
        <w:rPr>
          <w:rFonts w:ascii="宋体" w:hAnsi="宋体" w:hint="eastAsia"/>
          <w:sz w:val="24"/>
          <w:szCs w:val="24"/>
        </w:rPr>
        <w:t>》</w:t>
      </w:r>
    </w:p>
    <w:p w14:paraId="5AE0FB28" w14:textId="3CB6D48E" w:rsidR="007D3AAE" w:rsidRPr="00E27360" w:rsidRDefault="007D3AAE" w:rsidP="007D3AAE">
      <w:pPr>
        <w:spacing w:line="360" w:lineRule="auto"/>
        <w:ind w:firstLineChars="202" w:firstLine="485"/>
        <w:rPr>
          <w:rFonts w:ascii="宋体" w:hAnsi="宋体"/>
          <w:sz w:val="24"/>
          <w:szCs w:val="24"/>
        </w:rPr>
      </w:pPr>
      <w:r w:rsidRPr="00E27360">
        <w:rPr>
          <w:rFonts w:ascii="宋体" w:hAnsi="宋体" w:hint="eastAsia"/>
          <w:sz w:val="24"/>
          <w:szCs w:val="24"/>
        </w:rPr>
        <w:t>公司监事会根据中国证监会有关规定，对</w:t>
      </w:r>
      <w:r w:rsidR="00677EA1">
        <w:rPr>
          <w:rFonts w:ascii="宋体" w:hAnsi="宋体" w:hint="eastAsia"/>
          <w:sz w:val="24"/>
          <w:szCs w:val="24"/>
        </w:rPr>
        <w:t>公司</w:t>
      </w:r>
      <w:r w:rsidRPr="00E27360">
        <w:rPr>
          <w:rFonts w:ascii="宋体" w:hAnsi="宋体" w:hint="eastAsia"/>
          <w:sz w:val="24"/>
          <w:szCs w:val="24"/>
        </w:rPr>
        <w:t>董事会编制的</w:t>
      </w:r>
      <w:r w:rsidR="00677EA1">
        <w:rPr>
          <w:rFonts w:ascii="宋体" w:hAnsi="宋体" w:hint="eastAsia"/>
          <w:sz w:val="24"/>
          <w:szCs w:val="24"/>
        </w:rPr>
        <w:t>公司</w:t>
      </w:r>
      <w:r w:rsidR="004851D3">
        <w:rPr>
          <w:rFonts w:ascii="宋体" w:hAnsi="宋体" w:hint="eastAsia"/>
          <w:sz w:val="24"/>
          <w:szCs w:val="24"/>
        </w:rPr>
        <w:t>202</w:t>
      </w:r>
      <w:r w:rsidR="00075B8D">
        <w:rPr>
          <w:rFonts w:ascii="宋体" w:hAnsi="宋体"/>
          <w:sz w:val="24"/>
          <w:szCs w:val="24"/>
        </w:rPr>
        <w:t>3</w:t>
      </w:r>
      <w:r w:rsidR="00041041" w:rsidRPr="00E27360">
        <w:rPr>
          <w:rFonts w:ascii="宋体" w:hAnsi="宋体" w:hint="eastAsia"/>
          <w:sz w:val="24"/>
          <w:szCs w:val="24"/>
        </w:rPr>
        <w:t>年第</w:t>
      </w:r>
      <w:r w:rsidRPr="00E27360">
        <w:rPr>
          <w:rFonts w:ascii="宋体" w:hAnsi="宋体" w:hint="eastAsia"/>
          <w:sz w:val="24"/>
          <w:szCs w:val="24"/>
        </w:rPr>
        <w:t>三季度报告进行了认真审核，与会全体监事一致认为：</w:t>
      </w:r>
    </w:p>
    <w:p w14:paraId="04100B45" w14:textId="77777777" w:rsidR="007D3AAE" w:rsidRPr="00E27360" w:rsidRDefault="007D3AAE" w:rsidP="007D3AAE">
      <w:pPr>
        <w:spacing w:line="360" w:lineRule="auto"/>
        <w:ind w:firstLineChars="202" w:firstLine="485"/>
        <w:rPr>
          <w:rFonts w:ascii="宋体" w:hAnsi="宋体"/>
          <w:sz w:val="24"/>
          <w:szCs w:val="24"/>
        </w:rPr>
      </w:pPr>
      <w:r w:rsidRPr="00E27360">
        <w:rPr>
          <w:rFonts w:ascii="宋体" w:hAnsi="宋体" w:hint="eastAsia"/>
          <w:sz w:val="24"/>
          <w:szCs w:val="24"/>
        </w:rPr>
        <w:t>（1）</w:t>
      </w:r>
      <w:r w:rsidR="000953D0">
        <w:rPr>
          <w:rFonts w:ascii="宋体" w:hAnsi="宋体" w:hint="eastAsia"/>
          <w:sz w:val="24"/>
          <w:szCs w:val="24"/>
        </w:rPr>
        <w:t>第</w:t>
      </w:r>
      <w:r w:rsidRPr="00E27360">
        <w:rPr>
          <w:rFonts w:ascii="宋体" w:hAnsi="宋体" w:hint="eastAsia"/>
          <w:sz w:val="24"/>
          <w:szCs w:val="24"/>
        </w:rPr>
        <w:t>三季度报告的编制和审议程序符合法律、法规、</w:t>
      </w:r>
      <w:r w:rsidR="000953D0">
        <w:rPr>
          <w:rFonts w:ascii="宋体" w:hAnsi="宋体" w:hint="eastAsia"/>
          <w:sz w:val="24"/>
          <w:szCs w:val="24"/>
        </w:rPr>
        <w:t>《</w:t>
      </w:r>
      <w:r w:rsidRPr="00E27360">
        <w:rPr>
          <w:rFonts w:ascii="宋体" w:hAnsi="宋体" w:hint="eastAsia"/>
          <w:sz w:val="24"/>
          <w:szCs w:val="24"/>
        </w:rPr>
        <w:t>公司章程</w:t>
      </w:r>
      <w:r w:rsidR="000953D0">
        <w:rPr>
          <w:rFonts w:ascii="宋体" w:hAnsi="宋体" w:hint="eastAsia"/>
          <w:sz w:val="24"/>
          <w:szCs w:val="24"/>
        </w:rPr>
        <w:t>》</w:t>
      </w:r>
      <w:r w:rsidRPr="00E27360">
        <w:rPr>
          <w:rFonts w:ascii="宋体" w:hAnsi="宋体" w:hint="eastAsia"/>
          <w:sz w:val="24"/>
          <w:szCs w:val="24"/>
        </w:rPr>
        <w:t>、公司内部管理制度的各项规定；</w:t>
      </w:r>
    </w:p>
    <w:p w14:paraId="768D1275" w14:textId="3D5B00F4" w:rsidR="007D3AAE" w:rsidRPr="00E27360" w:rsidRDefault="007D3AAE" w:rsidP="007D3AAE">
      <w:pPr>
        <w:spacing w:line="360" w:lineRule="auto"/>
        <w:ind w:firstLineChars="202" w:firstLine="485"/>
        <w:rPr>
          <w:rFonts w:ascii="宋体" w:hAnsi="宋体"/>
          <w:sz w:val="24"/>
          <w:szCs w:val="24"/>
        </w:rPr>
      </w:pPr>
      <w:r w:rsidRPr="00E27360">
        <w:rPr>
          <w:rFonts w:ascii="宋体" w:hAnsi="宋体" w:hint="eastAsia"/>
          <w:sz w:val="24"/>
          <w:szCs w:val="24"/>
        </w:rPr>
        <w:t>（2）</w:t>
      </w:r>
      <w:r w:rsidR="000953D0">
        <w:rPr>
          <w:rFonts w:ascii="宋体" w:hAnsi="宋体" w:hint="eastAsia"/>
          <w:sz w:val="24"/>
          <w:szCs w:val="24"/>
        </w:rPr>
        <w:t>第</w:t>
      </w:r>
      <w:r w:rsidRPr="00E27360">
        <w:rPr>
          <w:rFonts w:ascii="宋体" w:hAnsi="宋体" w:hint="eastAsia"/>
          <w:sz w:val="24"/>
          <w:szCs w:val="24"/>
        </w:rPr>
        <w:t>三季度报告的内容和格式符合中国证监会和</w:t>
      </w:r>
      <w:r w:rsidR="00E50DE3">
        <w:rPr>
          <w:rFonts w:ascii="宋体" w:hAnsi="宋体" w:hint="eastAsia"/>
          <w:sz w:val="24"/>
          <w:szCs w:val="24"/>
        </w:rPr>
        <w:t>上海</w:t>
      </w:r>
      <w:r w:rsidRPr="00E27360">
        <w:rPr>
          <w:rFonts w:ascii="宋体" w:hAnsi="宋体" w:hint="eastAsia"/>
          <w:sz w:val="24"/>
          <w:szCs w:val="24"/>
        </w:rPr>
        <w:t>证券交易所的各项规定，所包含的信息能从各个方面真实地反映出</w:t>
      </w:r>
      <w:r w:rsidR="00041041">
        <w:rPr>
          <w:rFonts w:ascii="宋体" w:hAnsi="宋体" w:hint="eastAsia"/>
          <w:sz w:val="24"/>
          <w:szCs w:val="24"/>
        </w:rPr>
        <w:t>公司</w:t>
      </w:r>
      <w:r w:rsidR="000953D0">
        <w:rPr>
          <w:rFonts w:ascii="宋体" w:hAnsi="宋体" w:hint="eastAsia"/>
          <w:sz w:val="24"/>
          <w:szCs w:val="24"/>
        </w:rPr>
        <w:t>第</w:t>
      </w:r>
      <w:r w:rsidRPr="00E27360">
        <w:rPr>
          <w:rFonts w:ascii="宋体" w:hAnsi="宋体" w:hint="eastAsia"/>
          <w:sz w:val="24"/>
          <w:szCs w:val="24"/>
        </w:rPr>
        <w:t>三季度的经营管理和财务状况等事项；</w:t>
      </w:r>
    </w:p>
    <w:p w14:paraId="1D09FBC8" w14:textId="77777777" w:rsidR="007D3AAE" w:rsidRPr="00E27360" w:rsidRDefault="007D3AAE" w:rsidP="007D3AAE">
      <w:pPr>
        <w:spacing w:line="360" w:lineRule="auto"/>
        <w:ind w:firstLineChars="202" w:firstLine="485"/>
        <w:rPr>
          <w:rFonts w:ascii="宋体" w:hAnsi="宋体"/>
          <w:sz w:val="24"/>
          <w:szCs w:val="24"/>
        </w:rPr>
      </w:pPr>
      <w:r w:rsidRPr="00E27360">
        <w:rPr>
          <w:rFonts w:ascii="宋体" w:hAnsi="宋体" w:hint="eastAsia"/>
          <w:sz w:val="24"/>
          <w:szCs w:val="24"/>
        </w:rPr>
        <w:t>（3）在提出本意</w:t>
      </w:r>
      <w:r w:rsidR="00E3231A">
        <w:rPr>
          <w:rFonts w:ascii="宋体" w:hAnsi="宋体" w:hint="eastAsia"/>
          <w:sz w:val="24"/>
          <w:szCs w:val="24"/>
        </w:rPr>
        <w:t>见前，未发现参与</w:t>
      </w:r>
      <w:r w:rsidR="000953D0">
        <w:rPr>
          <w:rFonts w:ascii="宋体" w:hAnsi="宋体" w:hint="eastAsia"/>
          <w:sz w:val="24"/>
          <w:szCs w:val="24"/>
        </w:rPr>
        <w:t>第</w:t>
      </w:r>
      <w:r w:rsidR="00E3231A">
        <w:rPr>
          <w:rFonts w:ascii="宋体" w:hAnsi="宋体" w:hint="eastAsia"/>
          <w:sz w:val="24"/>
          <w:szCs w:val="24"/>
        </w:rPr>
        <w:t>三季度报告编制和审议的人员有违反保密规定的行为；</w:t>
      </w:r>
    </w:p>
    <w:p w14:paraId="230CE314" w14:textId="77777777" w:rsidR="007D3AAE" w:rsidRPr="00E27360" w:rsidRDefault="007D3AAE" w:rsidP="007D3AAE">
      <w:pPr>
        <w:spacing w:line="360" w:lineRule="auto"/>
        <w:ind w:firstLineChars="202" w:firstLine="485"/>
        <w:rPr>
          <w:rFonts w:ascii="宋体" w:hAnsi="宋体"/>
          <w:sz w:val="24"/>
          <w:szCs w:val="24"/>
        </w:rPr>
      </w:pPr>
      <w:r w:rsidRPr="00E27360">
        <w:rPr>
          <w:rFonts w:ascii="宋体" w:hAnsi="宋体" w:hint="eastAsia"/>
          <w:sz w:val="24"/>
          <w:szCs w:val="24"/>
        </w:rPr>
        <w:t>（4）监事会同意</w:t>
      </w:r>
      <w:r w:rsidR="000953D0">
        <w:rPr>
          <w:rFonts w:ascii="宋体" w:hAnsi="宋体" w:hint="eastAsia"/>
          <w:sz w:val="24"/>
          <w:szCs w:val="24"/>
        </w:rPr>
        <w:t>第</w:t>
      </w:r>
      <w:r w:rsidRPr="00E27360">
        <w:rPr>
          <w:rFonts w:ascii="宋体" w:hAnsi="宋体" w:hint="eastAsia"/>
          <w:sz w:val="24"/>
          <w:szCs w:val="24"/>
        </w:rPr>
        <w:t>三季度报告按期履行信息披露。</w:t>
      </w:r>
    </w:p>
    <w:p w14:paraId="40702B51" w14:textId="77777777" w:rsidR="007D3AAE" w:rsidRDefault="007D3AAE" w:rsidP="007D3AAE">
      <w:pPr>
        <w:spacing w:line="360" w:lineRule="auto"/>
        <w:ind w:firstLineChars="202" w:firstLine="485"/>
        <w:rPr>
          <w:rFonts w:ascii="宋体" w:hAnsi="宋体"/>
          <w:sz w:val="24"/>
          <w:szCs w:val="24"/>
        </w:rPr>
      </w:pPr>
      <w:r w:rsidRPr="00E27360">
        <w:rPr>
          <w:rFonts w:ascii="宋体" w:hAnsi="宋体" w:hint="eastAsia"/>
          <w:sz w:val="24"/>
          <w:szCs w:val="24"/>
        </w:rPr>
        <w:t>本议案的有效表决3票。同意3票，反对0票，弃权0票。</w:t>
      </w:r>
    </w:p>
    <w:p w14:paraId="0EBE7496" w14:textId="77777777" w:rsidR="0006274E" w:rsidRDefault="0006274E" w:rsidP="0006274E">
      <w:pPr>
        <w:spacing w:line="480" w:lineRule="exact"/>
        <w:ind w:firstLineChars="202" w:firstLine="485"/>
        <w:rPr>
          <w:rFonts w:ascii="Times New Roman" w:hAnsi="Times New Roman"/>
          <w:sz w:val="24"/>
          <w:szCs w:val="21"/>
        </w:rPr>
      </w:pPr>
      <w:r>
        <w:rPr>
          <w:rFonts w:ascii="Times New Roman" w:hAnsi="Times New Roman" w:hint="eastAsia"/>
          <w:sz w:val="24"/>
          <w:szCs w:val="21"/>
        </w:rPr>
        <w:t>2</w:t>
      </w:r>
      <w:r>
        <w:rPr>
          <w:rFonts w:ascii="Times New Roman" w:hAnsi="Times New Roman" w:hint="eastAsia"/>
          <w:sz w:val="24"/>
          <w:szCs w:val="21"/>
        </w:rPr>
        <w:t>、</w:t>
      </w:r>
      <w:r w:rsidRPr="00A06B6A">
        <w:rPr>
          <w:rFonts w:ascii="Times New Roman" w:hAnsi="Times New Roman" w:hint="eastAsia"/>
          <w:sz w:val="24"/>
          <w:szCs w:val="21"/>
        </w:rPr>
        <w:t>审议</w:t>
      </w:r>
      <w:r>
        <w:rPr>
          <w:rFonts w:ascii="Times New Roman" w:hAnsi="Times New Roman" w:hint="eastAsia"/>
          <w:sz w:val="24"/>
          <w:szCs w:val="21"/>
        </w:rPr>
        <w:t>通过《</w:t>
      </w:r>
      <w:r w:rsidRPr="00A06B6A">
        <w:rPr>
          <w:rFonts w:ascii="Times New Roman" w:hAnsi="Times New Roman" w:hint="eastAsia"/>
          <w:sz w:val="24"/>
          <w:szCs w:val="21"/>
        </w:rPr>
        <w:t>关于公司</w:t>
      </w:r>
      <w:r>
        <w:rPr>
          <w:rFonts w:ascii="Times New Roman" w:hAnsi="Times New Roman" w:hint="eastAsia"/>
          <w:sz w:val="24"/>
          <w:szCs w:val="21"/>
        </w:rPr>
        <w:t>附属</w:t>
      </w:r>
      <w:r w:rsidRPr="00A06B6A">
        <w:rPr>
          <w:rFonts w:ascii="Times New Roman" w:hAnsi="Times New Roman" w:hint="eastAsia"/>
          <w:sz w:val="24"/>
          <w:szCs w:val="21"/>
        </w:rPr>
        <w:t>公司</w:t>
      </w:r>
      <w:r w:rsidRPr="007049F5">
        <w:rPr>
          <w:rFonts w:ascii="Times New Roman" w:hAnsi="Times New Roman" w:hint="eastAsia"/>
          <w:sz w:val="24"/>
          <w:szCs w:val="21"/>
        </w:rPr>
        <w:t>天津天海</w:t>
      </w:r>
      <w:r w:rsidRPr="00A06B6A">
        <w:rPr>
          <w:rFonts w:ascii="Times New Roman" w:hAnsi="Times New Roman" w:hint="eastAsia"/>
          <w:sz w:val="24"/>
          <w:szCs w:val="21"/>
        </w:rPr>
        <w:t>以抵押方式向浦发银行天津分行申请银行承兑汇票及流动资金贷款的议案</w:t>
      </w:r>
      <w:r>
        <w:rPr>
          <w:rFonts w:ascii="Times New Roman" w:hAnsi="Times New Roman" w:hint="eastAsia"/>
          <w:sz w:val="24"/>
          <w:szCs w:val="21"/>
        </w:rPr>
        <w:t>》</w:t>
      </w:r>
    </w:p>
    <w:p w14:paraId="3B8B5DA8" w14:textId="6CD9A872" w:rsidR="0006274E" w:rsidRDefault="0006274E" w:rsidP="0006274E">
      <w:pPr>
        <w:spacing w:line="480" w:lineRule="exact"/>
        <w:ind w:firstLineChars="202" w:firstLine="485"/>
        <w:rPr>
          <w:rFonts w:ascii="Times New Roman" w:hAnsi="Times New Roman"/>
          <w:sz w:val="24"/>
          <w:szCs w:val="21"/>
        </w:rPr>
      </w:pPr>
      <w:r w:rsidRPr="007049F5">
        <w:rPr>
          <w:rFonts w:ascii="Times New Roman" w:hAnsi="Times New Roman" w:hint="eastAsia"/>
          <w:sz w:val="24"/>
          <w:szCs w:val="21"/>
        </w:rPr>
        <w:t>依据公司</w:t>
      </w:r>
      <w:r w:rsidRPr="007049F5">
        <w:rPr>
          <w:rFonts w:ascii="Times New Roman" w:hAnsi="Times New Roman" w:hint="eastAsia"/>
          <w:sz w:val="24"/>
          <w:szCs w:val="21"/>
        </w:rPr>
        <w:t>202</w:t>
      </w:r>
      <w:r>
        <w:rPr>
          <w:rFonts w:ascii="Times New Roman" w:hAnsi="Times New Roman"/>
          <w:sz w:val="24"/>
          <w:szCs w:val="21"/>
        </w:rPr>
        <w:t>3</w:t>
      </w:r>
      <w:r w:rsidRPr="007049F5">
        <w:rPr>
          <w:rFonts w:ascii="Times New Roman" w:hAnsi="Times New Roman" w:hint="eastAsia"/>
          <w:sz w:val="24"/>
          <w:szCs w:val="21"/>
        </w:rPr>
        <w:t>年总体融资计划及天津天海高压容器有限责任公司</w:t>
      </w:r>
      <w:r>
        <w:rPr>
          <w:rFonts w:ascii="Times New Roman" w:hAnsi="Times New Roman" w:hint="eastAsia"/>
          <w:sz w:val="24"/>
          <w:szCs w:val="21"/>
        </w:rPr>
        <w:t>（以下简</w:t>
      </w:r>
      <w:r>
        <w:rPr>
          <w:rFonts w:ascii="Times New Roman" w:hAnsi="Times New Roman" w:hint="eastAsia"/>
          <w:sz w:val="24"/>
          <w:szCs w:val="21"/>
        </w:rPr>
        <w:lastRenderedPageBreak/>
        <w:t>称“天津</w:t>
      </w:r>
      <w:r w:rsidR="0018521F">
        <w:rPr>
          <w:rFonts w:ascii="Times New Roman" w:hAnsi="Times New Roman" w:hint="eastAsia"/>
          <w:sz w:val="24"/>
          <w:szCs w:val="21"/>
        </w:rPr>
        <w:t>天</w:t>
      </w:r>
      <w:r>
        <w:rPr>
          <w:rFonts w:ascii="Times New Roman" w:hAnsi="Times New Roman" w:hint="eastAsia"/>
          <w:sz w:val="24"/>
          <w:szCs w:val="21"/>
        </w:rPr>
        <w:t>海”）</w:t>
      </w:r>
      <w:r w:rsidRPr="007049F5">
        <w:rPr>
          <w:rFonts w:ascii="Times New Roman" w:hAnsi="Times New Roman" w:hint="eastAsia"/>
          <w:sz w:val="24"/>
          <w:szCs w:val="21"/>
        </w:rPr>
        <w:t>目前的经营</w:t>
      </w:r>
      <w:r>
        <w:rPr>
          <w:rFonts w:ascii="Times New Roman" w:hAnsi="Times New Roman" w:hint="eastAsia"/>
          <w:sz w:val="24"/>
          <w:szCs w:val="21"/>
        </w:rPr>
        <w:t>现状</w:t>
      </w:r>
      <w:r w:rsidRPr="007049F5">
        <w:rPr>
          <w:rFonts w:ascii="Times New Roman" w:hAnsi="Times New Roman" w:hint="eastAsia"/>
          <w:sz w:val="24"/>
          <w:szCs w:val="21"/>
        </w:rPr>
        <w:t>，以抵押房产及土地的方式向上海浦东发展银行股份有限公司天津分行申请银行承兑汇票</w:t>
      </w:r>
      <w:r w:rsidRPr="00D25F9F">
        <w:rPr>
          <w:rFonts w:ascii="Times New Roman" w:hAnsi="Times New Roman" w:hint="eastAsia"/>
          <w:sz w:val="24"/>
          <w:szCs w:val="21"/>
        </w:rPr>
        <w:t>不超过</w:t>
      </w:r>
      <w:r w:rsidRPr="00D25F9F">
        <w:rPr>
          <w:rFonts w:ascii="Times New Roman" w:hAnsi="Times New Roman" w:hint="eastAsia"/>
          <w:sz w:val="24"/>
          <w:szCs w:val="21"/>
        </w:rPr>
        <w:t>4</w:t>
      </w:r>
      <w:r>
        <w:rPr>
          <w:rFonts w:ascii="Times New Roman" w:hAnsi="Times New Roman"/>
          <w:sz w:val="24"/>
          <w:szCs w:val="21"/>
        </w:rPr>
        <w:t>,</w:t>
      </w:r>
      <w:r w:rsidRPr="00D25F9F">
        <w:rPr>
          <w:rFonts w:ascii="Times New Roman" w:hAnsi="Times New Roman" w:hint="eastAsia"/>
          <w:sz w:val="24"/>
          <w:szCs w:val="21"/>
        </w:rPr>
        <w:t>400</w:t>
      </w:r>
      <w:r w:rsidRPr="00D25F9F">
        <w:rPr>
          <w:rFonts w:ascii="Times New Roman" w:hAnsi="Times New Roman" w:hint="eastAsia"/>
          <w:sz w:val="24"/>
          <w:szCs w:val="21"/>
        </w:rPr>
        <w:t>万元</w:t>
      </w:r>
      <w:r>
        <w:rPr>
          <w:rFonts w:ascii="Times New Roman" w:hAnsi="Times New Roman" w:hint="eastAsia"/>
          <w:sz w:val="24"/>
          <w:szCs w:val="21"/>
        </w:rPr>
        <w:t>人民币</w:t>
      </w:r>
      <w:r w:rsidRPr="00D25F9F">
        <w:rPr>
          <w:rFonts w:ascii="Times New Roman" w:hAnsi="Times New Roman" w:hint="eastAsia"/>
          <w:sz w:val="24"/>
          <w:szCs w:val="21"/>
        </w:rPr>
        <w:t>（保证金比例</w:t>
      </w:r>
      <w:r w:rsidRPr="00D25F9F">
        <w:rPr>
          <w:rFonts w:ascii="Times New Roman" w:hAnsi="Times New Roman" w:hint="eastAsia"/>
          <w:sz w:val="24"/>
          <w:szCs w:val="21"/>
        </w:rPr>
        <w:t>50%</w:t>
      </w:r>
      <w:r w:rsidRPr="00D25F9F">
        <w:rPr>
          <w:rFonts w:ascii="Times New Roman" w:hAnsi="Times New Roman" w:hint="eastAsia"/>
          <w:sz w:val="24"/>
          <w:szCs w:val="21"/>
        </w:rPr>
        <w:t>）及不超过</w:t>
      </w:r>
      <w:r w:rsidRPr="00D25F9F">
        <w:rPr>
          <w:rFonts w:ascii="Times New Roman" w:hAnsi="Times New Roman" w:hint="eastAsia"/>
          <w:sz w:val="24"/>
          <w:szCs w:val="21"/>
        </w:rPr>
        <w:t>1</w:t>
      </w:r>
      <w:r>
        <w:rPr>
          <w:rFonts w:ascii="Times New Roman" w:hAnsi="Times New Roman" w:hint="eastAsia"/>
          <w:sz w:val="24"/>
          <w:szCs w:val="21"/>
        </w:rPr>
        <w:t>,</w:t>
      </w:r>
      <w:r w:rsidRPr="00D25F9F">
        <w:rPr>
          <w:rFonts w:ascii="Times New Roman" w:hAnsi="Times New Roman" w:hint="eastAsia"/>
          <w:sz w:val="24"/>
          <w:szCs w:val="21"/>
        </w:rPr>
        <w:t>000</w:t>
      </w:r>
      <w:r w:rsidRPr="00D25F9F">
        <w:rPr>
          <w:rFonts w:ascii="Times New Roman" w:hAnsi="Times New Roman" w:hint="eastAsia"/>
          <w:sz w:val="24"/>
          <w:szCs w:val="21"/>
        </w:rPr>
        <w:t>万元</w:t>
      </w:r>
      <w:r>
        <w:rPr>
          <w:rFonts w:ascii="Times New Roman" w:hAnsi="Times New Roman" w:hint="eastAsia"/>
          <w:sz w:val="24"/>
          <w:szCs w:val="21"/>
        </w:rPr>
        <w:t>人民币</w:t>
      </w:r>
      <w:r w:rsidRPr="00D25F9F">
        <w:rPr>
          <w:rFonts w:ascii="Times New Roman" w:hAnsi="Times New Roman" w:hint="eastAsia"/>
          <w:sz w:val="24"/>
          <w:szCs w:val="21"/>
        </w:rPr>
        <w:t>流动资金贷款</w:t>
      </w:r>
      <w:r>
        <w:rPr>
          <w:rFonts w:ascii="Times New Roman" w:hAnsi="Times New Roman" w:hint="eastAsia"/>
          <w:sz w:val="24"/>
          <w:szCs w:val="21"/>
        </w:rPr>
        <w:t>（</w:t>
      </w:r>
      <w:r w:rsidRPr="00D25F9F">
        <w:rPr>
          <w:rFonts w:ascii="Times New Roman" w:hAnsi="Times New Roman" w:hint="eastAsia"/>
          <w:sz w:val="24"/>
          <w:szCs w:val="21"/>
        </w:rPr>
        <w:t>总敞口额度不超过</w:t>
      </w:r>
      <w:r w:rsidRPr="00D25F9F">
        <w:rPr>
          <w:rFonts w:ascii="Times New Roman" w:hAnsi="Times New Roman" w:hint="eastAsia"/>
          <w:sz w:val="24"/>
          <w:szCs w:val="21"/>
        </w:rPr>
        <w:t>2</w:t>
      </w:r>
      <w:r>
        <w:rPr>
          <w:rFonts w:ascii="Times New Roman" w:hAnsi="Times New Roman"/>
          <w:sz w:val="24"/>
          <w:szCs w:val="21"/>
        </w:rPr>
        <w:t>,</w:t>
      </w:r>
      <w:r w:rsidRPr="00D25F9F">
        <w:rPr>
          <w:rFonts w:ascii="Times New Roman" w:hAnsi="Times New Roman" w:hint="eastAsia"/>
          <w:sz w:val="24"/>
          <w:szCs w:val="21"/>
        </w:rPr>
        <w:t>200</w:t>
      </w:r>
      <w:r w:rsidRPr="00D25F9F">
        <w:rPr>
          <w:rFonts w:ascii="Times New Roman" w:hAnsi="Times New Roman" w:hint="eastAsia"/>
          <w:sz w:val="24"/>
          <w:szCs w:val="21"/>
        </w:rPr>
        <w:t>万元</w:t>
      </w:r>
      <w:r>
        <w:rPr>
          <w:rFonts w:ascii="Times New Roman" w:hAnsi="Times New Roman" w:hint="eastAsia"/>
          <w:sz w:val="24"/>
          <w:szCs w:val="21"/>
        </w:rPr>
        <w:t>人民币）</w:t>
      </w:r>
      <w:r w:rsidRPr="007049F5">
        <w:rPr>
          <w:rFonts w:ascii="Times New Roman" w:hAnsi="Times New Roman" w:hint="eastAsia"/>
          <w:sz w:val="24"/>
          <w:szCs w:val="21"/>
        </w:rPr>
        <w:t>用于补充天津天海流动资金。融资期限</w:t>
      </w:r>
      <w:r w:rsidRPr="007049F5">
        <w:rPr>
          <w:rFonts w:ascii="Times New Roman" w:hAnsi="Times New Roman" w:hint="eastAsia"/>
          <w:sz w:val="24"/>
          <w:szCs w:val="21"/>
        </w:rPr>
        <w:t>1</w:t>
      </w:r>
      <w:r w:rsidRPr="007049F5">
        <w:rPr>
          <w:rFonts w:ascii="Times New Roman" w:hAnsi="Times New Roman" w:hint="eastAsia"/>
          <w:sz w:val="24"/>
          <w:szCs w:val="21"/>
        </w:rPr>
        <w:t>年，融资利率以银行批复为准。</w:t>
      </w:r>
    </w:p>
    <w:p w14:paraId="6C94D497" w14:textId="729CBB89" w:rsidR="0006274E" w:rsidRDefault="0006274E" w:rsidP="0006274E">
      <w:pPr>
        <w:spacing w:line="480" w:lineRule="exact"/>
        <w:ind w:firstLineChars="202" w:firstLine="485"/>
        <w:rPr>
          <w:rFonts w:ascii="Times New Roman" w:hAnsi="Times New Roman"/>
          <w:sz w:val="24"/>
          <w:szCs w:val="21"/>
        </w:rPr>
      </w:pPr>
      <w:r w:rsidRPr="00E27360">
        <w:rPr>
          <w:rFonts w:ascii="宋体" w:hAnsi="宋体" w:hint="eastAsia"/>
          <w:sz w:val="24"/>
          <w:szCs w:val="24"/>
        </w:rPr>
        <w:t>本议案的有效表决3票。同意3票，反对0票，弃权0票。</w:t>
      </w:r>
    </w:p>
    <w:p w14:paraId="24AC878A" w14:textId="77777777" w:rsidR="0006274E" w:rsidRDefault="0006274E" w:rsidP="0006274E">
      <w:pPr>
        <w:spacing w:line="480" w:lineRule="exact"/>
        <w:ind w:firstLineChars="202" w:firstLine="485"/>
        <w:rPr>
          <w:rFonts w:ascii="Times New Roman" w:hAnsi="Times New Roman"/>
          <w:sz w:val="24"/>
          <w:szCs w:val="21"/>
        </w:rPr>
      </w:pPr>
      <w:r>
        <w:rPr>
          <w:rFonts w:ascii="Times New Roman" w:hAnsi="Times New Roman" w:hint="eastAsia"/>
          <w:sz w:val="24"/>
          <w:szCs w:val="21"/>
        </w:rPr>
        <w:t>3</w:t>
      </w:r>
      <w:r>
        <w:rPr>
          <w:rFonts w:ascii="Times New Roman" w:hAnsi="Times New Roman" w:hint="eastAsia"/>
          <w:sz w:val="24"/>
          <w:szCs w:val="21"/>
        </w:rPr>
        <w:t>、审议通过《</w:t>
      </w:r>
      <w:r w:rsidRPr="00563680">
        <w:rPr>
          <w:rFonts w:ascii="Times New Roman" w:hAnsi="Times New Roman" w:hint="eastAsia"/>
          <w:sz w:val="24"/>
          <w:szCs w:val="21"/>
        </w:rPr>
        <w:t>关于清算解散北清智创（北京）新能源汽车科技有限公司的议案</w:t>
      </w:r>
      <w:r>
        <w:rPr>
          <w:rFonts w:ascii="Times New Roman" w:hAnsi="Times New Roman" w:hint="eastAsia"/>
          <w:sz w:val="24"/>
          <w:szCs w:val="21"/>
        </w:rPr>
        <w:t>》</w:t>
      </w:r>
    </w:p>
    <w:p w14:paraId="09D87527" w14:textId="123984A9" w:rsidR="0006274E" w:rsidRDefault="0006274E" w:rsidP="0006274E">
      <w:pPr>
        <w:spacing w:line="480" w:lineRule="exact"/>
        <w:ind w:firstLineChars="202" w:firstLine="485"/>
        <w:rPr>
          <w:rFonts w:ascii="Times New Roman" w:hAnsi="Times New Roman"/>
          <w:sz w:val="24"/>
          <w:szCs w:val="21"/>
        </w:rPr>
      </w:pPr>
      <w:r w:rsidRPr="00FB7536">
        <w:rPr>
          <w:rFonts w:hint="eastAsia"/>
          <w:sz w:val="24"/>
          <w:szCs w:val="24"/>
        </w:rPr>
        <w:t>鉴于北清智创</w:t>
      </w:r>
      <w:r w:rsidR="00677EA1" w:rsidRPr="00563680">
        <w:rPr>
          <w:rFonts w:ascii="Times New Roman" w:hAnsi="Times New Roman" w:hint="eastAsia"/>
          <w:sz w:val="24"/>
          <w:szCs w:val="21"/>
        </w:rPr>
        <w:t>（北京）新能源汽车科技有限公司</w:t>
      </w:r>
      <w:r w:rsidR="00677EA1">
        <w:rPr>
          <w:rFonts w:ascii="Times New Roman" w:hAnsi="Times New Roman" w:hint="eastAsia"/>
          <w:sz w:val="24"/>
          <w:szCs w:val="21"/>
        </w:rPr>
        <w:t>（以下简称“北清智创”）</w:t>
      </w:r>
      <w:r w:rsidRPr="00FB7536">
        <w:rPr>
          <w:rFonts w:hint="eastAsia"/>
          <w:sz w:val="24"/>
          <w:szCs w:val="24"/>
        </w:rPr>
        <w:t>成立后，</w:t>
      </w:r>
      <w:r w:rsidR="009803FF" w:rsidRPr="009803FF">
        <w:rPr>
          <w:rFonts w:hint="eastAsia"/>
          <w:sz w:val="24"/>
          <w:szCs w:val="24"/>
        </w:rPr>
        <w:t>原定企业经营战略调整，</w:t>
      </w:r>
      <w:r w:rsidRPr="00FB7536">
        <w:rPr>
          <w:rFonts w:hint="eastAsia"/>
          <w:sz w:val="24"/>
          <w:szCs w:val="24"/>
        </w:rPr>
        <w:t>同意</w:t>
      </w:r>
      <w:r w:rsidR="00677EA1">
        <w:rPr>
          <w:rFonts w:hint="eastAsia"/>
          <w:sz w:val="24"/>
          <w:szCs w:val="24"/>
        </w:rPr>
        <w:t>公司子公司</w:t>
      </w:r>
      <w:r w:rsidRPr="00FB7536">
        <w:rPr>
          <w:rFonts w:hint="eastAsia"/>
          <w:sz w:val="24"/>
          <w:szCs w:val="24"/>
        </w:rPr>
        <w:t>北京天海</w:t>
      </w:r>
      <w:r w:rsidR="00677EA1">
        <w:rPr>
          <w:rFonts w:hint="eastAsia"/>
          <w:sz w:val="24"/>
          <w:szCs w:val="24"/>
        </w:rPr>
        <w:t>工业有限公司</w:t>
      </w:r>
      <w:r w:rsidRPr="00FB7536">
        <w:rPr>
          <w:rFonts w:hint="eastAsia"/>
          <w:sz w:val="24"/>
          <w:szCs w:val="24"/>
        </w:rPr>
        <w:t>对其参股公司北清智创进行解散注销。</w:t>
      </w:r>
    </w:p>
    <w:p w14:paraId="24471201" w14:textId="345E594F" w:rsidR="0006274E" w:rsidRPr="00E27360" w:rsidRDefault="0006274E" w:rsidP="0006274E">
      <w:pPr>
        <w:spacing w:line="360" w:lineRule="auto"/>
        <w:ind w:firstLineChars="202" w:firstLine="485"/>
        <w:rPr>
          <w:rFonts w:ascii="宋体" w:hAnsi="宋体"/>
          <w:sz w:val="24"/>
          <w:szCs w:val="24"/>
        </w:rPr>
      </w:pPr>
      <w:r w:rsidRPr="00E27360">
        <w:rPr>
          <w:rFonts w:ascii="宋体" w:hAnsi="宋体" w:hint="eastAsia"/>
          <w:sz w:val="24"/>
          <w:szCs w:val="24"/>
        </w:rPr>
        <w:t>本议案的有效表决3票。同意3票，反对0票，弃权0票。</w:t>
      </w:r>
      <w:bookmarkEnd w:id="0"/>
    </w:p>
    <w:p w14:paraId="2A3A8CFB" w14:textId="77777777" w:rsidR="008963BA" w:rsidRDefault="008963BA" w:rsidP="00B2152F">
      <w:pPr>
        <w:spacing w:line="500" w:lineRule="exact"/>
        <w:ind w:firstLineChars="202" w:firstLine="485"/>
        <w:rPr>
          <w:rFonts w:ascii="宋体" w:hAnsi="宋体"/>
          <w:sz w:val="24"/>
          <w:szCs w:val="24"/>
        </w:rPr>
      </w:pPr>
      <w:r>
        <w:rPr>
          <w:rFonts w:ascii="宋体" w:hAnsi="宋体" w:hint="eastAsia"/>
          <w:sz w:val="24"/>
          <w:szCs w:val="24"/>
        </w:rPr>
        <w:t>特此公告。</w:t>
      </w:r>
    </w:p>
    <w:p w14:paraId="07499DA2" w14:textId="77777777" w:rsidR="0006274E" w:rsidRDefault="0006274E" w:rsidP="00B2152F">
      <w:pPr>
        <w:spacing w:line="500" w:lineRule="exact"/>
        <w:ind w:firstLineChars="202" w:firstLine="485"/>
        <w:rPr>
          <w:rFonts w:ascii="宋体" w:hAnsi="宋体"/>
          <w:sz w:val="24"/>
          <w:szCs w:val="24"/>
        </w:rPr>
      </w:pPr>
    </w:p>
    <w:p w14:paraId="28BB664D" w14:textId="77777777" w:rsidR="0006274E" w:rsidRDefault="0006274E" w:rsidP="00B2152F">
      <w:pPr>
        <w:spacing w:line="500" w:lineRule="exact"/>
        <w:ind w:firstLineChars="202" w:firstLine="485"/>
        <w:rPr>
          <w:rFonts w:ascii="宋体" w:hAnsi="宋体"/>
          <w:sz w:val="24"/>
          <w:szCs w:val="24"/>
        </w:rPr>
      </w:pPr>
    </w:p>
    <w:p w14:paraId="0092B118" w14:textId="77777777" w:rsidR="0006274E" w:rsidRDefault="0006274E" w:rsidP="00B2152F">
      <w:pPr>
        <w:spacing w:line="500" w:lineRule="exact"/>
        <w:ind w:firstLineChars="202" w:firstLine="485"/>
        <w:rPr>
          <w:rFonts w:ascii="宋体" w:hAnsi="宋体"/>
          <w:sz w:val="24"/>
          <w:szCs w:val="24"/>
        </w:rPr>
      </w:pPr>
    </w:p>
    <w:p w14:paraId="233F48C2" w14:textId="77777777" w:rsidR="008963BA" w:rsidRDefault="008963BA">
      <w:pPr>
        <w:spacing w:line="500" w:lineRule="exact"/>
        <w:ind w:firstLineChars="1702" w:firstLine="4085"/>
        <w:rPr>
          <w:rFonts w:ascii="宋体" w:hAnsi="宋体"/>
          <w:sz w:val="24"/>
          <w:szCs w:val="24"/>
        </w:rPr>
      </w:pPr>
      <w:r>
        <w:rPr>
          <w:rFonts w:ascii="宋体" w:hAnsi="宋体" w:hint="eastAsia"/>
          <w:sz w:val="24"/>
          <w:szCs w:val="24"/>
        </w:rPr>
        <w:t>北京京城机电股份有限公司监事会</w:t>
      </w:r>
    </w:p>
    <w:p w14:paraId="4DD71092" w14:textId="3FDCACCB" w:rsidR="008963BA" w:rsidRDefault="008963BA">
      <w:pPr>
        <w:spacing w:line="500" w:lineRule="exact"/>
        <w:ind w:firstLineChars="2102" w:firstLine="5045"/>
        <w:rPr>
          <w:rFonts w:ascii="宋体" w:hAnsi="宋体"/>
          <w:sz w:val="24"/>
          <w:szCs w:val="24"/>
        </w:rPr>
      </w:pPr>
      <w:r>
        <w:rPr>
          <w:rFonts w:ascii="宋体" w:hAnsi="宋体" w:hint="eastAsia"/>
          <w:sz w:val="24"/>
          <w:szCs w:val="24"/>
        </w:rPr>
        <w:t>20</w:t>
      </w:r>
      <w:r w:rsidR="003A6C1B">
        <w:rPr>
          <w:rFonts w:ascii="宋体" w:hAnsi="宋体" w:hint="eastAsia"/>
          <w:sz w:val="24"/>
          <w:szCs w:val="24"/>
        </w:rPr>
        <w:t>2</w:t>
      </w:r>
      <w:r w:rsidR="00075B8D">
        <w:rPr>
          <w:rFonts w:ascii="宋体" w:hAnsi="宋体"/>
          <w:sz w:val="24"/>
          <w:szCs w:val="24"/>
        </w:rPr>
        <w:t>3</w:t>
      </w:r>
      <w:r w:rsidR="00B2152F">
        <w:rPr>
          <w:rFonts w:ascii="宋体" w:hAnsi="宋体" w:hint="eastAsia"/>
          <w:sz w:val="24"/>
          <w:szCs w:val="24"/>
        </w:rPr>
        <w:t>年</w:t>
      </w:r>
      <w:r w:rsidR="003A6C1B">
        <w:rPr>
          <w:rFonts w:ascii="宋体" w:hAnsi="宋体" w:hint="eastAsia"/>
          <w:sz w:val="24"/>
          <w:szCs w:val="24"/>
        </w:rPr>
        <w:t>10</w:t>
      </w:r>
      <w:r>
        <w:rPr>
          <w:rFonts w:ascii="宋体" w:hAnsi="宋体" w:hint="eastAsia"/>
          <w:sz w:val="24"/>
          <w:szCs w:val="24"/>
        </w:rPr>
        <w:t>月</w:t>
      </w:r>
      <w:r w:rsidR="00075B8D">
        <w:rPr>
          <w:rFonts w:ascii="宋体" w:hAnsi="宋体"/>
          <w:sz w:val="24"/>
          <w:szCs w:val="24"/>
        </w:rPr>
        <w:t>30</w:t>
      </w:r>
      <w:r>
        <w:rPr>
          <w:rFonts w:ascii="宋体" w:hAnsi="宋体" w:hint="eastAsia"/>
          <w:sz w:val="24"/>
          <w:szCs w:val="24"/>
        </w:rPr>
        <w:t>日</w:t>
      </w:r>
    </w:p>
    <w:sectPr w:rsidR="008963BA">
      <w:footerReference w:type="even" r:id="rId8"/>
      <w:footerReference w:type="default" r:id="rId9"/>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EE6A" w14:textId="77777777" w:rsidR="009406E3" w:rsidRDefault="009406E3">
      <w:r>
        <w:separator/>
      </w:r>
    </w:p>
  </w:endnote>
  <w:endnote w:type="continuationSeparator" w:id="0">
    <w:p w14:paraId="1AE2B14E" w14:textId="77777777" w:rsidR="009406E3" w:rsidRDefault="0094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EE46" w14:textId="77777777" w:rsidR="008963BA" w:rsidRDefault="008963BA">
    <w:pPr>
      <w:pStyle w:val="a4"/>
      <w:framePr w:wrap="around" w:vAnchor="text" w:hAnchor="margin" w:xAlign="center" w:y="1"/>
      <w:rPr>
        <w:rStyle w:val="a8"/>
      </w:rPr>
    </w:pPr>
    <w:r>
      <w:fldChar w:fldCharType="begin"/>
    </w:r>
    <w:r>
      <w:rPr>
        <w:rStyle w:val="a8"/>
      </w:rPr>
      <w:instrText xml:space="preserve">PAGE  </w:instrText>
    </w:r>
    <w:r>
      <w:fldChar w:fldCharType="end"/>
    </w:r>
  </w:p>
  <w:p w14:paraId="375DA110" w14:textId="77777777" w:rsidR="008963BA" w:rsidRDefault="008963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9D8E" w14:textId="77777777" w:rsidR="008963BA" w:rsidRDefault="008963BA">
    <w:pPr>
      <w:pStyle w:val="a4"/>
      <w:framePr w:wrap="around" w:vAnchor="text" w:hAnchor="margin" w:xAlign="center" w:y="1"/>
      <w:rPr>
        <w:rStyle w:val="a8"/>
      </w:rPr>
    </w:pPr>
    <w:r>
      <w:fldChar w:fldCharType="begin"/>
    </w:r>
    <w:r>
      <w:rPr>
        <w:rStyle w:val="a8"/>
      </w:rPr>
      <w:instrText xml:space="preserve">PAGE  </w:instrText>
    </w:r>
    <w:r>
      <w:fldChar w:fldCharType="separate"/>
    </w:r>
    <w:r w:rsidR="009406E3">
      <w:rPr>
        <w:rStyle w:val="a8"/>
        <w:noProof/>
      </w:rPr>
      <w:t>1</w:t>
    </w:r>
    <w:r>
      <w:fldChar w:fldCharType="end"/>
    </w:r>
  </w:p>
  <w:p w14:paraId="055E4E52" w14:textId="77777777" w:rsidR="008963BA" w:rsidRDefault="008963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7F90" w14:textId="77777777" w:rsidR="009406E3" w:rsidRDefault="009406E3">
      <w:r>
        <w:separator/>
      </w:r>
    </w:p>
  </w:footnote>
  <w:footnote w:type="continuationSeparator" w:id="0">
    <w:p w14:paraId="491B3F0B" w14:textId="77777777" w:rsidR="009406E3" w:rsidRDefault="0094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25D"/>
    <w:multiLevelType w:val="multilevel"/>
    <w:tmpl w:val="0B6E225D"/>
    <w:lvl w:ilvl="0">
      <w:start w:val="1"/>
      <w:numFmt w:val="decimal"/>
      <w:lvlText w:val="（%1）"/>
      <w:lvlJc w:val="left"/>
      <w:pPr>
        <w:tabs>
          <w:tab w:val="num" w:pos="900"/>
        </w:tabs>
        <w:ind w:left="900" w:hanging="360"/>
      </w:pPr>
      <w:rPr>
        <w:rFonts w:ascii="Times New Roman" w:eastAsia="Times New Roman" w:hAnsi="Times New Roman" w:cs="Times New Roman"/>
        <w:lang w:val="en-US"/>
      </w:rPr>
    </w:lvl>
    <w:lvl w:ilvl="1">
      <w:start w:val="1"/>
      <w:numFmt w:val="lowerLetter"/>
      <w:pStyle w:val="2"/>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15:restartNumberingAfterBreak="0">
    <w:nsid w:val="445F2F8E"/>
    <w:multiLevelType w:val="hybridMultilevel"/>
    <w:tmpl w:val="1EE0E77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D433686"/>
    <w:multiLevelType w:val="multilevel"/>
    <w:tmpl w:val="4D43368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2B84477"/>
    <w:multiLevelType w:val="multilevel"/>
    <w:tmpl w:val="72B84477"/>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108696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709361">
    <w:abstractNumId w:val="3"/>
  </w:num>
  <w:num w:numId="3" w16cid:durableId="242835843">
    <w:abstractNumId w:val="2"/>
  </w:num>
  <w:num w:numId="4" w16cid:durableId="61787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74E"/>
    <w:rsid w:val="F8BDDAA5"/>
    <w:rsid w:val="00006965"/>
    <w:rsid w:val="00007DC9"/>
    <w:rsid w:val="00041041"/>
    <w:rsid w:val="00057180"/>
    <w:rsid w:val="0006274E"/>
    <w:rsid w:val="00064936"/>
    <w:rsid w:val="0006668E"/>
    <w:rsid w:val="00074182"/>
    <w:rsid w:val="00075B8D"/>
    <w:rsid w:val="00076F29"/>
    <w:rsid w:val="00083CB1"/>
    <w:rsid w:val="00084ECB"/>
    <w:rsid w:val="00093B42"/>
    <w:rsid w:val="00094BE4"/>
    <w:rsid w:val="000953D0"/>
    <w:rsid w:val="000971BC"/>
    <w:rsid w:val="000B08A8"/>
    <w:rsid w:val="000B329E"/>
    <w:rsid w:val="000B464F"/>
    <w:rsid w:val="000C685C"/>
    <w:rsid w:val="000D0F76"/>
    <w:rsid w:val="000E0E1E"/>
    <w:rsid w:val="000E474E"/>
    <w:rsid w:val="000E6DAB"/>
    <w:rsid w:val="000E7945"/>
    <w:rsid w:val="000F4AD8"/>
    <w:rsid w:val="000F7FF5"/>
    <w:rsid w:val="0011270C"/>
    <w:rsid w:val="00134733"/>
    <w:rsid w:val="00135D24"/>
    <w:rsid w:val="00137E40"/>
    <w:rsid w:val="0014103E"/>
    <w:rsid w:val="0014575F"/>
    <w:rsid w:val="00151E53"/>
    <w:rsid w:val="00152FD0"/>
    <w:rsid w:val="00154343"/>
    <w:rsid w:val="0018521F"/>
    <w:rsid w:val="00185576"/>
    <w:rsid w:val="00185FD1"/>
    <w:rsid w:val="00187333"/>
    <w:rsid w:val="001A6545"/>
    <w:rsid w:val="001B7C53"/>
    <w:rsid w:val="001C509E"/>
    <w:rsid w:val="001D7A6F"/>
    <w:rsid w:val="0021201C"/>
    <w:rsid w:val="00221BFF"/>
    <w:rsid w:val="00225EC4"/>
    <w:rsid w:val="00226BF0"/>
    <w:rsid w:val="00255AAE"/>
    <w:rsid w:val="0026046D"/>
    <w:rsid w:val="00260869"/>
    <w:rsid w:val="00260A4E"/>
    <w:rsid w:val="0026645A"/>
    <w:rsid w:val="002867C8"/>
    <w:rsid w:val="00294473"/>
    <w:rsid w:val="00297CED"/>
    <w:rsid w:val="002A290B"/>
    <w:rsid w:val="002A6168"/>
    <w:rsid w:val="002B3111"/>
    <w:rsid w:val="002B4B17"/>
    <w:rsid w:val="002F1EB4"/>
    <w:rsid w:val="002F3F14"/>
    <w:rsid w:val="0030496B"/>
    <w:rsid w:val="00305E17"/>
    <w:rsid w:val="00330B82"/>
    <w:rsid w:val="00336946"/>
    <w:rsid w:val="00367D10"/>
    <w:rsid w:val="00367EBE"/>
    <w:rsid w:val="003706EA"/>
    <w:rsid w:val="00376BE2"/>
    <w:rsid w:val="003809AE"/>
    <w:rsid w:val="00390BCA"/>
    <w:rsid w:val="003A6C1B"/>
    <w:rsid w:val="003B4750"/>
    <w:rsid w:val="003D6110"/>
    <w:rsid w:val="003D6F55"/>
    <w:rsid w:val="003E7CA2"/>
    <w:rsid w:val="003E7E37"/>
    <w:rsid w:val="003F5040"/>
    <w:rsid w:val="004115CF"/>
    <w:rsid w:val="00433EA6"/>
    <w:rsid w:val="004401BA"/>
    <w:rsid w:val="004430CF"/>
    <w:rsid w:val="00452741"/>
    <w:rsid w:val="00453E86"/>
    <w:rsid w:val="00456F80"/>
    <w:rsid w:val="00462FFC"/>
    <w:rsid w:val="00472C11"/>
    <w:rsid w:val="00481549"/>
    <w:rsid w:val="00483CC1"/>
    <w:rsid w:val="00484642"/>
    <w:rsid w:val="004851D3"/>
    <w:rsid w:val="004B0918"/>
    <w:rsid w:val="004C6CEF"/>
    <w:rsid w:val="004D242E"/>
    <w:rsid w:val="004D6FD2"/>
    <w:rsid w:val="004E050B"/>
    <w:rsid w:val="005229A1"/>
    <w:rsid w:val="00524CD8"/>
    <w:rsid w:val="00535CBF"/>
    <w:rsid w:val="005410ED"/>
    <w:rsid w:val="00542D4B"/>
    <w:rsid w:val="005434EC"/>
    <w:rsid w:val="00546C1B"/>
    <w:rsid w:val="00552390"/>
    <w:rsid w:val="005642B2"/>
    <w:rsid w:val="00581C2B"/>
    <w:rsid w:val="005851C3"/>
    <w:rsid w:val="005B4F99"/>
    <w:rsid w:val="005C4887"/>
    <w:rsid w:val="005C6374"/>
    <w:rsid w:val="005D39E7"/>
    <w:rsid w:val="005E0135"/>
    <w:rsid w:val="005E0A17"/>
    <w:rsid w:val="005E34CA"/>
    <w:rsid w:val="005F7652"/>
    <w:rsid w:val="0060635A"/>
    <w:rsid w:val="00637EB3"/>
    <w:rsid w:val="006435BB"/>
    <w:rsid w:val="00653EAE"/>
    <w:rsid w:val="006579DA"/>
    <w:rsid w:val="0066383D"/>
    <w:rsid w:val="00677EA1"/>
    <w:rsid w:val="00683116"/>
    <w:rsid w:val="006904D9"/>
    <w:rsid w:val="00695CFD"/>
    <w:rsid w:val="006B35E0"/>
    <w:rsid w:val="006B3C68"/>
    <w:rsid w:val="006B6FF7"/>
    <w:rsid w:val="006D17F4"/>
    <w:rsid w:val="006D733C"/>
    <w:rsid w:val="006E07E0"/>
    <w:rsid w:val="006F196E"/>
    <w:rsid w:val="006F598B"/>
    <w:rsid w:val="00727B8D"/>
    <w:rsid w:val="007344BF"/>
    <w:rsid w:val="00735B62"/>
    <w:rsid w:val="00757F26"/>
    <w:rsid w:val="007620E7"/>
    <w:rsid w:val="0076498B"/>
    <w:rsid w:val="007671BB"/>
    <w:rsid w:val="00775C49"/>
    <w:rsid w:val="00780530"/>
    <w:rsid w:val="007809CC"/>
    <w:rsid w:val="00787A24"/>
    <w:rsid w:val="00794B06"/>
    <w:rsid w:val="007A30EE"/>
    <w:rsid w:val="007B57C3"/>
    <w:rsid w:val="007C1085"/>
    <w:rsid w:val="007D3AAE"/>
    <w:rsid w:val="007D7732"/>
    <w:rsid w:val="007E10CD"/>
    <w:rsid w:val="007F3694"/>
    <w:rsid w:val="007F38CE"/>
    <w:rsid w:val="007F6E1C"/>
    <w:rsid w:val="00805FC5"/>
    <w:rsid w:val="00835B01"/>
    <w:rsid w:val="00835B16"/>
    <w:rsid w:val="00842A3B"/>
    <w:rsid w:val="00844DCD"/>
    <w:rsid w:val="00851CAC"/>
    <w:rsid w:val="00852BA6"/>
    <w:rsid w:val="00860BD9"/>
    <w:rsid w:val="00882A60"/>
    <w:rsid w:val="008963BA"/>
    <w:rsid w:val="008B4087"/>
    <w:rsid w:val="008C61BE"/>
    <w:rsid w:val="0090145C"/>
    <w:rsid w:val="00911BC1"/>
    <w:rsid w:val="00935EA5"/>
    <w:rsid w:val="009406E3"/>
    <w:rsid w:val="00955BC6"/>
    <w:rsid w:val="00960755"/>
    <w:rsid w:val="00960C97"/>
    <w:rsid w:val="009625F7"/>
    <w:rsid w:val="00963ECD"/>
    <w:rsid w:val="00964C86"/>
    <w:rsid w:val="00964E62"/>
    <w:rsid w:val="00976ADE"/>
    <w:rsid w:val="009803FF"/>
    <w:rsid w:val="0098137C"/>
    <w:rsid w:val="009877F8"/>
    <w:rsid w:val="009B3DEC"/>
    <w:rsid w:val="009B55D1"/>
    <w:rsid w:val="009B6E7F"/>
    <w:rsid w:val="009E6A58"/>
    <w:rsid w:val="009F044F"/>
    <w:rsid w:val="009F7E88"/>
    <w:rsid w:val="00A160C9"/>
    <w:rsid w:val="00A2103B"/>
    <w:rsid w:val="00A341CA"/>
    <w:rsid w:val="00A449F3"/>
    <w:rsid w:val="00A45BF7"/>
    <w:rsid w:val="00A5023F"/>
    <w:rsid w:val="00A629FE"/>
    <w:rsid w:val="00A66CF2"/>
    <w:rsid w:val="00A749CE"/>
    <w:rsid w:val="00A76FFB"/>
    <w:rsid w:val="00A809F9"/>
    <w:rsid w:val="00A811C3"/>
    <w:rsid w:val="00A83D5F"/>
    <w:rsid w:val="00A92841"/>
    <w:rsid w:val="00AA2590"/>
    <w:rsid w:val="00AA401E"/>
    <w:rsid w:val="00AB4BD5"/>
    <w:rsid w:val="00AD53C4"/>
    <w:rsid w:val="00AE0C15"/>
    <w:rsid w:val="00AE5E02"/>
    <w:rsid w:val="00AF7E53"/>
    <w:rsid w:val="00B2152F"/>
    <w:rsid w:val="00B37752"/>
    <w:rsid w:val="00B504A6"/>
    <w:rsid w:val="00B507DA"/>
    <w:rsid w:val="00B611B4"/>
    <w:rsid w:val="00B64D9D"/>
    <w:rsid w:val="00B65F54"/>
    <w:rsid w:val="00B847EE"/>
    <w:rsid w:val="00B9157A"/>
    <w:rsid w:val="00B95117"/>
    <w:rsid w:val="00BA5906"/>
    <w:rsid w:val="00BC3EBE"/>
    <w:rsid w:val="00BD27B6"/>
    <w:rsid w:val="00BE1B97"/>
    <w:rsid w:val="00BE399D"/>
    <w:rsid w:val="00BE45A7"/>
    <w:rsid w:val="00BE6946"/>
    <w:rsid w:val="00BE6B9B"/>
    <w:rsid w:val="00BF32FE"/>
    <w:rsid w:val="00BF3AB4"/>
    <w:rsid w:val="00BF4C40"/>
    <w:rsid w:val="00C038EF"/>
    <w:rsid w:val="00C22F96"/>
    <w:rsid w:val="00C246CA"/>
    <w:rsid w:val="00C339CA"/>
    <w:rsid w:val="00C34666"/>
    <w:rsid w:val="00C517E2"/>
    <w:rsid w:val="00C54CE9"/>
    <w:rsid w:val="00C72965"/>
    <w:rsid w:val="00CA14B9"/>
    <w:rsid w:val="00CD5A67"/>
    <w:rsid w:val="00CF2DF9"/>
    <w:rsid w:val="00D01B8D"/>
    <w:rsid w:val="00D03174"/>
    <w:rsid w:val="00D1774E"/>
    <w:rsid w:val="00D21132"/>
    <w:rsid w:val="00D55399"/>
    <w:rsid w:val="00D84385"/>
    <w:rsid w:val="00D85813"/>
    <w:rsid w:val="00D85820"/>
    <w:rsid w:val="00D9078D"/>
    <w:rsid w:val="00D91050"/>
    <w:rsid w:val="00D912DA"/>
    <w:rsid w:val="00DA42DC"/>
    <w:rsid w:val="00DA69AC"/>
    <w:rsid w:val="00DC05C8"/>
    <w:rsid w:val="00DD1FC5"/>
    <w:rsid w:val="00DD6E33"/>
    <w:rsid w:val="00E007EA"/>
    <w:rsid w:val="00E03196"/>
    <w:rsid w:val="00E03432"/>
    <w:rsid w:val="00E12D42"/>
    <w:rsid w:val="00E26A3D"/>
    <w:rsid w:val="00E3231A"/>
    <w:rsid w:val="00E359C1"/>
    <w:rsid w:val="00E37C61"/>
    <w:rsid w:val="00E4174D"/>
    <w:rsid w:val="00E47C86"/>
    <w:rsid w:val="00E50DE3"/>
    <w:rsid w:val="00E713F9"/>
    <w:rsid w:val="00E77922"/>
    <w:rsid w:val="00E84979"/>
    <w:rsid w:val="00EB3683"/>
    <w:rsid w:val="00EB5204"/>
    <w:rsid w:val="00EC17D0"/>
    <w:rsid w:val="00ED6B07"/>
    <w:rsid w:val="00ED7211"/>
    <w:rsid w:val="00ED7A26"/>
    <w:rsid w:val="00EF2ACC"/>
    <w:rsid w:val="00EF3623"/>
    <w:rsid w:val="00F0745F"/>
    <w:rsid w:val="00F076F5"/>
    <w:rsid w:val="00F16799"/>
    <w:rsid w:val="00F21897"/>
    <w:rsid w:val="00F471C3"/>
    <w:rsid w:val="00F50B3F"/>
    <w:rsid w:val="00F50F65"/>
    <w:rsid w:val="00F56C4F"/>
    <w:rsid w:val="00F648CD"/>
    <w:rsid w:val="00F65A85"/>
    <w:rsid w:val="00F735A7"/>
    <w:rsid w:val="00F81D3D"/>
    <w:rsid w:val="00F85E39"/>
    <w:rsid w:val="00F90B41"/>
    <w:rsid w:val="00F94C41"/>
    <w:rsid w:val="00FA55AF"/>
    <w:rsid w:val="00FA5918"/>
    <w:rsid w:val="713C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rokecolor="#739cc3">
      <v:fill angle="90" type="gradient">
        <o:fill v:ext="view" type="gradientUnscaled"/>
      </v:fill>
      <v:stroke color="#739cc3" weight="1.25pt"/>
    </o:shapedefaults>
    <o:shapelayout v:ext="edit">
      <o:idmap v:ext="edit" data="1"/>
    </o:shapelayout>
  </w:shapeDefaults>
  <w:decimalSymbol w:val="."/>
  <w:listSeparator w:val=","/>
  <w14:docId w14:val="0859C670"/>
  <w15:chartTrackingRefBased/>
  <w15:docId w15:val="{30A0AE42-80B0-4343-A95B-7DDA9B1F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0">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Pr>
      <w:rFonts w:ascii="Times New Roman" w:eastAsia="宋体" w:hAnsi="Times New Roman" w:cs="Times New Roman"/>
      <w:sz w:val="18"/>
      <w:szCs w:val="18"/>
    </w:rPr>
  </w:style>
  <w:style w:type="character" w:customStyle="1" w:styleId="a5">
    <w:name w:val="批注框文本 字符"/>
    <w:link w:val="a6"/>
    <w:uiPriority w:val="99"/>
    <w:semiHidden/>
    <w:rPr>
      <w:sz w:val="18"/>
      <w:szCs w:val="18"/>
    </w:rPr>
  </w:style>
  <w:style w:type="character" w:customStyle="1" w:styleId="21">
    <w:name w:val="标题 2 字符"/>
    <w:link w:val="20"/>
    <w:uiPriority w:val="9"/>
    <w:semiHidden/>
    <w:rPr>
      <w:rFonts w:ascii="Cambria" w:eastAsia="宋体" w:hAnsi="Cambria" w:cs="Times New Roman"/>
      <w:b/>
      <w:bCs/>
      <w:kern w:val="2"/>
      <w:sz w:val="32"/>
      <w:szCs w:val="32"/>
    </w:rPr>
  </w:style>
  <w:style w:type="character" w:styleId="a7">
    <w:name w:val="Hyperlink"/>
    <w:uiPriority w:val="99"/>
    <w:unhideWhenUsed/>
    <w:rPr>
      <w:color w:val="0000FF"/>
      <w:u w:val="single"/>
    </w:rPr>
  </w:style>
  <w:style w:type="character" w:styleId="a8">
    <w:name w:val="page number"/>
  </w:style>
  <w:style w:type="character" w:customStyle="1" w:styleId="a9">
    <w:name w:val="页眉 字符"/>
    <w:link w:val="aa"/>
    <w:uiPriority w:val="99"/>
    <w:rPr>
      <w:kern w:val="2"/>
      <w:sz w:val="18"/>
      <w:szCs w:val="18"/>
    </w:rPr>
  </w:style>
  <w:style w:type="character" w:customStyle="1" w:styleId="ab">
    <w:name w:val="日期 字符"/>
    <w:link w:val="ac"/>
    <w:uiPriority w:val="99"/>
    <w:semiHidden/>
    <w:rPr>
      <w:kern w:val="2"/>
      <w:sz w:val="21"/>
      <w:szCs w:val="22"/>
    </w:rPr>
  </w:style>
  <w:style w:type="paragraph" w:customStyle="1" w:styleId="CharChar">
    <w:name w:val="第四层 （一） Char Char"/>
    <w:semiHidden/>
    <w:pPr>
      <w:spacing w:before="120" w:line="360" w:lineRule="auto"/>
    </w:pPr>
    <w:rPr>
      <w:rFonts w:ascii="Times New Roman" w:hAnsi="Times New Roman"/>
      <w:b/>
      <w:bCs/>
      <w:sz w:val="24"/>
      <w:szCs w:val="24"/>
    </w:rPr>
  </w:style>
  <w:style w:type="paragraph" w:customStyle="1" w:styleId="2">
    <w:name w:val="招股标题2"/>
    <w:basedOn w:val="20"/>
    <w:next w:val="a"/>
    <w:pPr>
      <w:keepNext w:val="0"/>
      <w:keepLines w:val="0"/>
      <w:numPr>
        <w:ilvl w:val="1"/>
        <w:numId w:val="1"/>
      </w:numPr>
      <w:tabs>
        <w:tab w:val="clear" w:pos="1380"/>
        <w:tab w:val="left" w:pos="1395"/>
      </w:tabs>
      <w:spacing w:before="312" w:after="156" w:line="360" w:lineRule="auto"/>
      <w:ind w:firstLine="0"/>
    </w:pPr>
    <w:rPr>
      <w:rFonts w:ascii="Arial" w:eastAsia="黑体" w:hAnsi="Arial" w:cs="宋体"/>
      <w:kern w:val="44"/>
      <w:sz w:val="30"/>
      <w:szCs w:val="20"/>
    </w:rPr>
  </w:style>
  <w:style w:type="paragraph" w:customStyle="1" w:styleId="DefaultParagraphFontParaChar">
    <w:name w:val="Default Paragraph Font Para Char"/>
    <w:basedOn w:val="a"/>
    <w:pPr>
      <w:widowControl/>
      <w:spacing w:after="160" w:line="240" w:lineRule="exact"/>
      <w:jc w:val="left"/>
    </w:pPr>
    <w:rPr>
      <w:rFonts w:ascii="Tahoma" w:eastAsia="Times New Roman" w:hAnsi="Tahoma"/>
      <w:kern w:val="0"/>
      <w:sz w:val="20"/>
      <w:szCs w:val="20"/>
      <w:lang w:eastAsia="en-US"/>
    </w:rPr>
  </w:style>
  <w:style w:type="paragraph" w:styleId="ad">
    <w:name w:val="List Paragraph"/>
    <w:basedOn w:val="a"/>
    <w:uiPriority w:val="34"/>
    <w:qFormat/>
    <w:pPr>
      <w:ind w:firstLineChars="200" w:firstLine="420"/>
    </w:p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pPr>
      <w:tabs>
        <w:tab w:val="center" w:pos="4153"/>
        <w:tab w:val="right" w:pos="8306"/>
      </w:tabs>
      <w:snapToGrid w:val="0"/>
      <w:jc w:val="left"/>
    </w:pPr>
    <w:rPr>
      <w:rFonts w:ascii="Times New Roman" w:hAnsi="Times New Roman"/>
      <w:sz w:val="18"/>
      <w:szCs w:val="18"/>
    </w:rPr>
  </w:style>
  <w:style w:type="paragraph" w:styleId="a6">
    <w:name w:val="Balloon Text"/>
    <w:basedOn w:val="a"/>
    <w:link w:val="a5"/>
    <w:uiPriority w:val="99"/>
    <w:unhideWhenUsed/>
    <w:rPr>
      <w:sz w:val="18"/>
      <w:szCs w:val="18"/>
    </w:rPr>
  </w:style>
  <w:style w:type="paragraph" w:styleId="ac">
    <w:name w:val="Date"/>
    <w:basedOn w:val="a"/>
    <w:next w:val="a"/>
    <w:link w:val="ab"/>
    <w:uiPriority w:val="99"/>
    <w:unhideWhenUsed/>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A5030-BDCE-42FE-87F6-9C8521E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164</Words>
  <Characters>937</Characters>
  <Application>Microsoft Office Word</Application>
  <DocSecurity>0</DocSecurity>
  <PresentationFormat/>
  <Lines>7</Lines>
  <Paragraphs>2</Paragraphs>
  <Slides>0</Slides>
  <Notes>0</Notes>
  <HiddenSlides>0</HiddenSlides>
  <MMClips>0</MMClips>
  <ScaleCrop>false</ScaleCrop>
  <Company>Microsoft</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subject/>
  <dc:creator>郑文</dc:creator>
  <cp:keywords/>
  <cp:lastModifiedBy>Yu Liu</cp:lastModifiedBy>
  <cp:revision>11</cp:revision>
  <cp:lastPrinted>2013-10-22T09:57:00Z</cp:lastPrinted>
  <dcterms:created xsi:type="dcterms:W3CDTF">2023-10-23T01:08:00Z</dcterms:created>
  <dcterms:modified xsi:type="dcterms:W3CDTF">2023-10-30T07:44:00Z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