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977E9" w14:textId="7D46C31E" w:rsidR="004230AA" w:rsidRPr="006A5066" w:rsidRDefault="00606086">
      <w:pPr>
        <w:spacing w:line="460" w:lineRule="exact"/>
        <w:rPr>
          <w:rFonts w:ascii="Times New Roman" w:eastAsia="宋体" w:hAnsi="Times New Roman"/>
          <w:sz w:val="24"/>
          <w:szCs w:val="24"/>
        </w:rPr>
      </w:pPr>
      <w:bookmarkStart w:id="0" w:name="_Hlk18081913"/>
      <w:r w:rsidRPr="006A5066">
        <w:rPr>
          <w:rFonts w:ascii="Times New Roman" w:eastAsia="宋体" w:hAnsi="Times New Roman"/>
          <w:sz w:val="24"/>
          <w:szCs w:val="24"/>
        </w:rPr>
        <w:t>股票代码：</w:t>
      </w:r>
      <w:r w:rsidRPr="006A5066">
        <w:rPr>
          <w:rFonts w:ascii="Times New Roman" w:eastAsia="宋体" w:hAnsi="Times New Roman"/>
          <w:sz w:val="24"/>
          <w:szCs w:val="24"/>
        </w:rPr>
        <w:t xml:space="preserve">600860           </w:t>
      </w:r>
      <w:r w:rsidRPr="006A5066">
        <w:rPr>
          <w:rFonts w:ascii="Times New Roman" w:eastAsia="宋体" w:hAnsi="Times New Roman"/>
          <w:sz w:val="24"/>
          <w:szCs w:val="24"/>
        </w:rPr>
        <w:t>股票简称：京城股份</w:t>
      </w:r>
      <w:r w:rsidRPr="006A5066">
        <w:rPr>
          <w:rFonts w:ascii="Times New Roman" w:eastAsia="宋体" w:hAnsi="Times New Roman"/>
          <w:sz w:val="24"/>
          <w:szCs w:val="24"/>
        </w:rPr>
        <w:t xml:space="preserve">        </w:t>
      </w:r>
      <w:r w:rsidRPr="006A5066">
        <w:rPr>
          <w:rFonts w:ascii="Times New Roman" w:eastAsia="宋体" w:hAnsi="Times New Roman"/>
          <w:sz w:val="24"/>
          <w:szCs w:val="24"/>
        </w:rPr>
        <w:t>编号：临</w:t>
      </w:r>
      <w:r w:rsidRPr="006A5066">
        <w:rPr>
          <w:rFonts w:ascii="Times New Roman" w:eastAsia="宋体" w:hAnsi="Times New Roman"/>
          <w:sz w:val="24"/>
          <w:szCs w:val="24"/>
        </w:rPr>
        <w:t>2021-</w:t>
      </w:r>
      <w:r w:rsidR="005F52E3">
        <w:rPr>
          <w:rFonts w:ascii="Times New Roman" w:eastAsia="宋体" w:hAnsi="Times New Roman" w:hint="eastAsia"/>
          <w:sz w:val="24"/>
          <w:szCs w:val="24"/>
        </w:rPr>
        <w:t>0</w:t>
      </w:r>
      <w:r w:rsidR="005F52E3">
        <w:rPr>
          <w:rFonts w:ascii="Times New Roman" w:eastAsia="宋体" w:hAnsi="Times New Roman"/>
          <w:sz w:val="24"/>
          <w:szCs w:val="24"/>
        </w:rPr>
        <w:t>44</w:t>
      </w:r>
    </w:p>
    <w:p w14:paraId="028A0089" w14:textId="77777777" w:rsidR="004230AA" w:rsidRDefault="004230AA">
      <w:pPr>
        <w:spacing w:line="460" w:lineRule="exact"/>
        <w:ind w:firstLine="57"/>
        <w:rPr>
          <w:rFonts w:ascii="宋体" w:hAnsi="宋体"/>
          <w:sz w:val="24"/>
          <w:szCs w:val="24"/>
        </w:rPr>
      </w:pPr>
    </w:p>
    <w:p w14:paraId="034347EA" w14:textId="77777777" w:rsidR="004230AA" w:rsidRDefault="00606086">
      <w:pPr>
        <w:adjustRightInd w:val="0"/>
        <w:snapToGrid w:val="0"/>
        <w:spacing w:line="460" w:lineRule="exact"/>
        <w:jc w:val="center"/>
        <w:rPr>
          <w:rFonts w:ascii="宋体" w:hAnsi="宋体"/>
          <w:b/>
          <w:color w:val="FF0000"/>
          <w:sz w:val="36"/>
          <w:szCs w:val="36"/>
        </w:rPr>
      </w:pPr>
      <w:r>
        <w:rPr>
          <w:rFonts w:ascii="Times New Roman" w:hAnsi="Times New Roman" w:hint="eastAsia"/>
          <w:b/>
          <w:color w:val="FF0000"/>
          <w:sz w:val="36"/>
          <w:szCs w:val="36"/>
        </w:rPr>
        <w:t>北</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城</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机</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电</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股</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份</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有</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限</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司</w:t>
      </w:r>
    </w:p>
    <w:p w14:paraId="472A7BB4" w14:textId="77777777" w:rsidR="004230AA" w:rsidRDefault="00606086">
      <w:pPr>
        <w:adjustRightInd w:val="0"/>
        <w:snapToGrid w:val="0"/>
        <w:spacing w:line="460" w:lineRule="exact"/>
        <w:rPr>
          <w:rFonts w:ascii="宋体" w:hAnsi="宋体"/>
          <w:b/>
          <w:caps/>
          <w:color w:val="FF0000"/>
          <w:sz w:val="32"/>
          <w:szCs w:val="32"/>
        </w:rPr>
      </w:pPr>
      <w:r>
        <w:rPr>
          <w:rFonts w:ascii="宋体" w:hAnsi="宋体"/>
          <w:b/>
          <w:caps/>
          <w:color w:val="FF0000"/>
          <w:sz w:val="32"/>
          <w:szCs w:val="32"/>
        </w:rPr>
        <w:t>Beijing Jingcheng Machinery Electric Company Limited</w:t>
      </w:r>
    </w:p>
    <w:p w14:paraId="43D892DC" w14:textId="77777777" w:rsidR="004230AA" w:rsidRDefault="00606086">
      <w:pPr>
        <w:adjustRightInd w:val="0"/>
        <w:snapToGrid w:val="0"/>
        <w:spacing w:line="460" w:lineRule="exact"/>
        <w:jc w:val="center"/>
        <w:rPr>
          <w:rFonts w:ascii="宋体" w:hAnsi="宋体"/>
          <w:b/>
          <w:i/>
          <w:color w:val="FF0000"/>
          <w:sz w:val="32"/>
          <w:szCs w:val="32"/>
        </w:rPr>
      </w:pPr>
      <w:r>
        <w:rPr>
          <w:rFonts w:ascii="宋体" w:hAnsi="宋体" w:hint="eastAsia"/>
          <w:b/>
          <w:i/>
          <w:color w:val="FF0000"/>
          <w:sz w:val="32"/>
          <w:szCs w:val="32"/>
        </w:rPr>
        <w:t>(</w:t>
      </w:r>
      <w:r>
        <w:rPr>
          <w:rFonts w:ascii="宋体" w:hAnsi="宋体" w:hint="eastAsia"/>
          <w:b/>
          <w:i/>
          <w:color w:val="FF0000"/>
          <w:sz w:val="32"/>
          <w:szCs w:val="32"/>
        </w:rPr>
        <w:t>在中华人民共和国注册成立之股份有限公司</w:t>
      </w:r>
      <w:r>
        <w:rPr>
          <w:rFonts w:ascii="宋体" w:hAnsi="宋体" w:hint="eastAsia"/>
          <w:b/>
          <w:i/>
          <w:color w:val="FF0000"/>
          <w:sz w:val="32"/>
          <w:szCs w:val="32"/>
        </w:rPr>
        <w:t>)</w:t>
      </w:r>
    </w:p>
    <w:p w14:paraId="6686D863" w14:textId="373987BE" w:rsidR="004230AA" w:rsidRDefault="00BF2FC8">
      <w:pPr>
        <w:spacing w:line="480" w:lineRule="exact"/>
        <w:jc w:val="center"/>
        <w:rPr>
          <w:rFonts w:ascii="Times New Roman" w:eastAsia="宋体" w:hAnsi="Times New Roman"/>
          <w:b/>
          <w:bCs/>
          <w:color w:val="FF0000"/>
          <w:sz w:val="32"/>
          <w:szCs w:val="32"/>
        </w:rPr>
      </w:pPr>
      <w:r w:rsidRPr="00BF2FC8">
        <w:rPr>
          <w:rFonts w:ascii="Times New Roman" w:eastAsia="宋体" w:hAnsi="Times New Roman" w:hint="eastAsia"/>
          <w:b/>
          <w:bCs/>
          <w:color w:val="FF0000"/>
          <w:sz w:val="32"/>
          <w:szCs w:val="32"/>
        </w:rPr>
        <w:t>关于发行股份及支付现金购买资产并募集配套资金之并购重组委审核意见</w:t>
      </w:r>
      <w:r w:rsidR="00606086">
        <w:rPr>
          <w:rFonts w:ascii="Times New Roman" w:eastAsia="宋体" w:hAnsi="Times New Roman" w:hint="eastAsia"/>
          <w:b/>
          <w:bCs/>
          <w:color w:val="FF0000"/>
          <w:sz w:val="32"/>
          <w:szCs w:val="32"/>
        </w:rPr>
        <w:t>回复的公告</w:t>
      </w:r>
    </w:p>
    <w:p w14:paraId="5E283F54" w14:textId="77777777" w:rsidR="004230AA" w:rsidRDefault="00606086">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仿宋_GB2312" w:eastAsia="仿宋_GB2312" w:hAnsi="宋体"/>
          <w:b/>
          <w:color w:val="000000"/>
          <w:sz w:val="24"/>
          <w:szCs w:val="24"/>
        </w:rPr>
      </w:pPr>
      <w:r>
        <w:rPr>
          <w:rFonts w:ascii="仿宋_GB2312" w:eastAsia="仿宋_GB2312" w:hAnsi="宋体" w:hint="eastAsia"/>
          <w:b/>
          <w:color w:val="000000"/>
          <w:sz w:val="24"/>
          <w:szCs w:val="24"/>
        </w:rPr>
        <w:t>本公司董事会及全体董事保证本公告内容不存在任何虚假记载、误导性陈述或者重大遗漏，并对其内容的真实性、准确性和完整性承担个别及连带责任。</w:t>
      </w:r>
    </w:p>
    <w:bookmarkEnd w:id="0"/>
    <w:p w14:paraId="491272E6" w14:textId="77777777" w:rsidR="004230AA" w:rsidRDefault="004230AA">
      <w:pPr>
        <w:widowControl/>
        <w:tabs>
          <w:tab w:val="center" w:pos="4153"/>
          <w:tab w:val="left" w:pos="6390"/>
        </w:tabs>
        <w:spacing w:line="360" w:lineRule="auto"/>
        <w:jc w:val="left"/>
        <w:rPr>
          <w:rFonts w:ascii="宋体" w:eastAsia="宋体" w:hAnsi="宋体" w:cs="Arial"/>
          <w:sz w:val="24"/>
          <w:szCs w:val="24"/>
        </w:rPr>
      </w:pPr>
    </w:p>
    <w:p w14:paraId="1E4C8441" w14:textId="77777777" w:rsidR="00BF2FC8" w:rsidRDefault="00BF2FC8" w:rsidP="00BF2FC8">
      <w:pPr>
        <w:spacing w:beforeLines="50" w:before="156"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北京京城机电股份有限公司（以下简称“上市公司”）于</w:t>
      </w:r>
      <w:r>
        <w:rPr>
          <w:rFonts w:ascii="Times New Roman" w:eastAsia="宋体" w:hAnsi="Times New Roman"/>
          <w:color w:val="000000"/>
          <w:sz w:val="24"/>
          <w:szCs w:val="24"/>
        </w:rPr>
        <w:t>2021</w:t>
      </w:r>
      <w:r>
        <w:rPr>
          <w:rFonts w:ascii="Times New Roman" w:eastAsia="宋体" w:hAnsi="Times New Roman"/>
          <w:color w:val="000000"/>
          <w:sz w:val="24"/>
          <w:szCs w:val="24"/>
        </w:rPr>
        <w:t>年</w:t>
      </w:r>
      <w:r>
        <w:rPr>
          <w:rFonts w:ascii="Times New Roman" w:eastAsia="宋体" w:hAnsi="Times New Roman"/>
          <w:color w:val="000000"/>
          <w:sz w:val="24"/>
          <w:szCs w:val="24"/>
        </w:rPr>
        <w:t>6</w:t>
      </w:r>
      <w:r>
        <w:rPr>
          <w:rFonts w:ascii="Times New Roman" w:eastAsia="宋体" w:hAnsi="Times New Roman"/>
          <w:color w:val="000000"/>
          <w:sz w:val="24"/>
          <w:szCs w:val="24"/>
        </w:rPr>
        <w:t>月</w:t>
      </w:r>
      <w:r>
        <w:rPr>
          <w:rFonts w:ascii="Times New Roman" w:eastAsia="宋体" w:hAnsi="Times New Roman" w:hint="eastAsia"/>
          <w:color w:val="000000"/>
          <w:sz w:val="24"/>
          <w:szCs w:val="24"/>
        </w:rPr>
        <w:t>9</w:t>
      </w:r>
      <w:r>
        <w:rPr>
          <w:rFonts w:ascii="Times New Roman" w:eastAsia="宋体" w:hAnsi="Times New Roman"/>
          <w:color w:val="000000"/>
          <w:sz w:val="24"/>
          <w:szCs w:val="24"/>
        </w:rPr>
        <w:t>日收到中国证券监督管理委员会核发的《关于不予核准</w:t>
      </w:r>
      <w:r>
        <w:rPr>
          <w:rFonts w:ascii="Times New Roman" w:eastAsia="宋体" w:hAnsi="Times New Roman" w:hint="eastAsia"/>
          <w:color w:val="000000"/>
          <w:sz w:val="24"/>
          <w:szCs w:val="24"/>
        </w:rPr>
        <w:t>北京京城机电</w:t>
      </w:r>
      <w:r>
        <w:rPr>
          <w:rFonts w:ascii="Times New Roman" w:eastAsia="宋体" w:hAnsi="Times New Roman"/>
          <w:color w:val="000000"/>
          <w:sz w:val="24"/>
          <w:szCs w:val="24"/>
        </w:rPr>
        <w:t>股份有限公司发行股份购买</w:t>
      </w:r>
      <w:r>
        <w:rPr>
          <w:rFonts w:ascii="Times New Roman" w:eastAsia="宋体" w:hAnsi="Times New Roman" w:hint="eastAsia"/>
          <w:color w:val="000000"/>
          <w:sz w:val="24"/>
          <w:szCs w:val="24"/>
        </w:rPr>
        <w:t>及支付现金购买</w:t>
      </w:r>
      <w:r>
        <w:rPr>
          <w:rFonts w:ascii="Times New Roman" w:eastAsia="宋体" w:hAnsi="Times New Roman"/>
          <w:color w:val="000000"/>
          <w:sz w:val="24"/>
          <w:szCs w:val="24"/>
        </w:rPr>
        <w:t>资产</w:t>
      </w:r>
      <w:r>
        <w:rPr>
          <w:rFonts w:ascii="Times New Roman" w:eastAsia="宋体" w:hAnsi="Times New Roman" w:hint="eastAsia"/>
          <w:color w:val="000000"/>
          <w:sz w:val="24"/>
          <w:szCs w:val="24"/>
        </w:rPr>
        <w:t>并募集配套资金</w:t>
      </w:r>
      <w:r>
        <w:rPr>
          <w:rFonts w:ascii="Times New Roman" w:eastAsia="宋体" w:hAnsi="Times New Roman"/>
          <w:color w:val="000000"/>
          <w:sz w:val="24"/>
          <w:szCs w:val="24"/>
        </w:rPr>
        <w:t>的决定》（证监许可〔</w:t>
      </w:r>
      <w:r>
        <w:rPr>
          <w:rFonts w:ascii="Times New Roman" w:eastAsia="宋体" w:hAnsi="Times New Roman"/>
          <w:color w:val="000000"/>
          <w:sz w:val="24"/>
          <w:szCs w:val="24"/>
        </w:rPr>
        <w:t>2021</w:t>
      </w:r>
      <w:r>
        <w:rPr>
          <w:rFonts w:ascii="Times New Roman" w:eastAsia="宋体" w:hAnsi="Times New Roman"/>
          <w:color w:val="000000"/>
          <w:sz w:val="24"/>
          <w:szCs w:val="24"/>
        </w:rPr>
        <w:t>〕</w:t>
      </w:r>
      <w:r>
        <w:rPr>
          <w:rFonts w:ascii="Times New Roman" w:eastAsia="宋体" w:hAnsi="Times New Roman" w:hint="eastAsia"/>
          <w:color w:val="000000"/>
          <w:sz w:val="24"/>
          <w:szCs w:val="24"/>
        </w:rPr>
        <w:t>1</w:t>
      </w:r>
      <w:r>
        <w:rPr>
          <w:rFonts w:ascii="Times New Roman" w:eastAsia="宋体" w:hAnsi="Times New Roman"/>
          <w:color w:val="000000"/>
          <w:sz w:val="24"/>
          <w:szCs w:val="24"/>
        </w:rPr>
        <w:t>879</w:t>
      </w:r>
      <w:r>
        <w:rPr>
          <w:rFonts w:ascii="Times New Roman" w:eastAsia="宋体" w:hAnsi="Times New Roman"/>
          <w:color w:val="000000"/>
          <w:sz w:val="24"/>
          <w:szCs w:val="24"/>
        </w:rPr>
        <w:t>号）。中国证监会上市公司并购重组审核委员会（以下简称</w:t>
      </w:r>
      <w:r>
        <w:rPr>
          <w:rFonts w:ascii="Times New Roman" w:eastAsia="宋体" w:hAnsi="Times New Roman" w:hint="eastAsia"/>
          <w:color w:val="000000"/>
          <w:sz w:val="24"/>
          <w:szCs w:val="24"/>
        </w:rPr>
        <w:t>“</w:t>
      </w:r>
      <w:r>
        <w:rPr>
          <w:rFonts w:ascii="Times New Roman" w:eastAsia="宋体" w:hAnsi="Times New Roman"/>
          <w:color w:val="000000"/>
          <w:sz w:val="24"/>
          <w:szCs w:val="24"/>
        </w:rPr>
        <w:t>并购重组委</w:t>
      </w:r>
      <w:r>
        <w:rPr>
          <w:rFonts w:ascii="Times New Roman" w:eastAsia="宋体" w:hAnsi="Times New Roman" w:hint="eastAsia"/>
          <w:color w:val="000000"/>
          <w:sz w:val="24"/>
          <w:szCs w:val="24"/>
        </w:rPr>
        <w:t>”）</w:t>
      </w:r>
      <w:r>
        <w:rPr>
          <w:rFonts w:ascii="Times New Roman" w:eastAsia="宋体" w:hAnsi="Times New Roman"/>
          <w:color w:val="000000"/>
          <w:sz w:val="24"/>
          <w:szCs w:val="24"/>
        </w:rPr>
        <w:t>认为：</w:t>
      </w:r>
      <w:r>
        <w:rPr>
          <w:rFonts w:ascii="Times New Roman" w:eastAsia="宋体" w:hAnsi="Times New Roman" w:hint="eastAsia"/>
          <w:color w:val="000000"/>
          <w:sz w:val="24"/>
          <w:szCs w:val="24"/>
        </w:rPr>
        <w:t>“申请人未充分披露标的资产的持续盈利能力及业绩预测的合理性，不符合《上市公司重大资产重组管理办法》第四十三条的规定。”</w:t>
      </w:r>
    </w:p>
    <w:p w14:paraId="5CF408F4" w14:textId="77777777" w:rsidR="00BF2FC8" w:rsidRDefault="00BF2FC8" w:rsidP="00BF2FC8">
      <w:pPr>
        <w:widowControl/>
        <w:tabs>
          <w:tab w:val="center" w:pos="4153"/>
          <w:tab w:val="left" w:pos="6390"/>
        </w:tabs>
        <w:spacing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2021</w:t>
      </w:r>
      <w:r>
        <w:rPr>
          <w:rFonts w:ascii="Times New Roman" w:eastAsia="宋体" w:hAnsi="Times New Roman"/>
          <w:color w:val="000000"/>
          <w:sz w:val="24"/>
          <w:szCs w:val="24"/>
        </w:rPr>
        <w:t>年</w:t>
      </w:r>
      <w:r>
        <w:rPr>
          <w:rFonts w:ascii="Times New Roman" w:eastAsia="宋体" w:hAnsi="Times New Roman"/>
          <w:color w:val="000000"/>
          <w:sz w:val="24"/>
          <w:szCs w:val="24"/>
        </w:rPr>
        <w:t>6</w:t>
      </w:r>
      <w:r>
        <w:rPr>
          <w:rFonts w:ascii="Times New Roman" w:eastAsia="宋体" w:hAnsi="Times New Roman"/>
          <w:color w:val="000000"/>
          <w:sz w:val="24"/>
          <w:szCs w:val="24"/>
        </w:rPr>
        <w:t>月</w:t>
      </w:r>
      <w:r>
        <w:rPr>
          <w:rFonts w:ascii="Times New Roman" w:eastAsia="宋体" w:hAnsi="Times New Roman"/>
          <w:color w:val="000000"/>
          <w:sz w:val="24"/>
          <w:szCs w:val="24"/>
        </w:rPr>
        <w:t>11</w:t>
      </w:r>
      <w:r>
        <w:rPr>
          <w:rFonts w:ascii="Times New Roman" w:eastAsia="宋体" w:hAnsi="Times New Roman"/>
          <w:color w:val="000000"/>
          <w:sz w:val="24"/>
          <w:szCs w:val="24"/>
        </w:rPr>
        <w:t>日，上市公司召开第</w:t>
      </w:r>
      <w:r>
        <w:rPr>
          <w:rFonts w:ascii="Times New Roman" w:eastAsia="宋体" w:hAnsi="Times New Roman" w:hint="eastAsia"/>
          <w:color w:val="000000"/>
          <w:sz w:val="24"/>
          <w:szCs w:val="24"/>
        </w:rPr>
        <w:t>十</w:t>
      </w:r>
      <w:r>
        <w:rPr>
          <w:rFonts w:ascii="Times New Roman" w:eastAsia="宋体" w:hAnsi="Times New Roman"/>
          <w:color w:val="000000"/>
          <w:sz w:val="24"/>
          <w:szCs w:val="24"/>
        </w:rPr>
        <w:t>届董事会第</w:t>
      </w:r>
      <w:r>
        <w:rPr>
          <w:rFonts w:ascii="Times New Roman" w:eastAsia="宋体" w:hAnsi="Times New Roman" w:hint="eastAsia"/>
          <w:color w:val="000000"/>
          <w:sz w:val="24"/>
          <w:szCs w:val="24"/>
        </w:rPr>
        <w:t>十一</w:t>
      </w:r>
      <w:r>
        <w:rPr>
          <w:rFonts w:ascii="Times New Roman" w:eastAsia="宋体" w:hAnsi="Times New Roman"/>
          <w:color w:val="000000"/>
          <w:sz w:val="24"/>
          <w:szCs w:val="24"/>
        </w:rPr>
        <w:t>次</w:t>
      </w:r>
      <w:r>
        <w:rPr>
          <w:rFonts w:ascii="Times New Roman" w:eastAsia="宋体" w:hAnsi="Times New Roman" w:hint="eastAsia"/>
          <w:color w:val="000000"/>
          <w:sz w:val="24"/>
          <w:szCs w:val="24"/>
        </w:rPr>
        <w:t>临时</w:t>
      </w:r>
      <w:r>
        <w:rPr>
          <w:rFonts w:ascii="Times New Roman" w:eastAsia="宋体" w:hAnsi="Times New Roman"/>
          <w:color w:val="000000"/>
          <w:sz w:val="24"/>
          <w:szCs w:val="24"/>
        </w:rPr>
        <w:t>会议，审议通过了《关于</w:t>
      </w:r>
      <w:r>
        <w:rPr>
          <w:rFonts w:ascii="Times New Roman" w:eastAsia="宋体" w:hAnsi="Times New Roman" w:hint="eastAsia"/>
          <w:color w:val="000000"/>
          <w:sz w:val="24"/>
          <w:szCs w:val="24"/>
        </w:rPr>
        <w:t>北京京城机电</w:t>
      </w:r>
      <w:r>
        <w:rPr>
          <w:rFonts w:ascii="Times New Roman" w:eastAsia="宋体" w:hAnsi="Times New Roman"/>
          <w:color w:val="000000"/>
          <w:sz w:val="24"/>
          <w:szCs w:val="24"/>
        </w:rPr>
        <w:t>股份有限公司继续推进发行股份</w:t>
      </w:r>
      <w:r>
        <w:rPr>
          <w:rFonts w:ascii="Times New Roman" w:eastAsia="宋体" w:hAnsi="Times New Roman" w:hint="eastAsia"/>
          <w:color w:val="000000"/>
          <w:sz w:val="24"/>
          <w:szCs w:val="24"/>
        </w:rPr>
        <w:t>及支付现金</w:t>
      </w:r>
      <w:r>
        <w:rPr>
          <w:rFonts w:ascii="Times New Roman" w:eastAsia="宋体" w:hAnsi="Times New Roman"/>
          <w:color w:val="000000"/>
          <w:sz w:val="24"/>
          <w:szCs w:val="24"/>
        </w:rPr>
        <w:t>购买资产</w:t>
      </w:r>
      <w:r>
        <w:rPr>
          <w:rFonts w:ascii="Times New Roman" w:eastAsia="宋体" w:hAnsi="Times New Roman" w:hint="eastAsia"/>
          <w:color w:val="000000"/>
          <w:sz w:val="24"/>
          <w:szCs w:val="24"/>
        </w:rPr>
        <w:t>并募集配套资金</w:t>
      </w:r>
      <w:r>
        <w:rPr>
          <w:rFonts w:ascii="Times New Roman" w:eastAsia="宋体" w:hAnsi="Times New Roman"/>
          <w:color w:val="000000"/>
          <w:sz w:val="24"/>
          <w:szCs w:val="24"/>
        </w:rPr>
        <w:t>事项的议案》，决定继续推进本次交易。</w:t>
      </w:r>
    </w:p>
    <w:p w14:paraId="0E73524C" w14:textId="7BDE0687" w:rsidR="004230AA" w:rsidRDefault="00606086" w:rsidP="00BF2FC8">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根据并购重组委的审核意见及相关要求，</w:t>
      </w:r>
      <w:r w:rsidR="00390405">
        <w:rPr>
          <w:rFonts w:ascii="Times New Roman" w:eastAsia="宋体" w:hAnsi="Times New Roman" w:hint="eastAsia"/>
          <w:sz w:val="24"/>
          <w:szCs w:val="24"/>
        </w:rPr>
        <w:t>上市</w:t>
      </w:r>
      <w:r>
        <w:rPr>
          <w:rFonts w:ascii="Times New Roman" w:eastAsia="宋体" w:hAnsi="Times New Roman" w:hint="eastAsia"/>
          <w:sz w:val="24"/>
          <w:szCs w:val="24"/>
        </w:rPr>
        <w:t>公司会同相关中介机构</w:t>
      </w:r>
      <w:r w:rsidR="00BF2FC8">
        <w:rPr>
          <w:rFonts w:ascii="Times New Roman" w:eastAsia="宋体" w:hAnsi="Times New Roman"/>
          <w:color w:val="000000"/>
          <w:sz w:val="24"/>
          <w:szCs w:val="24"/>
        </w:rPr>
        <w:t>对前次否决事项进行了整改落实</w:t>
      </w:r>
      <w:r>
        <w:rPr>
          <w:rFonts w:ascii="Times New Roman" w:eastAsia="宋体" w:hAnsi="Times New Roman" w:hint="eastAsia"/>
          <w:sz w:val="24"/>
          <w:szCs w:val="24"/>
        </w:rPr>
        <w:t>，具体回复内容详见</w:t>
      </w:r>
      <w:r w:rsidR="00390405">
        <w:rPr>
          <w:rFonts w:ascii="Times New Roman" w:eastAsia="宋体" w:hAnsi="Times New Roman" w:hint="eastAsia"/>
          <w:sz w:val="24"/>
          <w:szCs w:val="24"/>
        </w:rPr>
        <w:t>上市</w:t>
      </w:r>
      <w:r>
        <w:rPr>
          <w:rFonts w:ascii="Times New Roman" w:eastAsia="宋体" w:hAnsi="Times New Roman" w:hint="eastAsia"/>
          <w:sz w:val="24"/>
          <w:szCs w:val="24"/>
        </w:rPr>
        <w:t>公司同日披露的《</w:t>
      </w:r>
      <w:r w:rsidR="00BF2FC8" w:rsidRPr="00BF2FC8">
        <w:rPr>
          <w:rFonts w:ascii="Times New Roman" w:eastAsia="宋体" w:hAnsi="Times New Roman" w:hint="eastAsia"/>
          <w:sz w:val="24"/>
          <w:szCs w:val="24"/>
        </w:rPr>
        <w:t>北京京城机电股份有限公司关于发行股份及支付现金购买资产并募集配套资金之并购重组委审核意见回复</w:t>
      </w:r>
      <w:r>
        <w:rPr>
          <w:rFonts w:ascii="Times New Roman" w:eastAsia="宋体" w:hAnsi="Times New Roman" w:hint="eastAsia"/>
          <w:sz w:val="24"/>
          <w:szCs w:val="24"/>
        </w:rPr>
        <w:t>》及相关文件。</w:t>
      </w:r>
    </w:p>
    <w:p w14:paraId="2F362757" w14:textId="77777777" w:rsidR="004230AA" w:rsidRDefault="00606086">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特此公告。</w:t>
      </w:r>
    </w:p>
    <w:p w14:paraId="4B8FFBDD" w14:textId="77777777" w:rsidR="004230AA" w:rsidRDefault="006060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right"/>
        <w:rPr>
          <w:rFonts w:ascii="Times New Roman" w:eastAsia="宋体" w:hAnsi="Times New Roman"/>
          <w:kern w:val="0"/>
          <w:sz w:val="24"/>
          <w:szCs w:val="24"/>
        </w:rPr>
      </w:pPr>
      <w:r>
        <w:rPr>
          <w:rFonts w:ascii="Times New Roman" w:eastAsia="宋体" w:hAnsi="Times New Roman"/>
          <w:kern w:val="0"/>
          <w:sz w:val="24"/>
          <w:szCs w:val="24"/>
        </w:rPr>
        <w:t>北京京城机电股份有限公司董事会</w:t>
      </w:r>
    </w:p>
    <w:p w14:paraId="31717980" w14:textId="0FAD5E16" w:rsidR="004230AA" w:rsidRPr="00390405" w:rsidRDefault="00606086" w:rsidP="00390405">
      <w:pPr>
        <w:widowControl/>
        <w:tabs>
          <w:tab w:val="center" w:pos="4153"/>
          <w:tab w:val="left" w:pos="6390"/>
        </w:tabs>
        <w:spacing w:line="360" w:lineRule="auto"/>
        <w:ind w:firstLineChars="200" w:firstLine="480"/>
        <w:jc w:val="right"/>
        <w:rPr>
          <w:rFonts w:ascii="Times New Roman" w:eastAsia="宋体" w:hAnsi="Times New Roman"/>
          <w:sz w:val="24"/>
          <w:szCs w:val="24"/>
        </w:rPr>
      </w:pPr>
      <w:r>
        <w:rPr>
          <w:rFonts w:ascii="Times New Roman" w:eastAsia="宋体" w:hAnsi="Times New Roman"/>
          <w:kern w:val="0"/>
          <w:sz w:val="24"/>
          <w:szCs w:val="24"/>
        </w:rPr>
        <w:t>2021</w:t>
      </w:r>
      <w:r>
        <w:rPr>
          <w:rFonts w:ascii="Times New Roman" w:eastAsia="宋体" w:hAnsi="Times New Roman"/>
          <w:kern w:val="0"/>
          <w:sz w:val="24"/>
          <w:szCs w:val="24"/>
        </w:rPr>
        <w:t>年</w:t>
      </w:r>
      <w:r w:rsidR="00055B73">
        <w:rPr>
          <w:rFonts w:ascii="Times New Roman" w:eastAsia="宋体" w:hAnsi="Times New Roman" w:hint="eastAsia"/>
          <w:kern w:val="0"/>
          <w:sz w:val="24"/>
          <w:szCs w:val="24"/>
        </w:rPr>
        <w:t>9</w:t>
      </w:r>
      <w:r>
        <w:rPr>
          <w:rFonts w:ascii="Times New Roman" w:eastAsia="宋体" w:hAnsi="Times New Roman"/>
          <w:kern w:val="0"/>
          <w:sz w:val="24"/>
          <w:szCs w:val="24"/>
        </w:rPr>
        <w:t>月</w:t>
      </w:r>
      <w:r w:rsidR="00055B73">
        <w:rPr>
          <w:rFonts w:ascii="Times New Roman" w:eastAsia="宋体" w:hAnsi="Times New Roman" w:hint="eastAsia"/>
          <w:kern w:val="0"/>
          <w:sz w:val="24"/>
          <w:szCs w:val="24"/>
        </w:rPr>
        <w:t>3</w:t>
      </w:r>
      <w:r>
        <w:rPr>
          <w:rFonts w:ascii="Times New Roman" w:eastAsia="宋体" w:hAnsi="Times New Roman"/>
          <w:kern w:val="0"/>
          <w:sz w:val="24"/>
          <w:szCs w:val="24"/>
        </w:rPr>
        <w:t>日</w:t>
      </w:r>
    </w:p>
    <w:sectPr w:rsidR="004230AA" w:rsidRPr="003904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86FB7" w14:textId="77777777" w:rsidR="00CD3716" w:rsidRDefault="00CD3716" w:rsidP="00055B73">
      <w:r>
        <w:separator/>
      </w:r>
    </w:p>
  </w:endnote>
  <w:endnote w:type="continuationSeparator" w:id="0">
    <w:p w14:paraId="5E2FF804" w14:textId="77777777" w:rsidR="00CD3716" w:rsidRDefault="00CD3716" w:rsidP="0005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22034" w14:textId="77777777" w:rsidR="00CD3716" w:rsidRDefault="00CD3716" w:rsidP="00055B73">
      <w:r>
        <w:separator/>
      </w:r>
    </w:p>
  </w:footnote>
  <w:footnote w:type="continuationSeparator" w:id="0">
    <w:p w14:paraId="51A08280" w14:textId="77777777" w:rsidR="00CD3716" w:rsidRDefault="00CD3716" w:rsidP="00055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0AA"/>
    <w:rsid w:val="00055B73"/>
    <w:rsid w:val="00390405"/>
    <w:rsid w:val="004230AA"/>
    <w:rsid w:val="005F52E3"/>
    <w:rsid w:val="00606086"/>
    <w:rsid w:val="006A5066"/>
    <w:rsid w:val="00785C97"/>
    <w:rsid w:val="00AB2501"/>
    <w:rsid w:val="00BF2FC8"/>
    <w:rsid w:val="00BF68B8"/>
    <w:rsid w:val="00CD3716"/>
    <w:rsid w:val="0C3E45F7"/>
    <w:rsid w:val="2C6D76BE"/>
    <w:rsid w:val="3066790D"/>
    <w:rsid w:val="6F517725"/>
    <w:rsid w:val="7E60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520AF"/>
  <w15:docId w15:val="{7C1C992B-08D5-4DEC-AD71-655BAC7B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4">
    <w:name w:val="heading 4"/>
    <w:basedOn w:val="a"/>
    <w:next w:val="a"/>
    <w:link w:val="40"/>
    <w:semiHidden/>
    <w:unhideWhenUsed/>
    <w:qFormat/>
    <w:pPr>
      <w:keepNext/>
      <w:keepLines/>
      <w:spacing w:before="280" w:after="290" w:line="376" w:lineRule="auto"/>
      <w:outlineLvl w:val="3"/>
    </w:pPr>
    <w:rPr>
      <w:rFonts w:ascii="黑体" w:hAnsi="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qFormat/>
    <w:rPr>
      <w:rFonts w:ascii="黑体" w:eastAsia="宋体" w:hAnsi="黑体" w:cstheme="majorBidi"/>
      <w:b/>
      <w:bCs/>
      <w:sz w:val="24"/>
      <w:szCs w:val="28"/>
    </w:rPr>
  </w:style>
  <w:style w:type="paragraph" w:styleId="a3">
    <w:name w:val="header"/>
    <w:basedOn w:val="a"/>
    <w:link w:val="a4"/>
    <w:rsid w:val="00055B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55B73"/>
    <w:rPr>
      <w:rFonts w:ascii="等线" w:eastAsia="等线" w:hAnsi="等线"/>
      <w:kern w:val="2"/>
      <w:sz w:val="18"/>
      <w:szCs w:val="18"/>
    </w:rPr>
  </w:style>
  <w:style w:type="paragraph" w:styleId="a5">
    <w:name w:val="footer"/>
    <w:basedOn w:val="a"/>
    <w:link w:val="a6"/>
    <w:rsid w:val="00055B73"/>
    <w:pPr>
      <w:tabs>
        <w:tab w:val="center" w:pos="4153"/>
        <w:tab w:val="right" w:pos="8306"/>
      </w:tabs>
      <w:snapToGrid w:val="0"/>
      <w:jc w:val="left"/>
    </w:pPr>
    <w:rPr>
      <w:sz w:val="18"/>
      <w:szCs w:val="18"/>
    </w:rPr>
  </w:style>
  <w:style w:type="character" w:customStyle="1" w:styleId="a6">
    <w:name w:val="页脚 字符"/>
    <w:basedOn w:val="a0"/>
    <w:link w:val="a5"/>
    <w:rsid w:val="00055B73"/>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12913</dc:creator>
  <cp:lastModifiedBy>L Y</cp:lastModifiedBy>
  <cp:revision>7</cp:revision>
  <dcterms:created xsi:type="dcterms:W3CDTF">2021-04-09T11:38:00Z</dcterms:created>
  <dcterms:modified xsi:type="dcterms:W3CDTF">2021-09-02T12:05:00Z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7452BCE4E29F4531B7BFAD6ED2F8A70D</vt:lpwstr>
  </property>
</Properties>
</file>