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9ACEF" w14:textId="77777777" w:rsidR="00C02929" w:rsidRDefault="00C02929">
      <w:pPr>
        <w:pStyle w:val="affffd"/>
        <w:spacing w:before="156"/>
        <w:ind w:firstLineChars="0" w:firstLine="0"/>
        <w:jc w:val="center"/>
        <w:rPr>
          <w:rFonts w:eastAsia="黑体"/>
          <w:b/>
          <w:sz w:val="28"/>
        </w:rPr>
      </w:pPr>
    </w:p>
    <w:p w14:paraId="24CC4D67" w14:textId="77777777" w:rsidR="00C02929" w:rsidRDefault="00C02929">
      <w:pPr>
        <w:pStyle w:val="affffd"/>
        <w:spacing w:before="156"/>
        <w:ind w:firstLineChars="0" w:firstLine="0"/>
        <w:jc w:val="center"/>
        <w:rPr>
          <w:rFonts w:eastAsia="黑体"/>
          <w:b/>
          <w:sz w:val="28"/>
        </w:rPr>
      </w:pPr>
    </w:p>
    <w:p w14:paraId="4CC23691" w14:textId="77777777" w:rsidR="00C02929" w:rsidRDefault="00C02929">
      <w:pPr>
        <w:pStyle w:val="affffd"/>
        <w:spacing w:before="156"/>
        <w:ind w:firstLineChars="0" w:firstLine="0"/>
        <w:jc w:val="center"/>
        <w:rPr>
          <w:rFonts w:eastAsia="黑体"/>
          <w:b/>
          <w:sz w:val="28"/>
        </w:rPr>
      </w:pPr>
    </w:p>
    <w:p w14:paraId="51B443D3" w14:textId="77777777" w:rsidR="00C02929" w:rsidRDefault="006116D1">
      <w:pPr>
        <w:pStyle w:val="affffd"/>
        <w:spacing w:before="156"/>
        <w:ind w:firstLineChars="0" w:firstLine="0"/>
        <w:jc w:val="center"/>
        <w:rPr>
          <w:rFonts w:eastAsia="黑体"/>
          <w:b/>
          <w:sz w:val="32"/>
          <w:szCs w:val="22"/>
        </w:rPr>
      </w:pPr>
      <w:r>
        <w:rPr>
          <w:rFonts w:eastAsia="黑体" w:hint="eastAsia"/>
          <w:b/>
          <w:sz w:val="32"/>
          <w:szCs w:val="22"/>
        </w:rPr>
        <w:t>中信建投证券股份有限公司</w:t>
      </w:r>
    </w:p>
    <w:p w14:paraId="0B9AC5C1" w14:textId="77777777" w:rsidR="00C02929" w:rsidRDefault="006116D1">
      <w:pPr>
        <w:pStyle w:val="affffd"/>
        <w:spacing w:before="156"/>
        <w:ind w:firstLineChars="0" w:firstLine="0"/>
        <w:jc w:val="center"/>
        <w:rPr>
          <w:rFonts w:eastAsia="黑体"/>
          <w:b/>
          <w:sz w:val="32"/>
          <w:szCs w:val="22"/>
        </w:rPr>
      </w:pPr>
      <w:r>
        <w:rPr>
          <w:rFonts w:eastAsia="黑体" w:hint="eastAsia"/>
          <w:b/>
          <w:sz w:val="32"/>
          <w:szCs w:val="22"/>
        </w:rPr>
        <w:t>关于</w:t>
      </w:r>
      <w:r>
        <w:rPr>
          <w:rFonts w:eastAsia="黑体"/>
          <w:b/>
          <w:sz w:val="32"/>
          <w:szCs w:val="22"/>
        </w:rPr>
        <w:t>北京京城机电股份有限公司发行股份及支付现金</w:t>
      </w:r>
    </w:p>
    <w:p w14:paraId="4BA13742" w14:textId="77777777" w:rsidR="00C02929" w:rsidRDefault="006116D1">
      <w:pPr>
        <w:pStyle w:val="affffd"/>
        <w:spacing w:before="156"/>
        <w:ind w:firstLineChars="0" w:firstLine="0"/>
        <w:jc w:val="center"/>
        <w:rPr>
          <w:rFonts w:eastAsia="黑体"/>
          <w:b/>
          <w:sz w:val="32"/>
          <w:szCs w:val="22"/>
        </w:rPr>
      </w:pPr>
      <w:r>
        <w:rPr>
          <w:rFonts w:eastAsia="黑体"/>
          <w:b/>
          <w:sz w:val="32"/>
          <w:szCs w:val="22"/>
        </w:rPr>
        <w:t>购买资产并募集配套资金</w:t>
      </w:r>
      <w:r>
        <w:rPr>
          <w:rFonts w:eastAsia="黑体" w:hint="eastAsia"/>
          <w:b/>
          <w:sz w:val="32"/>
          <w:szCs w:val="22"/>
        </w:rPr>
        <w:t>一次反馈意见回复之</w:t>
      </w:r>
    </w:p>
    <w:p w14:paraId="02D1B705" w14:textId="77777777" w:rsidR="00C02929" w:rsidRDefault="006116D1">
      <w:pPr>
        <w:pStyle w:val="affffd"/>
        <w:spacing w:before="156"/>
        <w:ind w:firstLineChars="0" w:firstLine="0"/>
        <w:jc w:val="center"/>
        <w:rPr>
          <w:rFonts w:eastAsia="黑体"/>
          <w:b/>
          <w:sz w:val="32"/>
          <w:szCs w:val="22"/>
        </w:rPr>
      </w:pPr>
      <w:r>
        <w:rPr>
          <w:rFonts w:eastAsia="黑体" w:hint="eastAsia"/>
          <w:b/>
          <w:sz w:val="32"/>
          <w:szCs w:val="22"/>
        </w:rPr>
        <w:t>专项核查意见</w:t>
      </w:r>
    </w:p>
    <w:p w14:paraId="4266FEB4" w14:textId="77777777" w:rsidR="00C02929" w:rsidRDefault="00C02929">
      <w:pPr>
        <w:spacing w:beforeLines="50" w:before="156"/>
        <w:jc w:val="center"/>
        <w:rPr>
          <w:rFonts w:ascii="Times New Roman" w:hAnsi="Times New Roman"/>
          <w:b/>
          <w:bCs/>
          <w:color w:val="000000"/>
          <w:sz w:val="28"/>
          <w:szCs w:val="32"/>
        </w:rPr>
      </w:pPr>
    </w:p>
    <w:p w14:paraId="0446089A" w14:textId="77777777" w:rsidR="00C02929" w:rsidRDefault="00C02929">
      <w:pPr>
        <w:spacing w:beforeLines="50" w:before="156"/>
        <w:jc w:val="center"/>
        <w:rPr>
          <w:rFonts w:ascii="Times New Roman" w:hAnsi="Times New Roman"/>
          <w:b/>
          <w:bCs/>
          <w:color w:val="000000"/>
          <w:sz w:val="28"/>
          <w:szCs w:val="32"/>
        </w:rPr>
      </w:pPr>
    </w:p>
    <w:p w14:paraId="0DC4B1D2" w14:textId="77777777" w:rsidR="00C02929" w:rsidRDefault="00C02929">
      <w:pPr>
        <w:spacing w:beforeLines="50" w:before="156"/>
        <w:jc w:val="center"/>
        <w:rPr>
          <w:rFonts w:ascii="Times New Roman" w:hAnsi="Times New Roman"/>
          <w:b/>
          <w:bCs/>
          <w:color w:val="000000"/>
          <w:sz w:val="28"/>
          <w:szCs w:val="32"/>
        </w:rPr>
      </w:pPr>
    </w:p>
    <w:p w14:paraId="4DE68FC4" w14:textId="77777777" w:rsidR="00C02929" w:rsidRDefault="00C02929">
      <w:pPr>
        <w:spacing w:beforeLines="50" w:before="156"/>
        <w:jc w:val="center"/>
        <w:rPr>
          <w:rFonts w:ascii="Times New Roman" w:hAnsi="Times New Roman"/>
          <w:b/>
          <w:bCs/>
          <w:color w:val="000000"/>
          <w:sz w:val="28"/>
          <w:szCs w:val="32"/>
        </w:rPr>
      </w:pPr>
    </w:p>
    <w:p w14:paraId="2126412D" w14:textId="77777777" w:rsidR="00C02929" w:rsidRDefault="00C02929">
      <w:pPr>
        <w:spacing w:beforeLines="50" w:before="156"/>
        <w:jc w:val="center"/>
        <w:rPr>
          <w:rFonts w:ascii="Times New Roman" w:hAnsi="Times New Roman"/>
          <w:b/>
          <w:bCs/>
          <w:color w:val="000000"/>
          <w:sz w:val="28"/>
          <w:szCs w:val="32"/>
        </w:rPr>
      </w:pPr>
    </w:p>
    <w:p w14:paraId="539F0F32" w14:textId="77777777" w:rsidR="00C02929" w:rsidRDefault="00C02929">
      <w:pPr>
        <w:spacing w:beforeLines="50" w:before="156"/>
        <w:jc w:val="center"/>
        <w:rPr>
          <w:rFonts w:ascii="Times New Roman" w:hAnsi="Times New Roman"/>
          <w:b/>
          <w:bCs/>
          <w:color w:val="000000"/>
          <w:sz w:val="28"/>
          <w:szCs w:val="32"/>
        </w:rPr>
      </w:pPr>
    </w:p>
    <w:p w14:paraId="1816E5AE" w14:textId="77777777" w:rsidR="00C02929" w:rsidRDefault="00C02929">
      <w:pPr>
        <w:spacing w:beforeLines="50" w:before="156"/>
        <w:jc w:val="center"/>
        <w:rPr>
          <w:rFonts w:ascii="Times New Roman" w:hAnsi="Times New Roman"/>
          <w:b/>
          <w:bCs/>
          <w:color w:val="000000"/>
          <w:sz w:val="28"/>
          <w:szCs w:val="32"/>
        </w:rPr>
      </w:pPr>
    </w:p>
    <w:p w14:paraId="417608FF" w14:textId="77777777" w:rsidR="00C02929" w:rsidRDefault="006116D1">
      <w:pPr>
        <w:spacing w:beforeLines="50" w:before="156"/>
        <w:jc w:val="center"/>
        <w:rPr>
          <w:rFonts w:ascii="Times New Roman" w:hAnsi="Times New Roman"/>
          <w:b/>
          <w:bCs/>
          <w:color w:val="000000"/>
          <w:sz w:val="28"/>
          <w:szCs w:val="32"/>
        </w:rPr>
      </w:pPr>
      <w:r>
        <w:rPr>
          <w:rFonts w:ascii="Times New Roman" w:hAnsi="Times New Roman" w:hint="eastAsia"/>
          <w:b/>
          <w:bCs/>
          <w:color w:val="000000"/>
          <w:sz w:val="28"/>
          <w:szCs w:val="32"/>
        </w:rPr>
        <w:t>独立财务顾问</w:t>
      </w:r>
    </w:p>
    <w:p w14:paraId="6843EEBC" w14:textId="77777777" w:rsidR="00C02929" w:rsidRDefault="006116D1">
      <w:pPr>
        <w:pStyle w:val="affffd"/>
        <w:widowControl w:val="0"/>
        <w:spacing w:beforeLines="0" w:line="240" w:lineRule="auto"/>
        <w:ind w:firstLineChars="0" w:firstLine="0"/>
        <w:jc w:val="center"/>
      </w:pPr>
      <w:bookmarkStart w:id="0" w:name="_Hlk19798868"/>
      <w:r>
        <w:rPr>
          <w:noProof/>
        </w:rPr>
        <w:drawing>
          <wp:inline distT="0" distB="0" distL="0" distR="0" wp14:anchorId="5CFC55CE" wp14:editId="5774AB82">
            <wp:extent cx="2830830" cy="564515"/>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30830" cy="564515"/>
                    </a:xfrm>
                    <a:prstGeom prst="rect">
                      <a:avLst/>
                    </a:prstGeom>
                    <a:noFill/>
                    <a:ln>
                      <a:noFill/>
                    </a:ln>
                  </pic:spPr>
                </pic:pic>
              </a:graphicData>
            </a:graphic>
          </wp:inline>
        </w:drawing>
      </w:r>
      <w:bookmarkEnd w:id="0"/>
    </w:p>
    <w:p w14:paraId="112A82CF" w14:textId="77777777" w:rsidR="00C02929" w:rsidRDefault="006116D1">
      <w:pPr>
        <w:spacing w:beforeLines="100" w:before="312" w:afterLines="50" w:after="156"/>
        <w:jc w:val="center"/>
        <w:rPr>
          <w:rFonts w:ascii="Times New Roman" w:hAnsi="Times New Roman"/>
          <w:b/>
          <w:bCs/>
          <w:sz w:val="44"/>
          <w:szCs w:val="44"/>
        </w:rPr>
      </w:pPr>
      <w:r>
        <w:rPr>
          <w:rFonts w:ascii="Times New Roman" w:hAnsi="Times New Roman" w:hint="eastAsia"/>
          <w:b/>
          <w:bCs/>
          <w:color w:val="000000"/>
          <w:sz w:val="28"/>
          <w:szCs w:val="32"/>
        </w:rPr>
        <w:t>二</w:t>
      </w:r>
      <w:bookmarkStart w:id="1" w:name="_Hlk19798878"/>
      <w:r>
        <w:rPr>
          <w:rFonts w:ascii="Times New Roman" w:hAnsi="Times New Roman" w:hint="eastAsia"/>
          <w:b/>
          <w:bCs/>
          <w:color w:val="000000"/>
          <w:sz w:val="28"/>
          <w:szCs w:val="32"/>
        </w:rPr>
        <w:t>〇</w:t>
      </w:r>
      <w:bookmarkEnd w:id="1"/>
      <w:r>
        <w:rPr>
          <w:rFonts w:ascii="Times New Roman" w:hAnsi="Times New Roman" w:hint="eastAsia"/>
          <w:b/>
          <w:bCs/>
          <w:color w:val="000000"/>
          <w:sz w:val="28"/>
          <w:szCs w:val="32"/>
        </w:rPr>
        <w:t>二一年四月</w:t>
      </w:r>
    </w:p>
    <w:p w14:paraId="26E8F0E1" w14:textId="77777777" w:rsidR="00C02929" w:rsidRDefault="00C02929">
      <w:pPr>
        <w:spacing w:beforeLines="50" w:before="156" w:line="360" w:lineRule="auto"/>
        <w:ind w:firstLineChars="200" w:firstLine="480"/>
        <w:jc w:val="both"/>
        <w:rPr>
          <w:rFonts w:ascii="Times New Roman" w:eastAsia="黑体" w:hAnsi="Times New Roman" w:cs="Times New Roman"/>
          <w:bCs/>
          <w:color w:val="000000"/>
          <w:szCs w:val="21"/>
        </w:rPr>
        <w:sectPr w:rsidR="00C02929">
          <w:headerReference w:type="default" r:id="rId10"/>
          <w:footerReference w:type="default" r:id="rId11"/>
          <w:pgSz w:w="11906" w:h="16838"/>
          <w:pgMar w:top="1440" w:right="1800" w:bottom="1440" w:left="1800" w:header="851" w:footer="992" w:gutter="0"/>
          <w:cols w:space="720"/>
          <w:docGrid w:type="lines" w:linePitch="312"/>
        </w:sectPr>
      </w:pPr>
    </w:p>
    <w:p w14:paraId="516DAB9F" w14:textId="77777777" w:rsidR="00C02929" w:rsidRDefault="006116D1">
      <w:pPr>
        <w:spacing w:beforeLines="50" w:before="156" w:line="360" w:lineRule="auto"/>
        <w:ind w:firstLineChars="200" w:firstLine="482"/>
        <w:jc w:val="both"/>
        <w:rPr>
          <w:rFonts w:ascii="Times New Roman" w:hAnsi="Times New Roman" w:cs="Times New Roman"/>
          <w:b/>
          <w:color w:val="000000"/>
          <w:szCs w:val="21"/>
        </w:rPr>
      </w:pPr>
      <w:r>
        <w:rPr>
          <w:rFonts w:ascii="Times New Roman" w:hAnsi="Times New Roman" w:cs="Times New Roman" w:hint="eastAsia"/>
          <w:b/>
          <w:color w:val="000000"/>
          <w:szCs w:val="21"/>
        </w:rPr>
        <w:lastRenderedPageBreak/>
        <w:t>中国证券监督管理委员会：</w:t>
      </w:r>
    </w:p>
    <w:p w14:paraId="775DE25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贵会于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3</w:t>
      </w:r>
      <w:r>
        <w:rPr>
          <w:rFonts w:ascii="Times New Roman" w:hAnsi="Times New Roman" w:cs="Times New Roman"/>
          <w:bCs/>
          <w:color w:val="000000"/>
          <w:szCs w:val="21"/>
        </w:rPr>
        <w:t>月</w:t>
      </w:r>
      <w:r>
        <w:rPr>
          <w:rFonts w:ascii="Times New Roman" w:hAnsi="Times New Roman" w:cs="Times New Roman"/>
          <w:bCs/>
          <w:color w:val="000000"/>
          <w:szCs w:val="21"/>
        </w:rPr>
        <w:t>10</w:t>
      </w:r>
      <w:r>
        <w:rPr>
          <w:rFonts w:ascii="Times New Roman" w:hAnsi="Times New Roman" w:cs="Times New Roman"/>
          <w:bCs/>
          <w:color w:val="000000"/>
          <w:szCs w:val="21"/>
        </w:rPr>
        <w:t>日对北京京城机电股份有限公司发行股份及支付现金购买资产并募集配套资金申请文件出具的《中国证监会行政许可项目审查一次反馈意见通知书》（</w:t>
      </w:r>
      <w:r>
        <w:rPr>
          <w:rFonts w:ascii="Times New Roman" w:hAnsi="Times New Roman" w:cs="Times New Roman"/>
          <w:bCs/>
          <w:color w:val="000000"/>
          <w:szCs w:val="21"/>
        </w:rPr>
        <w:t>210440</w:t>
      </w:r>
      <w:r>
        <w:rPr>
          <w:rFonts w:ascii="Times New Roman" w:hAnsi="Times New Roman" w:cs="Times New Roman"/>
          <w:bCs/>
          <w:color w:val="000000"/>
          <w:szCs w:val="21"/>
        </w:rPr>
        <w:t>号）（以下简称</w:t>
      </w:r>
      <w:r>
        <w:rPr>
          <w:rFonts w:ascii="Times New Roman" w:hAnsi="Times New Roman" w:cs="Times New Roman" w:hint="eastAsia"/>
          <w:bCs/>
          <w:color w:val="000000"/>
          <w:szCs w:val="21"/>
        </w:rPr>
        <w:t>“</w:t>
      </w:r>
      <w:r>
        <w:rPr>
          <w:rFonts w:ascii="Times New Roman" w:hAnsi="Times New Roman" w:cs="Times New Roman"/>
          <w:bCs/>
          <w:color w:val="000000"/>
          <w:szCs w:val="21"/>
        </w:rPr>
        <w:t>《反馈意见》</w:t>
      </w:r>
      <w:r>
        <w:rPr>
          <w:rFonts w:ascii="Times New Roman" w:hAnsi="Times New Roman" w:cs="Times New Roman" w:hint="eastAsia"/>
          <w:bCs/>
          <w:color w:val="000000"/>
          <w:szCs w:val="21"/>
        </w:rPr>
        <w:t>”</w:t>
      </w:r>
      <w:r>
        <w:rPr>
          <w:rFonts w:ascii="Times New Roman" w:hAnsi="Times New Roman" w:cs="Times New Roman"/>
          <w:bCs/>
          <w:color w:val="000000"/>
          <w:szCs w:val="21"/>
        </w:rPr>
        <w:t>）收悉。中信建投证券股份有限公司作为本次交易的独立财务顾问，就相关问题核查如下，请审阅。</w:t>
      </w:r>
    </w:p>
    <w:p w14:paraId="67C09C1C"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本回复中所引用的简称和释义，如无特别说明，与《北京京城机电股份有限公司发行股份及支付现金购买资产并募集配套资金报告书（草案）（修订稿）》中具有相同含义。</w:t>
      </w:r>
    </w:p>
    <w:p w14:paraId="6331D814" w14:textId="77777777" w:rsidR="00C02929" w:rsidRDefault="00C02929">
      <w:pPr>
        <w:spacing w:beforeLines="50" w:before="156" w:line="360" w:lineRule="auto"/>
        <w:jc w:val="both"/>
        <w:rPr>
          <w:rFonts w:ascii="Times New Roman" w:hAnsi="Times New Roman" w:cs="Times New Roman"/>
          <w:bCs/>
          <w:color w:val="000000"/>
          <w:szCs w:val="21"/>
        </w:rPr>
      </w:pPr>
    </w:p>
    <w:p w14:paraId="0A3B656A" w14:textId="77777777" w:rsidR="00C02929" w:rsidRDefault="00C02929">
      <w:pPr>
        <w:spacing w:beforeLines="50" w:before="156" w:line="360" w:lineRule="auto"/>
        <w:ind w:firstLineChars="200" w:firstLine="480"/>
        <w:jc w:val="both"/>
        <w:rPr>
          <w:rFonts w:ascii="Times New Roman" w:hAnsi="Times New Roman" w:cs="Times New Roman"/>
          <w:bCs/>
          <w:color w:val="000000"/>
          <w:szCs w:val="21"/>
        </w:rPr>
        <w:sectPr w:rsidR="00C02929">
          <w:pgSz w:w="11906" w:h="16838"/>
          <w:pgMar w:top="1440" w:right="1800" w:bottom="1440" w:left="1800" w:header="851" w:footer="992" w:gutter="0"/>
          <w:cols w:space="720"/>
          <w:docGrid w:type="lines" w:linePitch="312"/>
        </w:sectPr>
      </w:pPr>
    </w:p>
    <w:p w14:paraId="23AE476F" w14:textId="77777777" w:rsidR="00C02929" w:rsidRDefault="006116D1">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bookmarkStart w:id="2" w:name="_Toc69256866"/>
      <w:bookmarkStart w:id="3" w:name="_Toc69256846"/>
      <w:bookmarkStart w:id="4" w:name="_Toc69256867"/>
      <w:bookmarkStart w:id="5" w:name="_Toc69256847"/>
      <w:r>
        <w:rPr>
          <w:rFonts w:ascii="Times New Roman" w:eastAsia="黑体" w:hAnsi="Times New Roman" w:cs="Times New Roman" w:hint="eastAsia"/>
          <w:b/>
          <w:color w:val="000000"/>
          <w:sz w:val="28"/>
          <w:szCs w:val="28"/>
        </w:rPr>
        <w:lastRenderedPageBreak/>
        <w:t>第一题</w:t>
      </w:r>
      <w:bookmarkEnd w:id="2"/>
      <w:bookmarkEnd w:id="3"/>
    </w:p>
    <w:p w14:paraId="6FF74271"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）青岛北洋天青数联智能股份有限公司（以下简称标的资产或北洋天青）于</w:t>
      </w:r>
      <w:r>
        <w:rPr>
          <w:rFonts w:ascii="Times New Roman" w:eastAsia="黑体" w:hAnsi="Times New Roman" w:cs="Times New Roman" w:hint="eastAsia"/>
          <w:b/>
          <w:color w:val="000000"/>
          <w:szCs w:val="21"/>
        </w:rPr>
        <w:t>2013</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月成立，成立时间较短；报告期内资产规模、业务规模和盈利规模较小。</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）根据备考数据，本次交易对上市公司盈利能力提升幅度较小。</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）本次交易有利于智能生产线整体解决方案业务与上市公司原有的压力容器业务协同发展，上市公司将充分分享标的资产在智能制造领域的技术积累及优势资源，助力上市公司推进产业转型。请你公司：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）结合北洋天青业务、资产和财务指标、技术优势、市场地位等情况，补充披露本次收购必要性，并说明交易是否有利于上市公司增强持续盈利能力。</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上市公司与标的资产主业是否存在显著协同效应及其认定理由，如否，补充披露上市公司是否具备充足的家电智能制造行业知识、经营管理能力、资源整合能力及营销能力，交易完成后能否在有效控制管理成本的前提下整合和管控标的资产，对潜在整合风险有何应对措施。请独立财务顾问核查并发表明确意见。</w:t>
      </w:r>
    </w:p>
    <w:p w14:paraId="7BBCD013" w14:textId="77777777" w:rsidR="00C02929" w:rsidRDefault="006116D1">
      <w:pPr>
        <w:pStyle w:val="affffd"/>
        <w:spacing w:before="156"/>
        <w:ind w:firstLine="482"/>
        <w:rPr>
          <w:b/>
        </w:rPr>
      </w:pPr>
      <w:r>
        <w:rPr>
          <w:rFonts w:hint="eastAsia"/>
          <w:b/>
        </w:rPr>
        <w:t>【回复说明】</w:t>
      </w:r>
    </w:p>
    <w:p w14:paraId="15875FD1"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）结合北洋天青业务、资产和财务指标、技术优势、市场地位等情况，</w:t>
      </w:r>
      <w:r>
        <w:rPr>
          <w:rFonts w:ascii="Times New Roman" w:eastAsia="黑体" w:hAnsi="Times New Roman" w:cs="Times New Roman" w:hint="eastAsia"/>
          <w:b/>
          <w:color w:val="000000" w:themeColor="text1"/>
          <w:szCs w:val="21"/>
        </w:rPr>
        <w:t>补充披露</w:t>
      </w:r>
      <w:r>
        <w:rPr>
          <w:rFonts w:ascii="Times New Roman" w:eastAsia="黑体" w:hAnsi="Times New Roman" w:cs="Times New Roman" w:hint="eastAsia"/>
          <w:b/>
          <w:color w:val="000000"/>
          <w:szCs w:val="21"/>
        </w:rPr>
        <w:t>本次收购必要性，并说明交易是否有利于上市公司增强持续盈利能力。</w:t>
      </w:r>
    </w:p>
    <w:p w14:paraId="05739298"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bookmarkStart w:id="6" w:name="_Hlk66561748"/>
      <w:r>
        <w:rPr>
          <w:rFonts w:ascii="Times New Roman" w:hAnsi="Times New Roman" w:cs="Times New Roman" w:hint="eastAsia"/>
          <w:b/>
          <w:color w:val="000000"/>
          <w:szCs w:val="21"/>
        </w:rPr>
        <w:t>一、</w:t>
      </w:r>
      <w:r>
        <w:rPr>
          <w:rFonts w:ascii="Times New Roman" w:hAnsi="Times New Roman" w:cs="Times New Roman" w:hint="eastAsia"/>
          <w:b/>
          <w:color w:val="000000"/>
        </w:rPr>
        <w:t>本次收购有利于拓展上市公司的业务范围</w:t>
      </w:r>
    </w:p>
    <w:bookmarkEnd w:id="6"/>
    <w:p w14:paraId="3DCB978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根据项目组对上市公司相关人员的访谈和沟通，本次交易符合京城机电集团加快构建高精尖产业结构的战略规划，有利于加强上市公司及京城机电集团在智能制造领域的业务布局。</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年，上市公司控股股东京城机电加快构建“高精尖”产业结构。</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年，京城机电集团下属公司与京国瑞基金、春霖基金等战略投资投资者共同完成北京京城智通机器人科技有限公司的收购工作，京城机电集团间接持有北京京城智通机器人科技有限公司</w:t>
      </w:r>
      <w:r>
        <w:rPr>
          <w:rFonts w:ascii="Times New Roman" w:hAnsi="Times New Roman" w:cs="Times New Roman" w:hint="eastAsia"/>
          <w:bCs/>
          <w:color w:val="000000"/>
          <w:szCs w:val="21"/>
        </w:rPr>
        <w:t>13.72%</w:t>
      </w:r>
      <w:r>
        <w:rPr>
          <w:rFonts w:ascii="Times New Roman" w:hAnsi="Times New Roman" w:cs="Times New Roman" w:hint="eastAsia"/>
          <w:bCs/>
          <w:color w:val="000000"/>
          <w:szCs w:val="21"/>
        </w:rPr>
        <w:t>的股权，标志着京城机电集团布局机器人及智能制造产业迈出重要的一步。</w:t>
      </w:r>
    </w:p>
    <w:p w14:paraId="467FF1E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通过本次重组，上市公司在原有压力容器的研发、生产加工及销售业务稳步发展的基础上，将智能制造领域行业前景良好、盈利能力较强的优质民营企业注入上市公司，实现优势互补，有利于形成合力，提升上市公司整体竞争优势，拓</w:t>
      </w:r>
      <w:r>
        <w:rPr>
          <w:rFonts w:ascii="Times New Roman" w:hAnsi="Times New Roman" w:cs="Times New Roman" w:hint="eastAsia"/>
          <w:bCs/>
          <w:color w:val="000000"/>
          <w:szCs w:val="21"/>
        </w:rPr>
        <w:lastRenderedPageBreak/>
        <w:t>展上市公司业务范围和市场空间，进一步拓宽盈利来源，强化上市公司的持续经营能力。</w:t>
      </w:r>
    </w:p>
    <w:p w14:paraId="356EF930"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二、本次收购有利于实现上市公司资产规模的扩张和财务指标的改善</w:t>
      </w:r>
    </w:p>
    <w:p w14:paraId="7D5A85F8"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本次交易完成前后上市公司资产状况和主要财务指标分析如下：</w:t>
      </w:r>
    </w:p>
    <w:p w14:paraId="14D26BA4"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（一）资产及构成分析</w:t>
      </w:r>
    </w:p>
    <w:p w14:paraId="67781F75"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15"/>
        <w:gridCol w:w="1207"/>
        <w:gridCol w:w="1248"/>
        <w:gridCol w:w="969"/>
        <w:gridCol w:w="1191"/>
        <w:gridCol w:w="1249"/>
        <w:gridCol w:w="943"/>
      </w:tblGrid>
      <w:tr w:rsidR="00C02929" w14:paraId="4230F9A8" w14:textId="77777777">
        <w:trPr>
          <w:trHeight w:val="397"/>
          <w:tblHeader/>
          <w:jc w:val="center"/>
        </w:trPr>
        <w:tc>
          <w:tcPr>
            <w:tcW w:w="1007" w:type="pct"/>
            <w:vMerge w:val="restart"/>
            <w:tcBorders>
              <w:top w:val="single" w:sz="12" w:space="0" w:color="auto"/>
              <w:left w:val="nil"/>
              <w:bottom w:val="single" w:sz="4" w:space="0" w:color="auto"/>
              <w:right w:val="single" w:sz="4" w:space="0" w:color="auto"/>
            </w:tcBorders>
            <w:vAlign w:val="center"/>
          </w:tcPr>
          <w:p w14:paraId="065BC424"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项目</w:t>
            </w:r>
          </w:p>
        </w:tc>
        <w:tc>
          <w:tcPr>
            <w:tcW w:w="2008" w:type="pct"/>
            <w:gridSpan w:val="3"/>
            <w:tcBorders>
              <w:top w:val="single" w:sz="12" w:space="0" w:color="auto"/>
              <w:left w:val="single" w:sz="4" w:space="0" w:color="auto"/>
              <w:bottom w:val="single" w:sz="4" w:space="0" w:color="auto"/>
              <w:right w:val="single" w:sz="4" w:space="0" w:color="auto"/>
            </w:tcBorders>
            <w:vAlign w:val="center"/>
          </w:tcPr>
          <w:p w14:paraId="09805D7E"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w:t>
            </w:r>
            <w:r>
              <w:rPr>
                <w:rFonts w:ascii="Times New Roman" w:hAnsi="Times New Roman" w:cs="Times New Roman"/>
                <w:b/>
                <w:color w:val="000000"/>
                <w:sz w:val="21"/>
                <w:szCs w:val="21"/>
              </w:rPr>
              <w:t>12</w:t>
            </w:r>
            <w:r>
              <w:rPr>
                <w:rFonts w:ascii="Times New Roman" w:hAnsi="Times New Roman" w:cs="Times New Roman" w:hint="eastAsia"/>
                <w:b/>
                <w:color w:val="000000"/>
                <w:sz w:val="21"/>
                <w:szCs w:val="21"/>
                <w:lang w:val="en-GB"/>
              </w:rPr>
              <w:t>月</w:t>
            </w:r>
            <w:r>
              <w:rPr>
                <w:rFonts w:ascii="Times New Roman" w:hAnsi="Times New Roman" w:cs="Times New Roman"/>
                <w:b/>
                <w:color w:val="000000"/>
                <w:sz w:val="21"/>
                <w:szCs w:val="21"/>
              </w:rPr>
              <w:t>31</w:t>
            </w:r>
            <w:r>
              <w:rPr>
                <w:rFonts w:ascii="Times New Roman" w:hAnsi="Times New Roman" w:cs="Times New Roman" w:hint="eastAsia"/>
                <w:b/>
                <w:color w:val="000000"/>
                <w:sz w:val="21"/>
                <w:szCs w:val="21"/>
                <w:lang w:val="en-GB"/>
              </w:rPr>
              <w:t>日</w:t>
            </w:r>
          </w:p>
        </w:tc>
        <w:tc>
          <w:tcPr>
            <w:tcW w:w="1985" w:type="pct"/>
            <w:gridSpan w:val="3"/>
            <w:tcBorders>
              <w:top w:val="single" w:sz="12" w:space="0" w:color="auto"/>
              <w:left w:val="single" w:sz="4" w:space="0" w:color="auto"/>
              <w:bottom w:val="single" w:sz="4" w:space="0" w:color="auto"/>
              <w:right w:val="nil"/>
            </w:tcBorders>
            <w:vAlign w:val="center"/>
          </w:tcPr>
          <w:p w14:paraId="1C8F5808"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2019</w:t>
            </w:r>
            <w:r>
              <w:rPr>
                <w:rFonts w:ascii="Times New Roman" w:hAnsi="Times New Roman" w:cs="Times New Roman" w:hint="eastAsia"/>
                <w:b/>
                <w:color w:val="000000"/>
                <w:sz w:val="21"/>
                <w:szCs w:val="21"/>
                <w:lang w:val="en-GB"/>
              </w:rPr>
              <w:t>年</w:t>
            </w:r>
            <w:r>
              <w:rPr>
                <w:rFonts w:ascii="Times New Roman" w:hAnsi="Times New Roman" w:cs="Times New Roman" w:hint="eastAsia"/>
                <w:b/>
                <w:color w:val="000000"/>
                <w:sz w:val="21"/>
                <w:szCs w:val="21"/>
                <w:lang w:val="en-GB"/>
              </w:rPr>
              <w:t>12</w:t>
            </w:r>
            <w:r>
              <w:rPr>
                <w:rFonts w:ascii="Times New Roman" w:hAnsi="Times New Roman" w:cs="Times New Roman" w:hint="eastAsia"/>
                <w:b/>
                <w:color w:val="000000"/>
                <w:sz w:val="21"/>
                <w:szCs w:val="21"/>
                <w:lang w:val="en-GB"/>
              </w:rPr>
              <w:t>月</w:t>
            </w:r>
            <w:r>
              <w:rPr>
                <w:rFonts w:ascii="Times New Roman" w:hAnsi="Times New Roman" w:cs="Times New Roman" w:hint="eastAsia"/>
                <w:b/>
                <w:color w:val="000000"/>
                <w:sz w:val="21"/>
                <w:szCs w:val="21"/>
                <w:lang w:val="en-GB"/>
              </w:rPr>
              <w:t>31</w:t>
            </w:r>
            <w:r>
              <w:rPr>
                <w:rFonts w:ascii="Times New Roman" w:hAnsi="Times New Roman" w:cs="Times New Roman" w:hint="eastAsia"/>
                <w:b/>
                <w:color w:val="000000"/>
                <w:sz w:val="21"/>
                <w:szCs w:val="21"/>
                <w:lang w:val="en-GB"/>
              </w:rPr>
              <w:t>日</w:t>
            </w:r>
          </w:p>
        </w:tc>
      </w:tr>
      <w:tr w:rsidR="00C02929" w14:paraId="7E3B5F1D" w14:textId="77777777">
        <w:trPr>
          <w:trHeight w:val="397"/>
          <w:tblHeader/>
          <w:jc w:val="center"/>
        </w:trPr>
        <w:tc>
          <w:tcPr>
            <w:tcW w:w="0" w:type="auto"/>
            <w:vMerge/>
            <w:tcBorders>
              <w:top w:val="single" w:sz="12" w:space="0" w:color="auto"/>
              <w:left w:val="nil"/>
              <w:bottom w:val="single" w:sz="4" w:space="0" w:color="auto"/>
              <w:right w:val="single" w:sz="4" w:space="0" w:color="auto"/>
            </w:tcBorders>
            <w:vAlign w:val="center"/>
          </w:tcPr>
          <w:p w14:paraId="6BE67832" w14:textId="77777777" w:rsidR="00C02929" w:rsidRDefault="00C02929">
            <w:pPr>
              <w:jc w:val="center"/>
              <w:rPr>
                <w:rFonts w:ascii="Times New Roman" w:hAnsi="Times New Roman" w:cs="Times New Roman"/>
                <w:b/>
                <w:color w:val="000000"/>
                <w:sz w:val="21"/>
                <w:szCs w:val="21"/>
                <w:lang w:val="en-GB"/>
              </w:rPr>
            </w:pPr>
          </w:p>
        </w:tc>
        <w:tc>
          <w:tcPr>
            <w:tcW w:w="709" w:type="pct"/>
            <w:tcBorders>
              <w:top w:val="single" w:sz="4" w:space="0" w:color="auto"/>
              <w:left w:val="single" w:sz="4" w:space="0" w:color="auto"/>
              <w:bottom w:val="single" w:sz="4" w:space="0" w:color="auto"/>
              <w:right w:val="single" w:sz="4" w:space="0" w:color="auto"/>
            </w:tcBorders>
            <w:vAlign w:val="center"/>
          </w:tcPr>
          <w:p w14:paraId="039E1206"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733" w:type="pct"/>
            <w:tcBorders>
              <w:top w:val="single" w:sz="4" w:space="0" w:color="auto"/>
              <w:left w:val="single" w:sz="4" w:space="0" w:color="auto"/>
              <w:bottom w:val="single" w:sz="4" w:space="0" w:color="auto"/>
              <w:right w:val="single" w:sz="4" w:space="0" w:color="auto"/>
            </w:tcBorders>
            <w:vAlign w:val="center"/>
          </w:tcPr>
          <w:p w14:paraId="62262D65"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6DA864E3"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566" w:type="pct"/>
            <w:tcBorders>
              <w:top w:val="single" w:sz="4" w:space="0" w:color="auto"/>
              <w:left w:val="single" w:sz="4" w:space="0" w:color="auto"/>
              <w:bottom w:val="single" w:sz="4" w:space="0" w:color="auto"/>
              <w:right w:val="single" w:sz="4" w:space="0" w:color="auto"/>
            </w:tcBorders>
            <w:vAlign w:val="center"/>
          </w:tcPr>
          <w:p w14:paraId="70335990"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c>
          <w:tcPr>
            <w:tcW w:w="699" w:type="pct"/>
            <w:tcBorders>
              <w:top w:val="single" w:sz="4" w:space="0" w:color="auto"/>
              <w:left w:val="single" w:sz="4" w:space="0" w:color="auto"/>
              <w:bottom w:val="single" w:sz="4" w:space="0" w:color="auto"/>
              <w:right w:val="single" w:sz="4" w:space="0" w:color="auto"/>
            </w:tcBorders>
            <w:vAlign w:val="center"/>
          </w:tcPr>
          <w:p w14:paraId="7CFFE850"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733" w:type="pct"/>
            <w:tcBorders>
              <w:top w:val="single" w:sz="4" w:space="0" w:color="auto"/>
              <w:left w:val="single" w:sz="4" w:space="0" w:color="auto"/>
              <w:bottom w:val="single" w:sz="4" w:space="0" w:color="auto"/>
              <w:right w:val="single" w:sz="4" w:space="0" w:color="auto"/>
            </w:tcBorders>
            <w:vAlign w:val="center"/>
          </w:tcPr>
          <w:p w14:paraId="008040C6"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53419B35"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554" w:type="pct"/>
            <w:tcBorders>
              <w:top w:val="single" w:sz="4" w:space="0" w:color="auto"/>
              <w:left w:val="single" w:sz="4" w:space="0" w:color="auto"/>
              <w:bottom w:val="single" w:sz="4" w:space="0" w:color="auto"/>
              <w:right w:val="nil"/>
            </w:tcBorders>
            <w:vAlign w:val="center"/>
          </w:tcPr>
          <w:p w14:paraId="16EC31B3"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r>
      <w:tr w:rsidR="00C02929" w14:paraId="41FC035F"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46BCD97D"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货币资金</w:t>
            </w:r>
          </w:p>
        </w:tc>
        <w:tc>
          <w:tcPr>
            <w:tcW w:w="709" w:type="pct"/>
            <w:tcBorders>
              <w:top w:val="single" w:sz="4" w:space="0" w:color="auto"/>
              <w:left w:val="single" w:sz="4" w:space="0" w:color="auto"/>
              <w:bottom w:val="single" w:sz="4" w:space="0" w:color="auto"/>
              <w:right w:val="single" w:sz="4" w:space="0" w:color="auto"/>
            </w:tcBorders>
            <w:vAlign w:val="center"/>
          </w:tcPr>
          <w:p w14:paraId="55F07749"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27,906.75</w:t>
            </w:r>
          </w:p>
        </w:tc>
        <w:tc>
          <w:tcPr>
            <w:tcW w:w="733" w:type="pct"/>
            <w:tcBorders>
              <w:top w:val="single" w:sz="4" w:space="0" w:color="auto"/>
              <w:left w:val="single" w:sz="4" w:space="0" w:color="auto"/>
              <w:bottom w:val="single" w:sz="4" w:space="0" w:color="auto"/>
              <w:right w:val="single" w:sz="4" w:space="0" w:color="auto"/>
            </w:tcBorders>
            <w:vAlign w:val="center"/>
          </w:tcPr>
          <w:p w14:paraId="051D146C"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36,961.96</w:t>
            </w:r>
          </w:p>
        </w:tc>
        <w:tc>
          <w:tcPr>
            <w:tcW w:w="566" w:type="pct"/>
            <w:tcBorders>
              <w:top w:val="single" w:sz="4" w:space="0" w:color="auto"/>
              <w:left w:val="single" w:sz="4" w:space="0" w:color="auto"/>
              <w:bottom w:val="single" w:sz="4" w:space="0" w:color="auto"/>
              <w:right w:val="single" w:sz="4" w:space="0" w:color="auto"/>
            </w:tcBorders>
            <w:vAlign w:val="center"/>
          </w:tcPr>
          <w:p w14:paraId="47A53219"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32.45%</w:t>
            </w:r>
          </w:p>
        </w:tc>
        <w:tc>
          <w:tcPr>
            <w:tcW w:w="699" w:type="pct"/>
            <w:tcBorders>
              <w:top w:val="single" w:sz="4" w:space="0" w:color="auto"/>
              <w:left w:val="single" w:sz="4" w:space="0" w:color="auto"/>
              <w:bottom w:val="single" w:sz="4" w:space="0" w:color="auto"/>
              <w:right w:val="single" w:sz="4" w:space="0" w:color="auto"/>
            </w:tcBorders>
            <w:vAlign w:val="center"/>
          </w:tcPr>
          <w:p w14:paraId="277FD222"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8,350.93</w:t>
            </w:r>
          </w:p>
        </w:tc>
        <w:tc>
          <w:tcPr>
            <w:tcW w:w="733" w:type="pct"/>
            <w:tcBorders>
              <w:top w:val="single" w:sz="4" w:space="0" w:color="auto"/>
              <w:left w:val="single" w:sz="4" w:space="0" w:color="auto"/>
              <w:bottom w:val="single" w:sz="4" w:space="0" w:color="auto"/>
              <w:right w:val="single" w:sz="4" w:space="0" w:color="auto"/>
            </w:tcBorders>
            <w:vAlign w:val="center"/>
          </w:tcPr>
          <w:p w14:paraId="6DAD2F27"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11,013.57</w:t>
            </w:r>
          </w:p>
        </w:tc>
        <w:tc>
          <w:tcPr>
            <w:tcW w:w="554" w:type="pct"/>
            <w:tcBorders>
              <w:top w:val="single" w:sz="4" w:space="0" w:color="auto"/>
              <w:left w:val="single" w:sz="4" w:space="0" w:color="auto"/>
              <w:bottom w:val="single" w:sz="4" w:space="0" w:color="auto"/>
              <w:right w:val="nil"/>
            </w:tcBorders>
            <w:vAlign w:val="center"/>
          </w:tcPr>
          <w:p w14:paraId="27F6CBFA"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31.88%</w:t>
            </w:r>
          </w:p>
        </w:tc>
      </w:tr>
      <w:tr w:rsidR="00C02929" w14:paraId="306B41C6"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7C1A2D46"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应收票据</w:t>
            </w:r>
          </w:p>
        </w:tc>
        <w:tc>
          <w:tcPr>
            <w:tcW w:w="709" w:type="pct"/>
            <w:tcBorders>
              <w:top w:val="single" w:sz="4" w:space="0" w:color="auto"/>
              <w:left w:val="single" w:sz="4" w:space="0" w:color="auto"/>
              <w:bottom w:val="single" w:sz="4" w:space="0" w:color="auto"/>
              <w:right w:val="single" w:sz="4" w:space="0" w:color="auto"/>
            </w:tcBorders>
            <w:vAlign w:val="center"/>
          </w:tcPr>
          <w:p w14:paraId="1347C780"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43BD30B9"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2,501.83</w:t>
            </w:r>
          </w:p>
        </w:tc>
        <w:tc>
          <w:tcPr>
            <w:tcW w:w="566" w:type="pct"/>
            <w:tcBorders>
              <w:top w:val="single" w:sz="4" w:space="0" w:color="auto"/>
              <w:left w:val="single" w:sz="4" w:space="0" w:color="auto"/>
              <w:bottom w:val="single" w:sz="4" w:space="0" w:color="auto"/>
              <w:right w:val="single" w:sz="4" w:space="0" w:color="auto"/>
            </w:tcBorders>
            <w:vAlign w:val="center"/>
          </w:tcPr>
          <w:p w14:paraId="4C02FE07"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hint="eastAsia"/>
                <w:color w:val="000000"/>
                <w:sz w:val="21"/>
                <w:szCs w:val="21"/>
              </w:rPr>
              <w:t>不适用</w:t>
            </w:r>
          </w:p>
        </w:tc>
        <w:tc>
          <w:tcPr>
            <w:tcW w:w="699" w:type="pct"/>
            <w:tcBorders>
              <w:top w:val="single" w:sz="4" w:space="0" w:color="auto"/>
              <w:left w:val="single" w:sz="4" w:space="0" w:color="auto"/>
              <w:bottom w:val="single" w:sz="4" w:space="0" w:color="auto"/>
              <w:right w:val="single" w:sz="4" w:space="0" w:color="auto"/>
            </w:tcBorders>
            <w:vAlign w:val="center"/>
          </w:tcPr>
          <w:p w14:paraId="29D81DB3"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62F8169F"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433.41</w:t>
            </w:r>
          </w:p>
        </w:tc>
        <w:tc>
          <w:tcPr>
            <w:tcW w:w="554" w:type="pct"/>
            <w:tcBorders>
              <w:top w:val="single" w:sz="4" w:space="0" w:color="auto"/>
              <w:left w:val="single" w:sz="4" w:space="0" w:color="auto"/>
              <w:bottom w:val="single" w:sz="4" w:space="0" w:color="auto"/>
              <w:right w:val="nil"/>
            </w:tcBorders>
            <w:vAlign w:val="center"/>
          </w:tcPr>
          <w:p w14:paraId="6288AD3F"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不适用</w:t>
            </w:r>
          </w:p>
        </w:tc>
      </w:tr>
      <w:tr w:rsidR="00C02929" w14:paraId="695FF8D9"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1DC71463"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应收账款</w:t>
            </w:r>
          </w:p>
        </w:tc>
        <w:tc>
          <w:tcPr>
            <w:tcW w:w="709" w:type="pct"/>
            <w:tcBorders>
              <w:top w:val="single" w:sz="4" w:space="0" w:color="auto"/>
              <w:left w:val="single" w:sz="4" w:space="0" w:color="auto"/>
              <w:bottom w:val="single" w:sz="4" w:space="0" w:color="auto"/>
              <w:right w:val="single" w:sz="4" w:space="0" w:color="auto"/>
            </w:tcBorders>
            <w:vAlign w:val="center"/>
          </w:tcPr>
          <w:p w14:paraId="7965CA11"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19,192.92</w:t>
            </w:r>
          </w:p>
        </w:tc>
        <w:tc>
          <w:tcPr>
            <w:tcW w:w="733" w:type="pct"/>
            <w:tcBorders>
              <w:top w:val="single" w:sz="4" w:space="0" w:color="auto"/>
              <w:left w:val="single" w:sz="4" w:space="0" w:color="auto"/>
              <w:bottom w:val="single" w:sz="4" w:space="0" w:color="auto"/>
              <w:right w:val="single" w:sz="4" w:space="0" w:color="auto"/>
            </w:tcBorders>
            <w:vAlign w:val="center"/>
          </w:tcPr>
          <w:p w14:paraId="5105DF8B"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23,938.83</w:t>
            </w:r>
          </w:p>
        </w:tc>
        <w:tc>
          <w:tcPr>
            <w:tcW w:w="566" w:type="pct"/>
            <w:tcBorders>
              <w:top w:val="single" w:sz="4" w:space="0" w:color="auto"/>
              <w:left w:val="single" w:sz="4" w:space="0" w:color="auto"/>
              <w:bottom w:val="single" w:sz="4" w:space="0" w:color="auto"/>
              <w:right w:val="single" w:sz="4" w:space="0" w:color="auto"/>
            </w:tcBorders>
            <w:vAlign w:val="center"/>
          </w:tcPr>
          <w:p w14:paraId="695DAA97"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24.73%</w:t>
            </w:r>
          </w:p>
        </w:tc>
        <w:tc>
          <w:tcPr>
            <w:tcW w:w="699" w:type="pct"/>
            <w:tcBorders>
              <w:top w:val="single" w:sz="4" w:space="0" w:color="auto"/>
              <w:left w:val="single" w:sz="4" w:space="0" w:color="auto"/>
              <w:bottom w:val="single" w:sz="4" w:space="0" w:color="auto"/>
              <w:right w:val="single" w:sz="4" w:space="0" w:color="auto"/>
            </w:tcBorders>
            <w:vAlign w:val="center"/>
          </w:tcPr>
          <w:p w14:paraId="49664D8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19,022.67</w:t>
            </w:r>
          </w:p>
        </w:tc>
        <w:tc>
          <w:tcPr>
            <w:tcW w:w="733" w:type="pct"/>
            <w:tcBorders>
              <w:top w:val="single" w:sz="4" w:space="0" w:color="auto"/>
              <w:left w:val="single" w:sz="4" w:space="0" w:color="auto"/>
              <w:bottom w:val="single" w:sz="4" w:space="0" w:color="auto"/>
              <w:right w:val="single" w:sz="4" w:space="0" w:color="auto"/>
            </w:tcBorders>
            <w:vAlign w:val="center"/>
          </w:tcPr>
          <w:p w14:paraId="74BA0D3C"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22,148.93</w:t>
            </w:r>
          </w:p>
        </w:tc>
        <w:tc>
          <w:tcPr>
            <w:tcW w:w="554" w:type="pct"/>
            <w:tcBorders>
              <w:top w:val="single" w:sz="4" w:space="0" w:color="auto"/>
              <w:left w:val="single" w:sz="4" w:space="0" w:color="auto"/>
              <w:bottom w:val="single" w:sz="4" w:space="0" w:color="auto"/>
              <w:right w:val="nil"/>
            </w:tcBorders>
            <w:vAlign w:val="center"/>
          </w:tcPr>
          <w:p w14:paraId="209AB008"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16.43%</w:t>
            </w:r>
          </w:p>
        </w:tc>
      </w:tr>
      <w:tr w:rsidR="00C02929" w14:paraId="40844314"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21DA83C9"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应收款项融资</w:t>
            </w:r>
          </w:p>
        </w:tc>
        <w:tc>
          <w:tcPr>
            <w:tcW w:w="709" w:type="pct"/>
            <w:tcBorders>
              <w:top w:val="single" w:sz="4" w:space="0" w:color="auto"/>
              <w:left w:val="single" w:sz="4" w:space="0" w:color="auto"/>
              <w:bottom w:val="single" w:sz="4" w:space="0" w:color="auto"/>
              <w:right w:val="single" w:sz="4" w:space="0" w:color="auto"/>
            </w:tcBorders>
            <w:vAlign w:val="center"/>
          </w:tcPr>
          <w:p w14:paraId="56FE7F8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415.33</w:t>
            </w:r>
          </w:p>
        </w:tc>
        <w:tc>
          <w:tcPr>
            <w:tcW w:w="733" w:type="pct"/>
            <w:tcBorders>
              <w:top w:val="single" w:sz="4" w:space="0" w:color="auto"/>
              <w:left w:val="single" w:sz="4" w:space="0" w:color="auto"/>
              <w:bottom w:val="single" w:sz="4" w:space="0" w:color="auto"/>
              <w:right w:val="single" w:sz="4" w:space="0" w:color="auto"/>
            </w:tcBorders>
            <w:vAlign w:val="center"/>
          </w:tcPr>
          <w:p w14:paraId="7C6F18C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2,578.04</w:t>
            </w:r>
          </w:p>
        </w:tc>
        <w:tc>
          <w:tcPr>
            <w:tcW w:w="566" w:type="pct"/>
            <w:tcBorders>
              <w:top w:val="single" w:sz="4" w:space="0" w:color="auto"/>
              <w:left w:val="single" w:sz="4" w:space="0" w:color="auto"/>
              <w:bottom w:val="single" w:sz="4" w:space="0" w:color="auto"/>
              <w:right w:val="single" w:sz="4" w:space="0" w:color="auto"/>
            </w:tcBorders>
            <w:vAlign w:val="center"/>
          </w:tcPr>
          <w:p w14:paraId="4D16C07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520.72%</w:t>
            </w:r>
          </w:p>
        </w:tc>
        <w:tc>
          <w:tcPr>
            <w:tcW w:w="699" w:type="pct"/>
            <w:tcBorders>
              <w:top w:val="single" w:sz="4" w:space="0" w:color="auto"/>
              <w:left w:val="single" w:sz="4" w:space="0" w:color="auto"/>
              <w:bottom w:val="single" w:sz="4" w:space="0" w:color="auto"/>
              <w:right w:val="single" w:sz="4" w:space="0" w:color="auto"/>
            </w:tcBorders>
            <w:vAlign w:val="center"/>
          </w:tcPr>
          <w:p w14:paraId="7CE19EC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824.74</w:t>
            </w:r>
          </w:p>
        </w:tc>
        <w:tc>
          <w:tcPr>
            <w:tcW w:w="733" w:type="pct"/>
            <w:tcBorders>
              <w:top w:val="single" w:sz="4" w:space="0" w:color="auto"/>
              <w:left w:val="single" w:sz="4" w:space="0" w:color="auto"/>
              <w:bottom w:val="single" w:sz="4" w:space="0" w:color="auto"/>
              <w:right w:val="single" w:sz="4" w:space="0" w:color="auto"/>
            </w:tcBorders>
            <w:vAlign w:val="center"/>
          </w:tcPr>
          <w:p w14:paraId="7694BEB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974.45</w:t>
            </w:r>
          </w:p>
        </w:tc>
        <w:tc>
          <w:tcPr>
            <w:tcW w:w="554" w:type="pct"/>
            <w:tcBorders>
              <w:top w:val="single" w:sz="4" w:space="0" w:color="auto"/>
              <w:left w:val="single" w:sz="4" w:space="0" w:color="auto"/>
              <w:bottom w:val="single" w:sz="4" w:space="0" w:color="auto"/>
              <w:right w:val="nil"/>
            </w:tcBorders>
            <w:vAlign w:val="center"/>
          </w:tcPr>
          <w:p w14:paraId="4366241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18.15%</w:t>
            </w:r>
          </w:p>
        </w:tc>
      </w:tr>
      <w:tr w:rsidR="00C02929" w14:paraId="04076792"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2D0E283D"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预付款项</w:t>
            </w:r>
          </w:p>
        </w:tc>
        <w:tc>
          <w:tcPr>
            <w:tcW w:w="709" w:type="pct"/>
            <w:tcBorders>
              <w:top w:val="single" w:sz="4" w:space="0" w:color="auto"/>
              <w:left w:val="single" w:sz="4" w:space="0" w:color="auto"/>
              <w:bottom w:val="single" w:sz="4" w:space="0" w:color="auto"/>
              <w:right w:val="single" w:sz="4" w:space="0" w:color="auto"/>
            </w:tcBorders>
            <w:vAlign w:val="center"/>
          </w:tcPr>
          <w:p w14:paraId="132A7B10"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6,382.10</w:t>
            </w:r>
          </w:p>
        </w:tc>
        <w:tc>
          <w:tcPr>
            <w:tcW w:w="733" w:type="pct"/>
            <w:tcBorders>
              <w:top w:val="single" w:sz="4" w:space="0" w:color="auto"/>
              <w:left w:val="single" w:sz="4" w:space="0" w:color="auto"/>
              <w:bottom w:val="single" w:sz="4" w:space="0" w:color="auto"/>
              <w:right w:val="single" w:sz="4" w:space="0" w:color="auto"/>
            </w:tcBorders>
            <w:vAlign w:val="center"/>
          </w:tcPr>
          <w:p w14:paraId="5FBFD28D"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9,062.40</w:t>
            </w:r>
          </w:p>
        </w:tc>
        <w:tc>
          <w:tcPr>
            <w:tcW w:w="566" w:type="pct"/>
            <w:tcBorders>
              <w:top w:val="single" w:sz="4" w:space="0" w:color="auto"/>
              <w:left w:val="single" w:sz="4" w:space="0" w:color="auto"/>
              <w:bottom w:val="single" w:sz="4" w:space="0" w:color="auto"/>
              <w:right w:val="single" w:sz="4" w:space="0" w:color="auto"/>
            </w:tcBorders>
            <w:vAlign w:val="center"/>
          </w:tcPr>
          <w:p w14:paraId="5CFD5ED6"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42.00%</w:t>
            </w:r>
          </w:p>
        </w:tc>
        <w:tc>
          <w:tcPr>
            <w:tcW w:w="699" w:type="pct"/>
            <w:tcBorders>
              <w:top w:val="single" w:sz="4" w:space="0" w:color="auto"/>
              <w:left w:val="single" w:sz="4" w:space="0" w:color="auto"/>
              <w:bottom w:val="single" w:sz="4" w:space="0" w:color="auto"/>
              <w:right w:val="single" w:sz="4" w:space="0" w:color="auto"/>
            </w:tcBorders>
            <w:vAlign w:val="center"/>
          </w:tcPr>
          <w:p w14:paraId="7F2C1BF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5,436.69</w:t>
            </w:r>
          </w:p>
        </w:tc>
        <w:tc>
          <w:tcPr>
            <w:tcW w:w="733" w:type="pct"/>
            <w:tcBorders>
              <w:top w:val="single" w:sz="4" w:space="0" w:color="auto"/>
              <w:left w:val="single" w:sz="4" w:space="0" w:color="auto"/>
              <w:bottom w:val="single" w:sz="4" w:space="0" w:color="auto"/>
              <w:right w:val="single" w:sz="4" w:space="0" w:color="auto"/>
            </w:tcBorders>
            <w:vAlign w:val="center"/>
          </w:tcPr>
          <w:p w14:paraId="5A3AE0D3"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5,571.47</w:t>
            </w:r>
          </w:p>
        </w:tc>
        <w:tc>
          <w:tcPr>
            <w:tcW w:w="554" w:type="pct"/>
            <w:tcBorders>
              <w:top w:val="single" w:sz="4" w:space="0" w:color="auto"/>
              <w:left w:val="single" w:sz="4" w:space="0" w:color="auto"/>
              <w:bottom w:val="single" w:sz="4" w:space="0" w:color="auto"/>
              <w:right w:val="nil"/>
            </w:tcBorders>
            <w:vAlign w:val="center"/>
          </w:tcPr>
          <w:p w14:paraId="1FCFDAB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2.48%</w:t>
            </w:r>
          </w:p>
        </w:tc>
      </w:tr>
      <w:tr w:rsidR="00C02929" w14:paraId="0CD79035"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2B1CF686"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其他应收款</w:t>
            </w:r>
          </w:p>
        </w:tc>
        <w:tc>
          <w:tcPr>
            <w:tcW w:w="709" w:type="pct"/>
            <w:tcBorders>
              <w:top w:val="single" w:sz="4" w:space="0" w:color="auto"/>
              <w:left w:val="single" w:sz="4" w:space="0" w:color="auto"/>
              <w:bottom w:val="single" w:sz="4" w:space="0" w:color="auto"/>
              <w:right w:val="single" w:sz="4" w:space="0" w:color="auto"/>
            </w:tcBorders>
            <w:vAlign w:val="center"/>
          </w:tcPr>
          <w:p w14:paraId="112A4C26"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870.61</w:t>
            </w:r>
          </w:p>
        </w:tc>
        <w:tc>
          <w:tcPr>
            <w:tcW w:w="733" w:type="pct"/>
            <w:tcBorders>
              <w:top w:val="single" w:sz="4" w:space="0" w:color="auto"/>
              <w:left w:val="single" w:sz="4" w:space="0" w:color="auto"/>
              <w:bottom w:val="single" w:sz="4" w:space="0" w:color="auto"/>
              <w:right w:val="single" w:sz="4" w:space="0" w:color="auto"/>
            </w:tcBorders>
            <w:vAlign w:val="center"/>
          </w:tcPr>
          <w:p w14:paraId="1EB7FCA3"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1,022.16</w:t>
            </w:r>
          </w:p>
        </w:tc>
        <w:tc>
          <w:tcPr>
            <w:tcW w:w="566" w:type="pct"/>
            <w:tcBorders>
              <w:top w:val="single" w:sz="4" w:space="0" w:color="auto"/>
              <w:left w:val="single" w:sz="4" w:space="0" w:color="auto"/>
              <w:bottom w:val="single" w:sz="4" w:space="0" w:color="auto"/>
              <w:right w:val="single" w:sz="4" w:space="0" w:color="auto"/>
            </w:tcBorders>
            <w:vAlign w:val="center"/>
          </w:tcPr>
          <w:p w14:paraId="1363C0D9"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17.41%</w:t>
            </w:r>
          </w:p>
        </w:tc>
        <w:tc>
          <w:tcPr>
            <w:tcW w:w="699" w:type="pct"/>
            <w:tcBorders>
              <w:top w:val="single" w:sz="4" w:space="0" w:color="auto"/>
              <w:left w:val="single" w:sz="4" w:space="0" w:color="auto"/>
              <w:bottom w:val="single" w:sz="4" w:space="0" w:color="auto"/>
              <w:right w:val="single" w:sz="4" w:space="0" w:color="auto"/>
            </w:tcBorders>
            <w:vAlign w:val="center"/>
          </w:tcPr>
          <w:p w14:paraId="74EA112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4,640.79</w:t>
            </w:r>
          </w:p>
        </w:tc>
        <w:tc>
          <w:tcPr>
            <w:tcW w:w="733" w:type="pct"/>
            <w:tcBorders>
              <w:top w:val="single" w:sz="4" w:space="0" w:color="auto"/>
              <w:left w:val="single" w:sz="4" w:space="0" w:color="auto"/>
              <w:bottom w:val="single" w:sz="4" w:space="0" w:color="auto"/>
              <w:right w:val="single" w:sz="4" w:space="0" w:color="auto"/>
            </w:tcBorders>
            <w:vAlign w:val="center"/>
          </w:tcPr>
          <w:p w14:paraId="52A2156F"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4,692.44</w:t>
            </w:r>
          </w:p>
        </w:tc>
        <w:tc>
          <w:tcPr>
            <w:tcW w:w="554" w:type="pct"/>
            <w:tcBorders>
              <w:top w:val="single" w:sz="4" w:space="0" w:color="auto"/>
              <w:left w:val="single" w:sz="4" w:space="0" w:color="auto"/>
              <w:bottom w:val="single" w:sz="4" w:space="0" w:color="auto"/>
              <w:right w:val="nil"/>
            </w:tcBorders>
            <w:vAlign w:val="center"/>
          </w:tcPr>
          <w:p w14:paraId="2F1D29C1"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1.11%</w:t>
            </w:r>
          </w:p>
        </w:tc>
      </w:tr>
      <w:tr w:rsidR="00C02929" w14:paraId="7B32B20D"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44C3F27B"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存货</w:t>
            </w:r>
          </w:p>
        </w:tc>
        <w:tc>
          <w:tcPr>
            <w:tcW w:w="709" w:type="pct"/>
            <w:tcBorders>
              <w:top w:val="single" w:sz="4" w:space="0" w:color="auto"/>
              <w:left w:val="single" w:sz="4" w:space="0" w:color="auto"/>
              <w:bottom w:val="single" w:sz="4" w:space="0" w:color="auto"/>
              <w:right w:val="single" w:sz="4" w:space="0" w:color="auto"/>
            </w:tcBorders>
            <w:vAlign w:val="center"/>
          </w:tcPr>
          <w:p w14:paraId="2C3A3F7D"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27,450.68</w:t>
            </w:r>
          </w:p>
        </w:tc>
        <w:tc>
          <w:tcPr>
            <w:tcW w:w="733" w:type="pct"/>
            <w:tcBorders>
              <w:top w:val="single" w:sz="4" w:space="0" w:color="auto"/>
              <w:left w:val="single" w:sz="4" w:space="0" w:color="auto"/>
              <w:bottom w:val="single" w:sz="4" w:space="0" w:color="auto"/>
              <w:right w:val="single" w:sz="4" w:space="0" w:color="auto"/>
            </w:tcBorders>
            <w:vAlign w:val="center"/>
          </w:tcPr>
          <w:p w14:paraId="51A259FA"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32,758.35</w:t>
            </w:r>
          </w:p>
        </w:tc>
        <w:tc>
          <w:tcPr>
            <w:tcW w:w="566" w:type="pct"/>
            <w:tcBorders>
              <w:top w:val="single" w:sz="4" w:space="0" w:color="auto"/>
              <w:left w:val="single" w:sz="4" w:space="0" w:color="auto"/>
              <w:bottom w:val="single" w:sz="4" w:space="0" w:color="auto"/>
              <w:right w:val="single" w:sz="4" w:space="0" w:color="auto"/>
            </w:tcBorders>
            <w:vAlign w:val="center"/>
          </w:tcPr>
          <w:p w14:paraId="5C62B52B"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19.34%</w:t>
            </w:r>
          </w:p>
        </w:tc>
        <w:tc>
          <w:tcPr>
            <w:tcW w:w="699" w:type="pct"/>
            <w:tcBorders>
              <w:top w:val="single" w:sz="4" w:space="0" w:color="auto"/>
              <w:left w:val="single" w:sz="4" w:space="0" w:color="auto"/>
              <w:bottom w:val="single" w:sz="4" w:space="0" w:color="auto"/>
              <w:right w:val="single" w:sz="4" w:space="0" w:color="auto"/>
            </w:tcBorders>
            <w:vAlign w:val="center"/>
          </w:tcPr>
          <w:p w14:paraId="51CD1B4C"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32,217.35</w:t>
            </w:r>
          </w:p>
        </w:tc>
        <w:tc>
          <w:tcPr>
            <w:tcW w:w="733" w:type="pct"/>
            <w:tcBorders>
              <w:top w:val="single" w:sz="4" w:space="0" w:color="auto"/>
              <w:left w:val="single" w:sz="4" w:space="0" w:color="auto"/>
              <w:bottom w:val="single" w:sz="4" w:space="0" w:color="auto"/>
              <w:right w:val="single" w:sz="4" w:space="0" w:color="auto"/>
            </w:tcBorders>
            <w:vAlign w:val="center"/>
          </w:tcPr>
          <w:p w14:paraId="449D02EF"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33,965.54</w:t>
            </w:r>
          </w:p>
        </w:tc>
        <w:tc>
          <w:tcPr>
            <w:tcW w:w="554" w:type="pct"/>
            <w:tcBorders>
              <w:top w:val="single" w:sz="4" w:space="0" w:color="auto"/>
              <w:left w:val="single" w:sz="4" w:space="0" w:color="auto"/>
              <w:bottom w:val="single" w:sz="4" w:space="0" w:color="auto"/>
              <w:right w:val="nil"/>
            </w:tcBorders>
            <w:vAlign w:val="center"/>
          </w:tcPr>
          <w:p w14:paraId="568659DF"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5.43%</w:t>
            </w:r>
          </w:p>
        </w:tc>
      </w:tr>
      <w:tr w:rsidR="00C02929" w14:paraId="2754E179"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62E58818"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其他流动资产</w:t>
            </w:r>
          </w:p>
        </w:tc>
        <w:tc>
          <w:tcPr>
            <w:tcW w:w="709" w:type="pct"/>
            <w:tcBorders>
              <w:top w:val="single" w:sz="4" w:space="0" w:color="auto"/>
              <w:left w:val="single" w:sz="4" w:space="0" w:color="auto"/>
              <w:bottom w:val="single" w:sz="4" w:space="0" w:color="auto"/>
              <w:right w:val="single" w:sz="4" w:space="0" w:color="auto"/>
            </w:tcBorders>
            <w:vAlign w:val="center"/>
          </w:tcPr>
          <w:p w14:paraId="1AA2E5CD"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3,704.58</w:t>
            </w:r>
          </w:p>
        </w:tc>
        <w:tc>
          <w:tcPr>
            <w:tcW w:w="733" w:type="pct"/>
            <w:tcBorders>
              <w:top w:val="single" w:sz="4" w:space="0" w:color="auto"/>
              <w:left w:val="single" w:sz="4" w:space="0" w:color="auto"/>
              <w:bottom w:val="single" w:sz="4" w:space="0" w:color="auto"/>
              <w:right w:val="single" w:sz="4" w:space="0" w:color="auto"/>
            </w:tcBorders>
            <w:vAlign w:val="center"/>
          </w:tcPr>
          <w:p w14:paraId="76569E38"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3,766.37</w:t>
            </w:r>
          </w:p>
        </w:tc>
        <w:tc>
          <w:tcPr>
            <w:tcW w:w="566" w:type="pct"/>
            <w:tcBorders>
              <w:top w:val="single" w:sz="4" w:space="0" w:color="auto"/>
              <w:left w:val="single" w:sz="4" w:space="0" w:color="auto"/>
              <w:bottom w:val="single" w:sz="4" w:space="0" w:color="auto"/>
              <w:right w:val="single" w:sz="4" w:space="0" w:color="auto"/>
            </w:tcBorders>
            <w:vAlign w:val="center"/>
          </w:tcPr>
          <w:p w14:paraId="7400C5BF"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1.67%</w:t>
            </w:r>
          </w:p>
        </w:tc>
        <w:tc>
          <w:tcPr>
            <w:tcW w:w="699" w:type="pct"/>
            <w:tcBorders>
              <w:top w:val="single" w:sz="4" w:space="0" w:color="auto"/>
              <w:left w:val="single" w:sz="4" w:space="0" w:color="auto"/>
              <w:bottom w:val="single" w:sz="4" w:space="0" w:color="auto"/>
              <w:right w:val="single" w:sz="4" w:space="0" w:color="auto"/>
            </w:tcBorders>
            <w:vAlign w:val="center"/>
          </w:tcPr>
          <w:p w14:paraId="5CAF36E2"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5,596.75</w:t>
            </w:r>
          </w:p>
        </w:tc>
        <w:tc>
          <w:tcPr>
            <w:tcW w:w="733" w:type="pct"/>
            <w:tcBorders>
              <w:top w:val="single" w:sz="4" w:space="0" w:color="auto"/>
              <w:left w:val="single" w:sz="4" w:space="0" w:color="auto"/>
              <w:bottom w:val="single" w:sz="4" w:space="0" w:color="auto"/>
              <w:right w:val="single" w:sz="4" w:space="0" w:color="auto"/>
            </w:tcBorders>
            <w:vAlign w:val="center"/>
          </w:tcPr>
          <w:p w14:paraId="48D957BD"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5,598.06</w:t>
            </w:r>
          </w:p>
        </w:tc>
        <w:tc>
          <w:tcPr>
            <w:tcW w:w="554" w:type="pct"/>
            <w:tcBorders>
              <w:top w:val="single" w:sz="4" w:space="0" w:color="auto"/>
              <w:left w:val="single" w:sz="4" w:space="0" w:color="auto"/>
              <w:bottom w:val="single" w:sz="4" w:space="0" w:color="auto"/>
              <w:right w:val="nil"/>
            </w:tcBorders>
            <w:vAlign w:val="center"/>
          </w:tcPr>
          <w:p w14:paraId="5507CD1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0.02%</w:t>
            </w:r>
          </w:p>
        </w:tc>
      </w:tr>
      <w:tr w:rsidR="00C02929" w14:paraId="544D9FFA"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7E5AB62C" w14:textId="77777777" w:rsidR="00C02929" w:rsidRDefault="006116D1">
            <w:pPr>
              <w:jc w:val="both"/>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流动资产合计</w:t>
            </w:r>
          </w:p>
        </w:tc>
        <w:tc>
          <w:tcPr>
            <w:tcW w:w="709" w:type="pct"/>
            <w:tcBorders>
              <w:top w:val="single" w:sz="4" w:space="0" w:color="auto"/>
              <w:left w:val="single" w:sz="4" w:space="0" w:color="auto"/>
              <w:bottom w:val="single" w:sz="4" w:space="0" w:color="auto"/>
              <w:right w:val="single" w:sz="4" w:space="0" w:color="auto"/>
            </w:tcBorders>
            <w:vAlign w:val="center"/>
          </w:tcPr>
          <w:p w14:paraId="790BA04E"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85,922.97</w:t>
            </w:r>
          </w:p>
        </w:tc>
        <w:tc>
          <w:tcPr>
            <w:tcW w:w="733" w:type="pct"/>
            <w:tcBorders>
              <w:top w:val="single" w:sz="4" w:space="0" w:color="auto"/>
              <w:left w:val="single" w:sz="4" w:space="0" w:color="auto"/>
              <w:bottom w:val="single" w:sz="4" w:space="0" w:color="auto"/>
              <w:right w:val="single" w:sz="4" w:space="0" w:color="auto"/>
            </w:tcBorders>
            <w:vAlign w:val="center"/>
          </w:tcPr>
          <w:p w14:paraId="4E11C6F2"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112,589.94</w:t>
            </w:r>
          </w:p>
        </w:tc>
        <w:tc>
          <w:tcPr>
            <w:tcW w:w="566" w:type="pct"/>
            <w:tcBorders>
              <w:top w:val="single" w:sz="4" w:space="0" w:color="auto"/>
              <w:left w:val="single" w:sz="4" w:space="0" w:color="auto"/>
              <w:bottom w:val="single" w:sz="4" w:space="0" w:color="auto"/>
              <w:right w:val="single" w:sz="4" w:space="0" w:color="auto"/>
            </w:tcBorders>
            <w:vAlign w:val="center"/>
          </w:tcPr>
          <w:p w14:paraId="1B0A2070" w14:textId="77777777" w:rsidR="00C02929" w:rsidRDefault="006116D1">
            <w:pPr>
              <w:jc w:val="right"/>
              <w:rPr>
                <w:rFonts w:ascii="Times New Roman" w:hAnsi="Times New Roman" w:cs="Times New Roman"/>
                <w:b/>
                <w:bCs/>
                <w:sz w:val="21"/>
                <w:szCs w:val="21"/>
                <w:lang w:val="en-GB"/>
              </w:rPr>
            </w:pPr>
            <w:r>
              <w:rPr>
                <w:rFonts w:ascii="Times New Roman" w:hAnsi="Times New Roman" w:cs="Times New Roman"/>
                <w:b/>
                <w:bCs/>
                <w:color w:val="000000"/>
                <w:sz w:val="21"/>
                <w:szCs w:val="21"/>
              </w:rPr>
              <w:t>31.04%</w:t>
            </w:r>
          </w:p>
        </w:tc>
        <w:tc>
          <w:tcPr>
            <w:tcW w:w="699" w:type="pct"/>
            <w:tcBorders>
              <w:top w:val="single" w:sz="4" w:space="0" w:color="auto"/>
              <w:left w:val="single" w:sz="4" w:space="0" w:color="auto"/>
              <w:bottom w:val="single" w:sz="4" w:space="0" w:color="auto"/>
              <w:right w:val="single" w:sz="4" w:space="0" w:color="auto"/>
            </w:tcBorders>
            <w:vAlign w:val="center"/>
          </w:tcPr>
          <w:p w14:paraId="6E8B1917"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78,256.08</w:t>
            </w:r>
          </w:p>
        </w:tc>
        <w:tc>
          <w:tcPr>
            <w:tcW w:w="733" w:type="pct"/>
            <w:tcBorders>
              <w:top w:val="single" w:sz="4" w:space="0" w:color="auto"/>
              <w:left w:val="single" w:sz="4" w:space="0" w:color="auto"/>
              <w:bottom w:val="single" w:sz="4" w:space="0" w:color="auto"/>
              <w:right w:val="single" w:sz="4" w:space="0" w:color="auto"/>
            </w:tcBorders>
            <w:vAlign w:val="center"/>
          </w:tcPr>
          <w:p w14:paraId="694E6E3B"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87,396.27</w:t>
            </w:r>
          </w:p>
        </w:tc>
        <w:tc>
          <w:tcPr>
            <w:tcW w:w="554" w:type="pct"/>
            <w:tcBorders>
              <w:top w:val="single" w:sz="4" w:space="0" w:color="auto"/>
              <w:left w:val="single" w:sz="4" w:space="0" w:color="auto"/>
              <w:bottom w:val="single" w:sz="4" w:space="0" w:color="auto"/>
              <w:right w:val="nil"/>
            </w:tcBorders>
            <w:vAlign w:val="center"/>
          </w:tcPr>
          <w:p w14:paraId="00E7B66A"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11.68%</w:t>
            </w:r>
          </w:p>
        </w:tc>
      </w:tr>
      <w:tr w:rsidR="00C02929" w14:paraId="3FE4C1AC"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40FF1EC0"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固定资产</w:t>
            </w:r>
          </w:p>
        </w:tc>
        <w:tc>
          <w:tcPr>
            <w:tcW w:w="709" w:type="pct"/>
            <w:tcBorders>
              <w:top w:val="single" w:sz="4" w:space="0" w:color="auto"/>
              <w:left w:val="single" w:sz="4" w:space="0" w:color="auto"/>
              <w:bottom w:val="single" w:sz="4" w:space="0" w:color="auto"/>
              <w:right w:val="single" w:sz="4" w:space="0" w:color="auto"/>
            </w:tcBorders>
            <w:vAlign w:val="center"/>
          </w:tcPr>
          <w:p w14:paraId="164B8465"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60,565.59</w:t>
            </w:r>
          </w:p>
        </w:tc>
        <w:tc>
          <w:tcPr>
            <w:tcW w:w="733" w:type="pct"/>
            <w:tcBorders>
              <w:top w:val="single" w:sz="4" w:space="0" w:color="auto"/>
              <w:left w:val="single" w:sz="4" w:space="0" w:color="auto"/>
              <w:bottom w:val="single" w:sz="4" w:space="0" w:color="auto"/>
              <w:right w:val="single" w:sz="4" w:space="0" w:color="auto"/>
            </w:tcBorders>
            <w:vAlign w:val="center"/>
          </w:tcPr>
          <w:p w14:paraId="6A22C598"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60,945.51</w:t>
            </w:r>
          </w:p>
        </w:tc>
        <w:tc>
          <w:tcPr>
            <w:tcW w:w="566" w:type="pct"/>
            <w:tcBorders>
              <w:top w:val="single" w:sz="4" w:space="0" w:color="auto"/>
              <w:left w:val="single" w:sz="4" w:space="0" w:color="auto"/>
              <w:bottom w:val="single" w:sz="4" w:space="0" w:color="auto"/>
              <w:right w:val="single" w:sz="4" w:space="0" w:color="auto"/>
            </w:tcBorders>
            <w:vAlign w:val="center"/>
          </w:tcPr>
          <w:p w14:paraId="53034D2E"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0.63%</w:t>
            </w:r>
          </w:p>
        </w:tc>
        <w:tc>
          <w:tcPr>
            <w:tcW w:w="699" w:type="pct"/>
            <w:tcBorders>
              <w:top w:val="single" w:sz="4" w:space="0" w:color="auto"/>
              <w:left w:val="single" w:sz="4" w:space="0" w:color="auto"/>
              <w:bottom w:val="single" w:sz="4" w:space="0" w:color="auto"/>
              <w:right w:val="single" w:sz="4" w:space="0" w:color="auto"/>
            </w:tcBorders>
            <w:vAlign w:val="center"/>
          </w:tcPr>
          <w:p w14:paraId="40B4CC4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64,175.26</w:t>
            </w:r>
          </w:p>
        </w:tc>
        <w:tc>
          <w:tcPr>
            <w:tcW w:w="733" w:type="pct"/>
            <w:tcBorders>
              <w:top w:val="single" w:sz="4" w:space="0" w:color="auto"/>
              <w:left w:val="single" w:sz="4" w:space="0" w:color="auto"/>
              <w:bottom w:val="single" w:sz="4" w:space="0" w:color="auto"/>
              <w:right w:val="single" w:sz="4" w:space="0" w:color="auto"/>
            </w:tcBorders>
            <w:vAlign w:val="center"/>
          </w:tcPr>
          <w:p w14:paraId="730EAA12"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64,502.08</w:t>
            </w:r>
          </w:p>
        </w:tc>
        <w:tc>
          <w:tcPr>
            <w:tcW w:w="554" w:type="pct"/>
            <w:tcBorders>
              <w:top w:val="single" w:sz="4" w:space="0" w:color="auto"/>
              <w:left w:val="single" w:sz="4" w:space="0" w:color="auto"/>
              <w:bottom w:val="single" w:sz="4" w:space="0" w:color="auto"/>
              <w:right w:val="nil"/>
            </w:tcBorders>
            <w:vAlign w:val="center"/>
          </w:tcPr>
          <w:p w14:paraId="149F574C"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0.51%</w:t>
            </w:r>
          </w:p>
        </w:tc>
      </w:tr>
      <w:tr w:rsidR="00C02929" w14:paraId="7244EA14"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45E6ACC4"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无形资产</w:t>
            </w:r>
          </w:p>
        </w:tc>
        <w:tc>
          <w:tcPr>
            <w:tcW w:w="709" w:type="pct"/>
            <w:tcBorders>
              <w:top w:val="single" w:sz="4" w:space="0" w:color="auto"/>
              <w:left w:val="single" w:sz="4" w:space="0" w:color="auto"/>
              <w:bottom w:val="single" w:sz="4" w:space="0" w:color="auto"/>
              <w:right w:val="single" w:sz="4" w:space="0" w:color="auto"/>
            </w:tcBorders>
            <w:vAlign w:val="center"/>
          </w:tcPr>
          <w:p w14:paraId="3D7EA768"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12,112.61</w:t>
            </w:r>
          </w:p>
        </w:tc>
        <w:tc>
          <w:tcPr>
            <w:tcW w:w="733" w:type="pct"/>
            <w:tcBorders>
              <w:top w:val="single" w:sz="4" w:space="0" w:color="auto"/>
              <w:left w:val="single" w:sz="4" w:space="0" w:color="auto"/>
              <w:bottom w:val="single" w:sz="4" w:space="0" w:color="auto"/>
              <w:right w:val="single" w:sz="4" w:space="0" w:color="auto"/>
            </w:tcBorders>
            <w:vAlign w:val="center"/>
          </w:tcPr>
          <w:p w14:paraId="3EE91035"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18,226.40</w:t>
            </w:r>
          </w:p>
        </w:tc>
        <w:tc>
          <w:tcPr>
            <w:tcW w:w="566" w:type="pct"/>
            <w:tcBorders>
              <w:top w:val="single" w:sz="4" w:space="0" w:color="auto"/>
              <w:left w:val="single" w:sz="4" w:space="0" w:color="auto"/>
              <w:bottom w:val="single" w:sz="4" w:space="0" w:color="auto"/>
              <w:right w:val="single" w:sz="4" w:space="0" w:color="auto"/>
            </w:tcBorders>
            <w:vAlign w:val="center"/>
          </w:tcPr>
          <w:p w14:paraId="0E1F896A"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color w:val="000000"/>
                <w:sz w:val="21"/>
                <w:szCs w:val="21"/>
              </w:rPr>
              <w:t>50.47%</w:t>
            </w:r>
          </w:p>
        </w:tc>
        <w:tc>
          <w:tcPr>
            <w:tcW w:w="699" w:type="pct"/>
            <w:tcBorders>
              <w:top w:val="single" w:sz="4" w:space="0" w:color="auto"/>
              <w:left w:val="single" w:sz="4" w:space="0" w:color="auto"/>
              <w:bottom w:val="single" w:sz="4" w:space="0" w:color="auto"/>
              <w:right w:val="single" w:sz="4" w:space="0" w:color="auto"/>
            </w:tcBorders>
            <w:vAlign w:val="center"/>
          </w:tcPr>
          <w:p w14:paraId="6AE757E9"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12,439.33</w:t>
            </w:r>
          </w:p>
        </w:tc>
        <w:tc>
          <w:tcPr>
            <w:tcW w:w="733" w:type="pct"/>
            <w:tcBorders>
              <w:top w:val="single" w:sz="4" w:space="0" w:color="auto"/>
              <w:left w:val="single" w:sz="4" w:space="0" w:color="auto"/>
              <w:bottom w:val="single" w:sz="4" w:space="0" w:color="auto"/>
              <w:right w:val="single" w:sz="4" w:space="0" w:color="auto"/>
            </w:tcBorders>
            <w:vAlign w:val="center"/>
          </w:tcPr>
          <w:p w14:paraId="48246C85"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19,025.37</w:t>
            </w:r>
          </w:p>
        </w:tc>
        <w:tc>
          <w:tcPr>
            <w:tcW w:w="554" w:type="pct"/>
            <w:tcBorders>
              <w:top w:val="single" w:sz="4" w:space="0" w:color="auto"/>
              <w:left w:val="single" w:sz="4" w:space="0" w:color="auto"/>
              <w:bottom w:val="single" w:sz="4" w:space="0" w:color="auto"/>
              <w:right w:val="nil"/>
            </w:tcBorders>
            <w:vAlign w:val="center"/>
          </w:tcPr>
          <w:p w14:paraId="3864134B"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52.95%</w:t>
            </w:r>
          </w:p>
        </w:tc>
      </w:tr>
      <w:tr w:rsidR="00C02929" w14:paraId="2436336A"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58D4E631"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商誉</w:t>
            </w:r>
          </w:p>
        </w:tc>
        <w:tc>
          <w:tcPr>
            <w:tcW w:w="709" w:type="pct"/>
            <w:tcBorders>
              <w:top w:val="single" w:sz="4" w:space="0" w:color="auto"/>
              <w:left w:val="single" w:sz="4" w:space="0" w:color="auto"/>
              <w:bottom w:val="single" w:sz="4" w:space="0" w:color="auto"/>
              <w:right w:val="single" w:sz="4" w:space="0" w:color="auto"/>
            </w:tcBorders>
            <w:vAlign w:val="center"/>
          </w:tcPr>
          <w:p w14:paraId="7A8FD969"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7B949BC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13,496.48</w:t>
            </w:r>
          </w:p>
        </w:tc>
        <w:tc>
          <w:tcPr>
            <w:tcW w:w="566" w:type="pct"/>
            <w:tcBorders>
              <w:top w:val="single" w:sz="4" w:space="0" w:color="auto"/>
              <w:left w:val="single" w:sz="4" w:space="0" w:color="auto"/>
              <w:bottom w:val="single" w:sz="4" w:space="0" w:color="auto"/>
              <w:right w:val="single" w:sz="4" w:space="0" w:color="auto"/>
            </w:tcBorders>
            <w:vAlign w:val="center"/>
          </w:tcPr>
          <w:p w14:paraId="0F28632E" w14:textId="77777777" w:rsidR="00C02929" w:rsidRDefault="006116D1">
            <w:pPr>
              <w:jc w:val="right"/>
              <w:rPr>
                <w:rFonts w:ascii="Times New Roman" w:hAnsi="Times New Roman" w:cs="Times New Roman"/>
                <w:sz w:val="21"/>
                <w:szCs w:val="21"/>
                <w:lang w:val="en-GB"/>
              </w:rPr>
            </w:pPr>
            <w:r>
              <w:rPr>
                <w:rFonts w:ascii="Times New Roman" w:hAnsi="Times New Roman" w:cs="Times New Roman" w:hint="eastAsia"/>
                <w:color w:val="000000"/>
                <w:sz w:val="21"/>
                <w:szCs w:val="21"/>
              </w:rPr>
              <w:t>不适用</w:t>
            </w:r>
          </w:p>
        </w:tc>
        <w:tc>
          <w:tcPr>
            <w:tcW w:w="699" w:type="pct"/>
            <w:tcBorders>
              <w:top w:val="single" w:sz="4" w:space="0" w:color="auto"/>
              <w:left w:val="single" w:sz="4" w:space="0" w:color="auto"/>
              <w:bottom w:val="single" w:sz="4" w:space="0" w:color="auto"/>
              <w:right w:val="single" w:sz="4" w:space="0" w:color="auto"/>
            </w:tcBorders>
            <w:vAlign w:val="center"/>
          </w:tcPr>
          <w:p w14:paraId="1B719F60"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w:t>
            </w:r>
          </w:p>
        </w:tc>
        <w:tc>
          <w:tcPr>
            <w:tcW w:w="733" w:type="pct"/>
            <w:tcBorders>
              <w:top w:val="single" w:sz="4" w:space="0" w:color="auto"/>
              <w:left w:val="single" w:sz="4" w:space="0" w:color="auto"/>
              <w:bottom w:val="single" w:sz="4" w:space="0" w:color="auto"/>
              <w:right w:val="single" w:sz="4" w:space="0" w:color="auto"/>
            </w:tcBorders>
            <w:vAlign w:val="center"/>
          </w:tcPr>
          <w:p w14:paraId="70FBDA2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13,496.48</w:t>
            </w:r>
          </w:p>
        </w:tc>
        <w:tc>
          <w:tcPr>
            <w:tcW w:w="554" w:type="pct"/>
            <w:tcBorders>
              <w:top w:val="single" w:sz="4" w:space="0" w:color="auto"/>
              <w:left w:val="single" w:sz="4" w:space="0" w:color="auto"/>
              <w:bottom w:val="single" w:sz="4" w:space="0" w:color="auto"/>
              <w:right w:val="nil"/>
            </w:tcBorders>
            <w:vAlign w:val="center"/>
          </w:tcPr>
          <w:p w14:paraId="08EDC1F3"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不适用</w:t>
            </w:r>
          </w:p>
        </w:tc>
      </w:tr>
      <w:tr w:rsidR="00C02929" w14:paraId="6E44778F" w14:textId="77777777">
        <w:trPr>
          <w:trHeight w:val="397"/>
          <w:jc w:val="center"/>
        </w:trPr>
        <w:tc>
          <w:tcPr>
            <w:tcW w:w="1007" w:type="pct"/>
            <w:tcBorders>
              <w:top w:val="single" w:sz="4" w:space="0" w:color="auto"/>
              <w:left w:val="nil"/>
              <w:bottom w:val="single" w:sz="4" w:space="0" w:color="auto"/>
              <w:right w:val="single" w:sz="4" w:space="0" w:color="auto"/>
            </w:tcBorders>
            <w:vAlign w:val="center"/>
          </w:tcPr>
          <w:p w14:paraId="4E5F1C75" w14:textId="77777777" w:rsidR="00C02929" w:rsidRDefault="006116D1">
            <w:pPr>
              <w:jc w:val="both"/>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非流动资产合计</w:t>
            </w:r>
          </w:p>
        </w:tc>
        <w:tc>
          <w:tcPr>
            <w:tcW w:w="709" w:type="pct"/>
            <w:tcBorders>
              <w:top w:val="single" w:sz="4" w:space="0" w:color="auto"/>
              <w:left w:val="single" w:sz="4" w:space="0" w:color="auto"/>
              <w:bottom w:val="single" w:sz="4" w:space="0" w:color="auto"/>
              <w:right w:val="single" w:sz="4" w:space="0" w:color="auto"/>
            </w:tcBorders>
            <w:vAlign w:val="center"/>
          </w:tcPr>
          <w:p w14:paraId="31D3A220"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84,620.11</w:t>
            </w:r>
          </w:p>
        </w:tc>
        <w:tc>
          <w:tcPr>
            <w:tcW w:w="733" w:type="pct"/>
            <w:tcBorders>
              <w:top w:val="single" w:sz="4" w:space="0" w:color="auto"/>
              <w:left w:val="single" w:sz="4" w:space="0" w:color="auto"/>
              <w:bottom w:val="single" w:sz="4" w:space="0" w:color="auto"/>
              <w:right w:val="single" w:sz="4" w:space="0" w:color="auto"/>
            </w:tcBorders>
            <w:vAlign w:val="center"/>
          </w:tcPr>
          <w:p w14:paraId="1EFF7580"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104,688.92</w:t>
            </w:r>
          </w:p>
        </w:tc>
        <w:tc>
          <w:tcPr>
            <w:tcW w:w="566" w:type="pct"/>
            <w:tcBorders>
              <w:top w:val="single" w:sz="4" w:space="0" w:color="auto"/>
              <w:left w:val="single" w:sz="4" w:space="0" w:color="auto"/>
              <w:bottom w:val="single" w:sz="4" w:space="0" w:color="auto"/>
              <w:right w:val="single" w:sz="4" w:space="0" w:color="auto"/>
            </w:tcBorders>
            <w:vAlign w:val="center"/>
          </w:tcPr>
          <w:p w14:paraId="494B7B1A" w14:textId="77777777" w:rsidR="00C02929" w:rsidRDefault="006116D1">
            <w:pPr>
              <w:jc w:val="right"/>
              <w:rPr>
                <w:rFonts w:ascii="Times New Roman" w:hAnsi="Times New Roman" w:cs="Times New Roman"/>
                <w:b/>
                <w:bCs/>
                <w:sz w:val="21"/>
                <w:szCs w:val="21"/>
                <w:lang w:val="en-GB"/>
              </w:rPr>
            </w:pPr>
            <w:r>
              <w:rPr>
                <w:rFonts w:ascii="Times New Roman" w:hAnsi="Times New Roman" w:cs="Times New Roman"/>
                <w:b/>
                <w:bCs/>
                <w:color w:val="000000"/>
                <w:sz w:val="21"/>
                <w:szCs w:val="21"/>
              </w:rPr>
              <w:t>23.72%</w:t>
            </w:r>
          </w:p>
        </w:tc>
        <w:tc>
          <w:tcPr>
            <w:tcW w:w="699" w:type="pct"/>
            <w:tcBorders>
              <w:top w:val="single" w:sz="4" w:space="0" w:color="auto"/>
              <w:left w:val="single" w:sz="4" w:space="0" w:color="auto"/>
              <w:bottom w:val="single" w:sz="4" w:space="0" w:color="auto"/>
              <w:right w:val="single" w:sz="4" w:space="0" w:color="auto"/>
            </w:tcBorders>
            <w:vAlign w:val="center"/>
          </w:tcPr>
          <w:p w14:paraId="6FBE78D9"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88,827.87</w:t>
            </w:r>
          </w:p>
        </w:tc>
        <w:tc>
          <w:tcPr>
            <w:tcW w:w="733" w:type="pct"/>
            <w:tcBorders>
              <w:top w:val="single" w:sz="4" w:space="0" w:color="auto"/>
              <w:left w:val="single" w:sz="4" w:space="0" w:color="auto"/>
              <w:bottom w:val="single" w:sz="4" w:space="0" w:color="auto"/>
              <w:right w:val="single" w:sz="4" w:space="0" w:color="auto"/>
            </w:tcBorders>
            <w:vAlign w:val="center"/>
          </w:tcPr>
          <w:p w14:paraId="792F05F4"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109,288.01</w:t>
            </w:r>
          </w:p>
        </w:tc>
        <w:tc>
          <w:tcPr>
            <w:tcW w:w="554" w:type="pct"/>
            <w:tcBorders>
              <w:top w:val="single" w:sz="4" w:space="0" w:color="auto"/>
              <w:left w:val="single" w:sz="4" w:space="0" w:color="auto"/>
              <w:bottom w:val="single" w:sz="4" w:space="0" w:color="auto"/>
              <w:right w:val="nil"/>
            </w:tcBorders>
            <w:vAlign w:val="center"/>
          </w:tcPr>
          <w:p w14:paraId="1C045BDA"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23.03%</w:t>
            </w:r>
          </w:p>
        </w:tc>
      </w:tr>
      <w:tr w:rsidR="00C02929" w14:paraId="0BBA89F6" w14:textId="77777777">
        <w:trPr>
          <w:trHeight w:val="397"/>
          <w:jc w:val="center"/>
        </w:trPr>
        <w:tc>
          <w:tcPr>
            <w:tcW w:w="1007" w:type="pct"/>
            <w:tcBorders>
              <w:top w:val="single" w:sz="4" w:space="0" w:color="auto"/>
              <w:left w:val="nil"/>
              <w:bottom w:val="single" w:sz="12" w:space="0" w:color="auto"/>
              <w:right w:val="single" w:sz="4" w:space="0" w:color="auto"/>
            </w:tcBorders>
            <w:vAlign w:val="center"/>
          </w:tcPr>
          <w:p w14:paraId="53ABA016"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资产总计</w:t>
            </w:r>
          </w:p>
        </w:tc>
        <w:tc>
          <w:tcPr>
            <w:tcW w:w="709" w:type="pct"/>
            <w:tcBorders>
              <w:top w:val="single" w:sz="4" w:space="0" w:color="auto"/>
              <w:left w:val="single" w:sz="4" w:space="0" w:color="auto"/>
              <w:bottom w:val="single" w:sz="12" w:space="0" w:color="auto"/>
              <w:right w:val="single" w:sz="4" w:space="0" w:color="auto"/>
            </w:tcBorders>
            <w:vAlign w:val="center"/>
          </w:tcPr>
          <w:p w14:paraId="7A293EA3"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170,543.09</w:t>
            </w:r>
          </w:p>
        </w:tc>
        <w:tc>
          <w:tcPr>
            <w:tcW w:w="733" w:type="pct"/>
            <w:tcBorders>
              <w:top w:val="single" w:sz="4" w:space="0" w:color="auto"/>
              <w:left w:val="single" w:sz="4" w:space="0" w:color="auto"/>
              <w:bottom w:val="single" w:sz="12" w:space="0" w:color="auto"/>
              <w:right w:val="single" w:sz="4" w:space="0" w:color="auto"/>
            </w:tcBorders>
            <w:vAlign w:val="center"/>
          </w:tcPr>
          <w:p w14:paraId="1B54DA78"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217,278.86</w:t>
            </w:r>
          </w:p>
        </w:tc>
        <w:tc>
          <w:tcPr>
            <w:tcW w:w="566" w:type="pct"/>
            <w:tcBorders>
              <w:top w:val="single" w:sz="4" w:space="0" w:color="auto"/>
              <w:left w:val="single" w:sz="4" w:space="0" w:color="auto"/>
              <w:bottom w:val="single" w:sz="12" w:space="0" w:color="auto"/>
              <w:right w:val="single" w:sz="4" w:space="0" w:color="auto"/>
            </w:tcBorders>
            <w:vAlign w:val="center"/>
          </w:tcPr>
          <w:p w14:paraId="214DECC3" w14:textId="77777777" w:rsidR="00C02929" w:rsidRDefault="006116D1">
            <w:pPr>
              <w:jc w:val="right"/>
              <w:rPr>
                <w:rFonts w:ascii="Times New Roman" w:hAnsi="Times New Roman" w:cs="Times New Roman"/>
                <w:b/>
                <w:bCs/>
                <w:sz w:val="21"/>
                <w:szCs w:val="21"/>
                <w:lang w:val="en-GB"/>
              </w:rPr>
            </w:pPr>
            <w:r>
              <w:rPr>
                <w:rFonts w:ascii="Times New Roman" w:hAnsi="Times New Roman" w:cs="Times New Roman"/>
                <w:b/>
                <w:bCs/>
                <w:color w:val="000000"/>
                <w:sz w:val="21"/>
                <w:szCs w:val="21"/>
              </w:rPr>
              <w:t>27.40%</w:t>
            </w:r>
          </w:p>
        </w:tc>
        <w:tc>
          <w:tcPr>
            <w:tcW w:w="699" w:type="pct"/>
            <w:tcBorders>
              <w:top w:val="single" w:sz="4" w:space="0" w:color="auto"/>
              <w:left w:val="single" w:sz="4" w:space="0" w:color="auto"/>
              <w:bottom w:val="single" w:sz="12" w:space="0" w:color="auto"/>
              <w:right w:val="single" w:sz="4" w:space="0" w:color="auto"/>
            </w:tcBorders>
            <w:vAlign w:val="center"/>
          </w:tcPr>
          <w:p w14:paraId="4580AD09"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167,083.95</w:t>
            </w:r>
          </w:p>
        </w:tc>
        <w:tc>
          <w:tcPr>
            <w:tcW w:w="733" w:type="pct"/>
            <w:tcBorders>
              <w:top w:val="single" w:sz="4" w:space="0" w:color="auto"/>
              <w:left w:val="single" w:sz="4" w:space="0" w:color="auto"/>
              <w:bottom w:val="single" w:sz="12" w:space="0" w:color="auto"/>
              <w:right w:val="single" w:sz="4" w:space="0" w:color="auto"/>
            </w:tcBorders>
            <w:vAlign w:val="center"/>
          </w:tcPr>
          <w:p w14:paraId="747B14F2"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196,684.28</w:t>
            </w:r>
          </w:p>
        </w:tc>
        <w:tc>
          <w:tcPr>
            <w:tcW w:w="554" w:type="pct"/>
            <w:tcBorders>
              <w:top w:val="single" w:sz="4" w:space="0" w:color="auto"/>
              <w:left w:val="single" w:sz="4" w:space="0" w:color="auto"/>
              <w:bottom w:val="single" w:sz="12" w:space="0" w:color="auto"/>
              <w:right w:val="nil"/>
            </w:tcBorders>
            <w:vAlign w:val="center"/>
          </w:tcPr>
          <w:p w14:paraId="30DF9096"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17.72%</w:t>
            </w:r>
          </w:p>
        </w:tc>
      </w:tr>
    </w:tbl>
    <w:p w14:paraId="0E4B501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截至</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12</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31</w:t>
      </w:r>
      <w:r>
        <w:rPr>
          <w:rFonts w:ascii="Times New Roman" w:hAnsi="Times New Roman" w:cs="Times New Roman" w:hint="eastAsia"/>
          <w:bCs/>
          <w:color w:val="000000"/>
          <w:szCs w:val="21"/>
          <w:lang w:val="en-GB"/>
        </w:rPr>
        <w:t>日，上市公司资产总额将从交易前的</w:t>
      </w:r>
      <w:r>
        <w:rPr>
          <w:rFonts w:ascii="Times New Roman" w:hAnsi="Times New Roman" w:cs="Times New Roman"/>
          <w:bCs/>
          <w:color w:val="000000"/>
          <w:szCs w:val="21"/>
          <w:lang w:val="en-GB"/>
        </w:rPr>
        <w:t>167,083.95</w:t>
      </w:r>
      <w:r>
        <w:rPr>
          <w:rFonts w:ascii="Times New Roman" w:hAnsi="Times New Roman" w:cs="Times New Roman" w:hint="eastAsia"/>
          <w:bCs/>
          <w:color w:val="000000"/>
          <w:szCs w:val="21"/>
          <w:lang w:val="en-GB"/>
        </w:rPr>
        <w:t>万元增加至交易后的</w:t>
      </w:r>
      <w:r>
        <w:rPr>
          <w:rFonts w:ascii="Times New Roman" w:hAnsi="Times New Roman" w:cs="Times New Roman"/>
          <w:bCs/>
          <w:color w:val="000000"/>
          <w:szCs w:val="21"/>
          <w:lang w:val="en-GB"/>
        </w:rPr>
        <w:t>196,684.28</w:t>
      </w:r>
      <w:r>
        <w:rPr>
          <w:rFonts w:ascii="Times New Roman" w:hAnsi="Times New Roman" w:cs="Times New Roman" w:hint="eastAsia"/>
          <w:bCs/>
          <w:color w:val="000000"/>
          <w:szCs w:val="21"/>
          <w:lang w:val="en-GB"/>
        </w:rPr>
        <w:t>万元，增幅为</w:t>
      </w:r>
      <w:r>
        <w:rPr>
          <w:rFonts w:ascii="Times New Roman" w:hAnsi="Times New Roman" w:cs="Times New Roman"/>
          <w:bCs/>
          <w:color w:val="000000"/>
          <w:szCs w:val="21"/>
          <w:lang w:val="en-GB"/>
        </w:rPr>
        <w:t>17.72%</w:t>
      </w:r>
      <w:r>
        <w:rPr>
          <w:rFonts w:ascii="Times New Roman" w:hAnsi="Times New Roman" w:cs="Times New Roman" w:hint="eastAsia"/>
          <w:bCs/>
          <w:color w:val="000000"/>
          <w:szCs w:val="21"/>
          <w:lang w:val="en-GB"/>
        </w:rPr>
        <w:t>；截至</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12</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31</w:t>
      </w:r>
      <w:r>
        <w:rPr>
          <w:rFonts w:ascii="Times New Roman" w:hAnsi="Times New Roman" w:cs="Times New Roman" w:hint="eastAsia"/>
          <w:bCs/>
          <w:color w:val="000000"/>
          <w:szCs w:val="21"/>
          <w:lang w:val="en-GB"/>
        </w:rPr>
        <w:t>日，上市公司资产总额将从交易前的</w:t>
      </w:r>
      <w:r>
        <w:rPr>
          <w:rFonts w:ascii="Times New Roman" w:hAnsi="Times New Roman" w:cs="Times New Roman"/>
          <w:bCs/>
          <w:color w:val="000000"/>
          <w:szCs w:val="21"/>
          <w:lang w:val="en-GB"/>
        </w:rPr>
        <w:t>170,543.09</w:t>
      </w:r>
      <w:r>
        <w:rPr>
          <w:rFonts w:ascii="Times New Roman" w:hAnsi="Times New Roman" w:cs="Times New Roman" w:hint="eastAsia"/>
          <w:bCs/>
          <w:color w:val="000000"/>
          <w:szCs w:val="21"/>
          <w:lang w:val="en-GB"/>
        </w:rPr>
        <w:t>万元增加至交易后的</w:t>
      </w:r>
      <w:r>
        <w:rPr>
          <w:rFonts w:ascii="Times New Roman" w:hAnsi="Times New Roman" w:cs="Times New Roman"/>
          <w:bCs/>
          <w:color w:val="000000"/>
          <w:szCs w:val="21"/>
          <w:lang w:val="en-GB"/>
        </w:rPr>
        <w:t>217,278.86</w:t>
      </w:r>
      <w:r>
        <w:rPr>
          <w:rFonts w:ascii="Times New Roman" w:hAnsi="Times New Roman" w:cs="Times New Roman" w:hint="eastAsia"/>
          <w:bCs/>
          <w:color w:val="000000"/>
          <w:szCs w:val="21"/>
          <w:lang w:val="en-GB"/>
        </w:rPr>
        <w:t>万元，增幅为</w:t>
      </w:r>
      <w:r>
        <w:rPr>
          <w:rFonts w:ascii="Times New Roman" w:hAnsi="Times New Roman" w:cs="Times New Roman"/>
          <w:bCs/>
          <w:color w:val="000000"/>
          <w:szCs w:val="21"/>
          <w:lang w:val="en-GB"/>
        </w:rPr>
        <w:t>27.40%</w:t>
      </w:r>
      <w:r>
        <w:rPr>
          <w:rFonts w:ascii="Times New Roman" w:hAnsi="Times New Roman" w:cs="Times New Roman" w:hint="eastAsia"/>
          <w:bCs/>
          <w:color w:val="000000"/>
          <w:szCs w:val="21"/>
          <w:lang w:val="en-GB"/>
        </w:rPr>
        <w:t>。其中，应收款项融资、货币资金、应收账款、预付</w:t>
      </w:r>
      <w:r>
        <w:rPr>
          <w:rFonts w:ascii="Times New Roman" w:hAnsi="Times New Roman" w:cs="Times New Roman" w:hint="eastAsia"/>
          <w:bCs/>
          <w:color w:val="000000"/>
          <w:szCs w:val="21"/>
        </w:rPr>
        <w:t>款项</w:t>
      </w:r>
      <w:r>
        <w:rPr>
          <w:rFonts w:ascii="Times New Roman" w:hAnsi="Times New Roman" w:cs="Times New Roman" w:hint="eastAsia"/>
          <w:bCs/>
          <w:color w:val="000000"/>
          <w:szCs w:val="21"/>
          <w:lang w:val="en-GB"/>
        </w:rPr>
        <w:t>、应收票据等科目较交易前有明显增加。公司资产规模得到一定程度的扩张，整体实力进一步增强。</w:t>
      </w:r>
    </w:p>
    <w:p w14:paraId="7A4BBB18"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（二）本次交易前后财务指标变动分析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505"/>
        <w:gridCol w:w="1133"/>
        <w:gridCol w:w="1701"/>
        <w:gridCol w:w="1183"/>
      </w:tblGrid>
      <w:tr w:rsidR="00C02929" w14:paraId="03FE84A2" w14:textId="77777777">
        <w:trPr>
          <w:trHeight w:val="397"/>
          <w:tblHeader/>
          <w:jc w:val="center"/>
        </w:trPr>
        <w:tc>
          <w:tcPr>
            <w:tcW w:w="2643" w:type="pct"/>
            <w:vMerge w:val="restart"/>
            <w:tcBorders>
              <w:top w:val="single" w:sz="12" w:space="0" w:color="auto"/>
              <w:left w:val="nil"/>
              <w:bottom w:val="single" w:sz="4" w:space="0" w:color="auto"/>
              <w:right w:val="single" w:sz="4" w:space="0" w:color="auto"/>
            </w:tcBorders>
            <w:vAlign w:val="center"/>
          </w:tcPr>
          <w:p w14:paraId="465591E3" w14:textId="77777777" w:rsidR="00C02929" w:rsidRDefault="006116D1">
            <w:pPr>
              <w:keepNext/>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lastRenderedPageBreak/>
              <w:t>项目</w:t>
            </w:r>
          </w:p>
        </w:tc>
        <w:tc>
          <w:tcPr>
            <w:tcW w:w="2357" w:type="pct"/>
            <w:gridSpan w:val="3"/>
            <w:tcBorders>
              <w:top w:val="single" w:sz="12" w:space="0" w:color="auto"/>
              <w:left w:val="single" w:sz="4" w:space="0" w:color="auto"/>
              <w:bottom w:val="single" w:sz="4" w:space="0" w:color="auto"/>
              <w:right w:val="nil"/>
            </w:tcBorders>
            <w:vAlign w:val="center"/>
          </w:tcPr>
          <w:p w14:paraId="5BCA8934" w14:textId="77777777" w:rsidR="00C02929" w:rsidRDefault="006116D1">
            <w:pPr>
              <w:keepNext/>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w:t>
            </w:r>
            <w:r>
              <w:rPr>
                <w:rFonts w:ascii="Times New Roman" w:hAnsi="Times New Roman" w:cs="Times New Roman"/>
                <w:b/>
                <w:color w:val="000000"/>
                <w:sz w:val="21"/>
                <w:szCs w:val="21"/>
              </w:rPr>
              <w:t>12</w:t>
            </w:r>
            <w:r>
              <w:rPr>
                <w:rFonts w:ascii="Times New Roman" w:hAnsi="Times New Roman" w:cs="Times New Roman" w:hint="eastAsia"/>
                <w:b/>
                <w:color w:val="000000"/>
                <w:sz w:val="21"/>
                <w:szCs w:val="21"/>
                <w:lang w:val="en-GB"/>
              </w:rPr>
              <w:t>月</w:t>
            </w:r>
            <w:r>
              <w:rPr>
                <w:rFonts w:ascii="Times New Roman" w:hAnsi="Times New Roman" w:cs="Times New Roman" w:hint="eastAsia"/>
                <w:b/>
                <w:color w:val="000000"/>
                <w:sz w:val="21"/>
                <w:szCs w:val="21"/>
                <w:lang w:val="en-GB"/>
              </w:rPr>
              <w:t>3</w:t>
            </w:r>
            <w:r>
              <w:rPr>
                <w:rFonts w:ascii="Times New Roman" w:hAnsi="Times New Roman" w:cs="Times New Roman"/>
                <w:b/>
                <w:color w:val="000000"/>
                <w:sz w:val="21"/>
                <w:szCs w:val="21"/>
              </w:rPr>
              <w:t>1</w:t>
            </w:r>
            <w:r>
              <w:rPr>
                <w:rFonts w:ascii="Times New Roman" w:hAnsi="Times New Roman" w:cs="Times New Roman" w:hint="eastAsia"/>
                <w:b/>
                <w:color w:val="000000"/>
                <w:sz w:val="21"/>
                <w:szCs w:val="21"/>
                <w:lang w:val="en-GB"/>
              </w:rPr>
              <w:t>日</w:t>
            </w: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w:t>
            </w:r>
            <w:r>
              <w:rPr>
                <w:rFonts w:ascii="Times New Roman" w:hAnsi="Times New Roman" w:cs="Times New Roman" w:hint="eastAsia"/>
                <w:b/>
                <w:color w:val="000000"/>
                <w:sz w:val="21"/>
                <w:szCs w:val="21"/>
              </w:rPr>
              <w:t>度</w:t>
            </w:r>
          </w:p>
        </w:tc>
      </w:tr>
      <w:tr w:rsidR="00C02929" w14:paraId="401A2CD9" w14:textId="77777777">
        <w:trPr>
          <w:trHeight w:val="397"/>
          <w:tblHeader/>
          <w:jc w:val="center"/>
        </w:trPr>
        <w:tc>
          <w:tcPr>
            <w:tcW w:w="2643" w:type="pct"/>
            <w:vMerge/>
            <w:tcBorders>
              <w:top w:val="single" w:sz="12" w:space="0" w:color="auto"/>
              <w:left w:val="nil"/>
              <w:bottom w:val="single" w:sz="4" w:space="0" w:color="auto"/>
              <w:right w:val="single" w:sz="4" w:space="0" w:color="auto"/>
            </w:tcBorders>
            <w:vAlign w:val="center"/>
          </w:tcPr>
          <w:p w14:paraId="5632EE2D" w14:textId="77777777" w:rsidR="00C02929" w:rsidRDefault="00C02929">
            <w:pPr>
              <w:jc w:val="center"/>
              <w:rPr>
                <w:rFonts w:ascii="Times New Roman" w:hAnsi="Times New Roman" w:cs="Times New Roman"/>
                <w:b/>
                <w:color w:val="000000"/>
                <w:sz w:val="21"/>
                <w:szCs w:val="21"/>
                <w:lang w:val="en-GB"/>
              </w:rPr>
            </w:pPr>
          </w:p>
        </w:tc>
        <w:tc>
          <w:tcPr>
            <w:tcW w:w="665" w:type="pct"/>
            <w:tcBorders>
              <w:top w:val="single" w:sz="4" w:space="0" w:color="auto"/>
              <w:left w:val="single" w:sz="4" w:space="0" w:color="auto"/>
              <w:bottom w:val="single" w:sz="4" w:space="0" w:color="auto"/>
              <w:right w:val="single" w:sz="4" w:space="0" w:color="auto"/>
            </w:tcBorders>
            <w:vAlign w:val="center"/>
          </w:tcPr>
          <w:p w14:paraId="7AE81E71"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998" w:type="pct"/>
            <w:tcBorders>
              <w:top w:val="single" w:sz="4" w:space="0" w:color="auto"/>
              <w:left w:val="single" w:sz="4" w:space="0" w:color="auto"/>
              <w:bottom w:val="single" w:sz="4" w:space="0" w:color="auto"/>
              <w:right w:val="single" w:sz="4" w:space="0" w:color="auto"/>
            </w:tcBorders>
            <w:vAlign w:val="center"/>
          </w:tcPr>
          <w:p w14:paraId="35E4DD0C"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2800E2E9"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695" w:type="pct"/>
            <w:tcBorders>
              <w:top w:val="single" w:sz="4" w:space="0" w:color="auto"/>
              <w:left w:val="single" w:sz="4" w:space="0" w:color="auto"/>
              <w:bottom w:val="single" w:sz="4" w:space="0" w:color="auto"/>
              <w:right w:val="nil"/>
            </w:tcBorders>
            <w:vAlign w:val="center"/>
          </w:tcPr>
          <w:p w14:paraId="450DDE69"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r>
      <w:tr w:rsidR="00C02929" w14:paraId="1A49C234"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47375E58"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净利率</w:t>
            </w:r>
          </w:p>
        </w:tc>
        <w:tc>
          <w:tcPr>
            <w:tcW w:w="665" w:type="pct"/>
            <w:tcBorders>
              <w:top w:val="single" w:sz="4" w:space="0" w:color="auto"/>
              <w:left w:val="single" w:sz="4" w:space="0" w:color="auto"/>
              <w:bottom w:val="single" w:sz="4" w:space="0" w:color="auto"/>
              <w:right w:val="single" w:sz="4" w:space="0" w:color="auto"/>
            </w:tcBorders>
            <w:vAlign w:val="center"/>
          </w:tcPr>
          <w:p w14:paraId="322B23D2"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10.97%</w:t>
            </w:r>
          </w:p>
        </w:tc>
        <w:tc>
          <w:tcPr>
            <w:tcW w:w="998" w:type="pct"/>
            <w:tcBorders>
              <w:top w:val="single" w:sz="4" w:space="0" w:color="auto"/>
              <w:left w:val="single" w:sz="4" w:space="0" w:color="auto"/>
              <w:bottom w:val="single" w:sz="4" w:space="0" w:color="auto"/>
              <w:right w:val="single" w:sz="4" w:space="0" w:color="auto"/>
            </w:tcBorders>
            <w:vAlign w:val="center"/>
          </w:tcPr>
          <w:p w14:paraId="3C09FE90"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11.70%</w:t>
            </w:r>
          </w:p>
        </w:tc>
        <w:tc>
          <w:tcPr>
            <w:tcW w:w="695" w:type="pct"/>
            <w:tcBorders>
              <w:top w:val="single" w:sz="4" w:space="0" w:color="auto"/>
              <w:left w:val="single" w:sz="4" w:space="0" w:color="auto"/>
              <w:bottom w:val="single" w:sz="4" w:space="0" w:color="auto"/>
              <w:right w:val="nil"/>
            </w:tcBorders>
            <w:vAlign w:val="center"/>
          </w:tcPr>
          <w:p w14:paraId="6677BAE5" w14:textId="77777777" w:rsidR="00C02929" w:rsidRDefault="006116D1">
            <w:pPr>
              <w:jc w:val="right"/>
              <w:rPr>
                <w:rFonts w:ascii="Times New Roman" w:eastAsia="等线" w:hAnsi="Times New Roman" w:cs="Times New Roman"/>
                <w:sz w:val="21"/>
                <w:szCs w:val="21"/>
              </w:rPr>
            </w:pPr>
            <w:r>
              <w:rPr>
                <w:rFonts w:ascii="Times New Roman" w:eastAsia="等线" w:hAnsi="Times New Roman" w:cs="Times New Roman"/>
                <w:sz w:val="21"/>
                <w:szCs w:val="21"/>
              </w:rPr>
              <w:t>0.73</w:t>
            </w:r>
            <w:r>
              <w:rPr>
                <w:rFonts w:ascii="Times New Roman" w:eastAsia="等线" w:hAnsi="Times New Roman" w:cs="Times New Roman" w:hint="eastAsia"/>
                <w:sz w:val="21"/>
                <w:szCs w:val="21"/>
              </w:rPr>
              <w:t>%</w:t>
            </w:r>
          </w:p>
        </w:tc>
      </w:tr>
      <w:tr w:rsidR="00C02929" w14:paraId="6171DDF4"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1AAC04A8"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基本每股收益（元</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股）</w:t>
            </w:r>
          </w:p>
        </w:tc>
        <w:tc>
          <w:tcPr>
            <w:tcW w:w="665" w:type="pct"/>
            <w:tcBorders>
              <w:top w:val="single" w:sz="4" w:space="0" w:color="auto"/>
              <w:left w:val="single" w:sz="4" w:space="0" w:color="auto"/>
              <w:bottom w:val="single" w:sz="4" w:space="0" w:color="auto"/>
              <w:right w:val="single" w:sz="4" w:space="0" w:color="auto"/>
            </w:tcBorders>
            <w:vAlign w:val="center"/>
          </w:tcPr>
          <w:p w14:paraId="543B6A9C"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0.34</w:t>
            </w:r>
          </w:p>
        </w:tc>
        <w:tc>
          <w:tcPr>
            <w:tcW w:w="998" w:type="pct"/>
            <w:tcBorders>
              <w:top w:val="single" w:sz="4" w:space="0" w:color="auto"/>
              <w:left w:val="single" w:sz="4" w:space="0" w:color="auto"/>
              <w:bottom w:val="single" w:sz="4" w:space="0" w:color="auto"/>
              <w:right w:val="single" w:sz="4" w:space="0" w:color="auto"/>
            </w:tcBorders>
            <w:vAlign w:val="center"/>
          </w:tcPr>
          <w:p w14:paraId="0675CAC0"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0.35</w:t>
            </w:r>
          </w:p>
        </w:tc>
        <w:tc>
          <w:tcPr>
            <w:tcW w:w="695" w:type="pct"/>
            <w:tcBorders>
              <w:top w:val="single" w:sz="4" w:space="0" w:color="auto"/>
              <w:left w:val="single" w:sz="4" w:space="0" w:color="auto"/>
              <w:bottom w:val="single" w:sz="4" w:space="0" w:color="auto"/>
              <w:right w:val="nil"/>
            </w:tcBorders>
            <w:vAlign w:val="center"/>
          </w:tcPr>
          <w:p w14:paraId="6FEFE6B0" w14:textId="77777777" w:rsidR="00C02929" w:rsidRDefault="006116D1">
            <w:pPr>
              <w:jc w:val="right"/>
              <w:rPr>
                <w:rFonts w:ascii="Times New Roman" w:eastAsia="等线" w:hAnsi="Times New Roman" w:cs="Times New Roman"/>
                <w:sz w:val="21"/>
                <w:szCs w:val="21"/>
              </w:rPr>
            </w:pPr>
            <w:r>
              <w:rPr>
                <w:rFonts w:ascii="Times New Roman" w:eastAsia="等线" w:hAnsi="Times New Roman" w:cs="Times New Roman"/>
                <w:sz w:val="21"/>
                <w:szCs w:val="21"/>
              </w:rPr>
              <w:t>2.57%</w:t>
            </w:r>
          </w:p>
        </w:tc>
      </w:tr>
      <w:tr w:rsidR="00C02929" w14:paraId="2F883FE9"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685CC8C2"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扣除非经常性损益后的加权平均净资产收益率</w:t>
            </w:r>
          </w:p>
        </w:tc>
        <w:tc>
          <w:tcPr>
            <w:tcW w:w="665" w:type="pct"/>
            <w:tcBorders>
              <w:top w:val="single" w:sz="4" w:space="0" w:color="auto"/>
              <w:left w:val="single" w:sz="4" w:space="0" w:color="auto"/>
              <w:bottom w:val="single" w:sz="4" w:space="0" w:color="auto"/>
              <w:right w:val="single" w:sz="4" w:space="0" w:color="auto"/>
            </w:tcBorders>
            <w:vAlign w:val="center"/>
          </w:tcPr>
          <w:p w14:paraId="4A8EA2A0"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-24.64%</w:t>
            </w:r>
          </w:p>
        </w:tc>
        <w:tc>
          <w:tcPr>
            <w:tcW w:w="998" w:type="pct"/>
            <w:tcBorders>
              <w:top w:val="single" w:sz="4" w:space="0" w:color="auto"/>
              <w:left w:val="single" w:sz="4" w:space="0" w:color="auto"/>
              <w:bottom w:val="single" w:sz="4" w:space="0" w:color="auto"/>
              <w:right w:val="single" w:sz="4" w:space="0" w:color="auto"/>
            </w:tcBorders>
            <w:vAlign w:val="center"/>
          </w:tcPr>
          <w:p w14:paraId="5D01C065"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-16.19%</w:t>
            </w:r>
          </w:p>
        </w:tc>
        <w:tc>
          <w:tcPr>
            <w:tcW w:w="695" w:type="pct"/>
            <w:tcBorders>
              <w:top w:val="single" w:sz="4" w:space="0" w:color="auto"/>
              <w:left w:val="single" w:sz="4" w:space="0" w:color="auto"/>
              <w:bottom w:val="single" w:sz="4" w:space="0" w:color="auto"/>
              <w:right w:val="nil"/>
            </w:tcBorders>
            <w:vAlign w:val="center"/>
          </w:tcPr>
          <w:p w14:paraId="273ECE97" w14:textId="77777777" w:rsidR="00C02929" w:rsidRDefault="006116D1">
            <w:pPr>
              <w:jc w:val="right"/>
              <w:rPr>
                <w:rFonts w:ascii="Times New Roman" w:eastAsia="等线" w:hAnsi="Times New Roman" w:cs="Times New Roman"/>
                <w:sz w:val="21"/>
                <w:szCs w:val="21"/>
              </w:rPr>
            </w:pPr>
            <w:r>
              <w:rPr>
                <w:rFonts w:ascii="Times New Roman" w:eastAsia="等线" w:hAnsi="Times New Roman" w:cs="Times New Roman"/>
                <w:sz w:val="21"/>
                <w:szCs w:val="21"/>
              </w:rPr>
              <w:t>8.45</w:t>
            </w:r>
            <w:r>
              <w:rPr>
                <w:rFonts w:ascii="Times New Roman" w:eastAsia="等线" w:hAnsi="Times New Roman" w:cs="Times New Roman" w:hint="eastAsia"/>
                <w:sz w:val="21"/>
                <w:szCs w:val="21"/>
              </w:rPr>
              <w:t>%</w:t>
            </w:r>
          </w:p>
        </w:tc>
      </w:tr>
      <w:tr w:rsidR="00C02929" w14:paraId="2B52D6C1"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1908AB4F"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资产负债率</w:t>
            </w:r>
          </w:p>
        </w:tc>
        <w:tc>
          <w:tcPr>
            <w:tcW w:w="665" w:type="pct"/>
            <w:tcBorders>
              <w:top w:val="single" w:sz="4" w:space="0" w:color="auto"/>
              <w:left w:val="single" w:sz="4" w:space="0" w:color="auto"/>
              <w:bottom w:val="single" w:sz="4" w:space="0" w:color="auto"/>
              <w:right w:val="single" w:sz="4" w:space="0" w:color="auto"/>
            </w:tcBorders>
            <w:vAlign w:val="center"/>
          </w:tcPr>
          <w:p w14:paraId="7CA0AB1F"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41.27%</w:t>
            </w:r>
          </w:p>
        </w:tc>
        <w:tc>
          <w:tcPr>
            <w:tcW w:w="998" w:type="pct"/>
            <w:tcBorders>
              <w:top w:val="single" w:sz="4" w:space="0" w:color="auto"/>
              <w:left w:val="single" w:sz="4" w:space="0" w:color="auto"/>
              <w:bottom w:val="single" w:sz="4" w:space="0" w:color="auto"/>
              <w:right w:val="single" w:sz="4" w:space="0" w:color="auto"/>
            </w:tcBorders>
            <w:vAlign w:val="center"/>
          </w:tcPr>
          <w:p w14:paraId="3AD1B1A8"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45.30%</w:t>
            </w:r>
          </w:p>
        </w:tc>
        <w:tc>
          <w:tcPr>
            <w:tcW w:w="695" w:type="pct"/>
            <w:tcBorders>
              <w:top w:val="single" w:sz="4" w:space="0" w:color="auto"/>
              <w:left w:val="single" w:sz="4" w:space="0" w:color="auto"/>
              <w:bottom w:val="single" w:sz="4" w:space="0" w:color="auto"/>
              <w:right w:val="nil"/>
            </w:tcBorders>
            <w:vAlign w:val="center"/>
          </w:tcPr>
          <w:p w14:paraId="19995B5E" w14:textId="77777777" w:rsidR="00C02929" w:rsidRDefault="006116D1">
            <w:pPr>
              <w:jc w:val="right"/>
              <w:rPr>
                <w:rFonts w:ascii="Times New Roman" w:eastAsia="等线" w:hAnsi="Times New Roman" w:cs="Times New Roman"/>
                <w:sz w:val="21"/>
                <w:szCs w:val="21"/>
              </w:rPr>
            </w:pPr>
            <w:r>
              <w:rPr>
                <w:rFonts w:ascii="Times New Roman" w:eastAsia="等线" w:hAnsi="Times New Roman" w:cs="Times New Roman"/>
                <w:sz w:val="21"/>
                <w:szCs w:val="21"/>
              </w:rPr>
              <w:t>4.03%</w:t>
            </w:r>
          </w:p>
        </w:tc>
      </w:tr>
      <w:tr w:rsidR="00C02929" w14:paraId="1AEA5858"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24056708"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应收账款周转率（次</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年）</w:t>
            </w:r>
          </w:p>
        </w:tc>
        <w:tc>
          <w:tcPr>
            <w:tcW w:w="665" w:type="pct"/>
            <w:tcBorders>
              <w:top w:val="single" w:sz="4" w:space="0" w:color="auto"/>
              <w:left w:val="single" w:sz="4" w:space="0" w:color="auto"/>
              <w:bottom w:val="single" w:sz="4" w:space="0" w:color="auto"/>
              <w:right w:val="single" w:sz="4" w:space="0" w:color="auto"/>
            </w:tcBorders>
            <w:vAlign w:val="center"/>
          </w:tcPr>
          <w:p w14:paraId="7E4E6B3B"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5.70</w:t>
            </w:r>
          </w:p>
        </w:tc>
        <w:tc>
          <w:tcPr>
            <w:tcW w:w="998" w:type="pct"/>
            <w:tcBorders>
              <w:top w:val="single" w:sz="4" w:space="0" w:color="auto"/>
              <w:left w:val="single" w:sz="4" w:space="0" w:color="auto"/>
              <w:bottom w:val="single" w:sz="4" w:space="0" w:color="auto"/>
              <w:right w:val="single" w:sz="4" w:space="0" w:color="auto"/>
            </w:tcBorders>
            <w:vAlign w:val="center"/>
          </w:tcPr>
          <w:p w14:paraId="2174A1A8"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5.38</w:t>
            </w:r>
          </w:p>
        </w:tc>
        <w:tc>
          <w:tcPr>
            <w:tcW w:w="695" w:type="pct"/>
            <w:tcBorders>
              <w:top w:val="single" w:sz="4" w:space="0" w:color="auto"/>
              <w:left w:val="single" w:sz="4" w:space="0" w:color="auto"/>
              <w:bottom w:val="single" w:sz="4" w:space="0" w:color="auto"/>
              <w:right w:val="nil"/>
            </w:tcBorders>
            <w:vAlign w:val="center"/>
          </w:tcPr>
          <w:p w14:paraId="126A812D" w14:textId="77777777" w:rsidR="00C02929" w:rsidRDefault="006116D1">
            <w:pPr>
              <w:jc w:val="right"/>
              <w:rPr>
                <w:rFonts w:ascii="Times New Roman" w:eastAsia="等线" w:hAnsi="Times New Roman" w:cs="Times New Roman"/>
                <w:sz w:val="21"/>
                <w:szCs w:val="21"/>
              </w:rPr>
            </w:pPr>
            <w:r>
              <w:rPr>
                <w:rFonts w:ascii="Times New Roman" w:hAnsi="Times New Roman" w:cs="Times New Roman"/>
                <w:color w:val="000000"/>
                <w:sz w:val="21"/>
                <w:szCs w:val="21"/>
              </w:rPr>
              <w:t>-5.61%</w:t>
            </w:r>
          </w:p>
        </w:tc>
      </w:tr>
      <w:tr w:rsidR="00C02929" w14:paraId="6B4F1376" w14:textId="77777777">
        <w:trPr>
          <w:trHeight w:val="397"/>
          <w:jc w:val="center"/>
        </w:trPr>
        <w:tc>
          <w:tcPr>
            <w:tcW w:w="2643" w:type="pct"/>
            <w:tcBorders>
              <w:top w:val="single" w:sz="4" w:space="0" w:color="auto"/>
              <w:left w:val="nil"/>
              <w:bottom w:val="single" w:sz="4" w:space="0" w:color="auto"/>
              <w:right w:val="single" w:sz="4" w:space="0" w:color="auto"/>
            </w:tcBorders>
            <w:vAlign w:val="center"/>
          </w:tcPr>
          <w:p w14:paraId="2B4BD5E7"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存货周转率（次</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年）</w:t>
            </w:r>
          </w:p>
        </w:tc>
        <w:tc>
          <w:tcPr>
            <w:tcW w:w="665" w:type="pct"/>
            <w:tcBorders>
              <w:top w:val="single" w:sz="4" w:space="0" w:color="auto"/>
              <w:left w:val="single" w:sz="4" w:space="0" w:color="auto"/>
              <w:bottom w:val="single" w:sz="4" w:space="0" w:color="auto"/>
              <w:right w:val="single" w:sz="4" w:space="0" w:color="auto"/>
            </w:tcBorders>
            <w:vAlign w:val="center"/>
          </w:tcPr>
          <w:p w14:paraId="1759BFA9"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3.30</w:t>
            </w:r>
          </w:p>
        </w:tc>
        <w:tc>
          <w:tcPr>
            <w:tcW w:w="998" w:type="pct"/>
            <w:tcBorders>
              <w:top w:val="single" w:sz="4" w:space="0" w:color="auto"/>
              <w:left w:val="single" w:sz="4" w:space="0" w:color="auto"/>
              <w:bottom w:val="single" w:sz="4" w:space="0" w:color="auto"/>
              <w:right w:val="single" w:sz="4" w:space="0" w:color="auto"/>
            </w:tcBorders>
            <w:vAlign w:val="center"/>
          </w:tcPr>
          <w:p w14:paraId="691A6778"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3.24</w:t>
            </w:r>
          </w:p>
        </w:tc>
        <w:tc>
          <w:tcPr>
            <w:tcW w:w="695" w:type="pct"/>
            <w:tcBorders>
              <w:top w:val="single" w:sz="4" w:space="0" w:color="auto"/>
              <w:left w:val="single" w:sz="4" w:space="0" w:color="auto"/>
              <w:bottom w:val="single" w:sz="4" w:space="0" w:color="auto"/>
              <w:right w:val="nil"/>
            </w:tcBorders>
            <w:vAlign w:val="center"/>
          </w:tcPr>
          <w:p w14:paraId="350065D3" w14:textId="77777777" w:rsidR="00C02929" w:rsidRDefault="006116D1">
            <w:pPr>
              <w:jc w:val="right"/>
              <w:rPr>
                <w:rFonts w:ascii="Times New Roman" w:eastAsia="等线" w:hAnsi="Times New Roman" w:cs="Times New Roman"/>
                <w:sz w:val="21"/>
                <w:szCs w:val="21"/>
              </w:rPr>
            </w:pPr>
            <w:r>
              <w:rPr>
                <w:rFonts w:ascii="Times New Roman" w:hAnsi="Times New Roman" w:cs="Times New Roman"/>
                <w:color w:val="000000"/>
                <w:sz w:val="21"/>
                <w:szCs w:val="21"/>
              </w:rPr>
              <w:t>-1.88%</w:t>
            </w:r>
          </w:p>
        </w:tc>
      </w:tr>
      <w:tr w:rsidR="00C02929" w14:paraId="64511028" w14:textId="77777777">
        <w:trPr>
          <w:trHeight w:val="397"/>
          <w:jc w:val="center"/>
        </w:trPr>
        <w:tc>
          <w:tcPr>
            <w:tcW w:w="2643" w:type="pct"/>
            <w:tcBorders>
              <w:top w:val="single" w:sz="4" w:space="0" w:color="auto"/>
              <w:left w:val="nil"/>
              <w:bottom w:val="single" w:sz="12" w:space="0" w:color="auto"/>
              <w:right w:val="single" w:sz="4" w:space="0" w:color="auto"/>
            </w:tcBorders>
            <w:vAlign w:val="center"/>
          </w:tcPr>
          <w:p w14:paraId="53AA7E77"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总资产周转率（次</w:t>
            </w:r>
            <w:r>
              <w:rPr>
                <w:rFonts w:ascii="Times New Roman" w:hAnsi="Times New Roman" w:cs="Times New Roman" w:hint="eastAsia"/>
                <w:color w:val="000000"/>
                <w:sz w:val="21"/>
                <w:szCs w:val="21"/>
                <w:lang w:val="en-GB"/>
              </w:rPr>
              <w:t>/</w:t>
            </w:r>
            <w:r>
              <w:rPr>
                <w:rFonts w:ascii="Times New Roman" w:hAnsi="Times New Roman" w:cs="Times New Roman" w:hint="eastAsia"/>
                <w:color w:val="000000"/>
                <w:sz w:val="21"/>
                <w:szCs w:val="21"/>
                <w:lang w:val="en-GB"/>
              </w:rPr>
              <w:t>年）</w:t>
            </w:r>
          </w:p>
        </w:tc>
        <w:tc>
          <w:tcPr>
            <w:tcW w:w="665" w:type="pct"/>
            <w:tcBorders>
              <w:top w:val="single" w:sz="4" w:space="0" w:color="auto"/>
              <w:left w:val="single" w:sz="4" w:space="0" w:color="auto"/>
              <w:bottom w:val="single" w:sz="12" w:space="0" w:color="auto"/>
              <w:right w:val="single" w:sz="4" w:space="0" w:color="auto"/>
            </w:tcBorders>
            <w:vAlign w:val="center"/>
          </w:tcPr>
          <w:p w14:paraId="4EC28AF3"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0.64</w:t>
            </w:r>
          </w:p>
        </w:tc>
        <w:tc>
          <w:tcPr>
            <w:tcW w:w="998" w:type="pct"/>
            <w:tcBorders>
              <w:top w:val="single" w:sz="4" w:space="0" w:color="auto"/>
              <w:left w:val="single" w:sz="4" w:space="0" w:color="auto"/>
              <w:bottom w:val="single" w:sz="12" w:space="0" w:color="auto"/>
              <w:right w:val="single" w:sz="4" w:space="0" w:color="auto"/>
            </w:tcBorders>
            <w:vAlign w:val="center"/>
          </w:tcPr>
          <w:p w14:paraId="18595F73"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0.60</w:t>
            </w:r>
          </w:p>
        </w:tc>
        <w:tc>
          <w:tcPr>
            <w:tcW w:w="695" w:type="pct"/>
            <w:tcBorders>
              <w:top w:val="single" w:sz="4" w:space="0" w:color="auto"/>
              <w:left w:val="single" w:sz="4" w:space="0" w:color="auto"/>
              <w:bottom w:val="single" w:sz="12" w:space="0" w:color="auto"/>
              <w:right w:val="nil"/>
            </w:tcBorders>
            <w:vAlign w:val="center"/>
          </w:tcPr>
          <w:p w14:paraId="37AF8A15" w14:textId="77777777" w:rsidR="00C02929" w:rsidRDefault="006116D1">
            <w:pPr>
              <w:jc w:val="right"/>
              <w:rPr>
                <w:rFonts w:ascii="Times New Roman" w:eastAsia="等线" w:hAnsi="Times New Roman" w:cs="Times New Roman"/>
                <w:sz w:val="21"/>
                <w:szCs w:val="21"/>
              </w:rPr>
            </w:pPr>
            <w:r>
              <w:rPr>
                <w:rFonts w:ascii="Times New Roman" w:hAnsi="Times New Roman" w:cs="Times New Roman" w:hint="eastAsia"/>
                <w:color w:val="000000"/>
                <w:sz w:val="21"/>
                <w:szCs w:val="21"/>
              </w:rPr>
              <w:t>-7.16%</w:t>
            </w:r>
          </w:p>
        </w:tc>
      </w:tr>
    </w:tbl>
    <w:p w14:paraId="14E5C825"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本次交易完成后，上市公司扣除非经常性损益后的加权平均净资产收益率有所改善，净利率有所提高。本次交易完成后，上市公司基本每股收益等盈利指标较交易前有所提高，有利于提升上市公司资产质量、改善财务状况。</w:t>
      </w:r>
    </w:p>
    <w:p w14:paraId="4E3BDF59"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三、本次收购有利于上市公司推动智能制造和信息化建设</w:t>
      </w:r>
    </w:p>
    <w:p w14:paraId="69F4441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目标包括推动智能制造和信息化建设，针对现有生产线流程不合理、自动化水平低、生产线减员困难的问题，积极对接资源，统筹抓好各生产单位生产线智能化、数字化升级工作，并实现产品生产制造可追溯、产品成本归集更加精准、提高生产效率提升人均产值的三大目标。此外，上市公司计划积极巩固“展</w:t>
      </w:r>
      <w:r>
        <w:rPr>
          <w:rFonts w:ascii="Times New Roman" w:hAnsi="Times New Roman" w:cs="Times New Roman" w:hint="eastAsia"/>
          <w:bCs/>
          <w:color w:val="000000"/>
          <w:szCs w:val="21"/>
        </w:rPr>
        <w:t>e</w:t>
      </w:r>
      <w:r>
        <w:rPr>
          <w:rFonts w:ascii="Times New Roman" w:hAnsi="Times New Roman" w:cs="Times New Roman" w:hint="eastAsia"/>
          <w:bCs/>
          <w:color w:val="000000"/>
          <w:szCs w:val="21"/>
        </w:rPr>
        <w:t>计划”实施成果，提高企业网络化、信息化安全与应用水平，打破信息化孤岛，采用单域架构，将各子公司信息化集中管理。</w:t>
      </w:r>
    </w:p>
    <w:p w14:paraId="5AE5936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以企业信息化技术为驱动核心，以定制化智能制造装备为基础，为客户提供工业自动化、数字化、网络化、智能化的端到端、一站式产品和服务，包含工厂前期的整体规划、项目实施、交付验收、后续服务等各个阶段，其业务涉及智能制造领域的全周期、全过程。</w:t>
      </w:r>
    </w:p>
    <w:p w14:paraId="3455B1B6"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在生产线智能制造解决方案各个层面，均有自己的产品及其相关的集成应用。作为工业自动化和智能制造领域的高新技术企业，北洋天青是国内早期进行“智能制造全集成”布局的企业之一。北洋天青形成的工业机器人本体及系统集成、智能制造装备、机器视觉、测试系统集成、模具立体库自动换模系统、物流悬挂输送系统和企业信息化七大产品线业务板块，覆盖企业智能制造的主要</w:t>
      </w:r>
      <w:r>
        <w:rPr>
          <w:rFonts w:ascii="Times New Roman" w:hAnsi="Times New Roman" w:cs="Times New Roman" w:hint="eastAsia"/>
          <w:bCs/>
          <w:color w:val="000000"/>
          <w:szCs w:val="21"/>
        </w:rPr>
        <w:lastRenderedPageBreak/>
        <w:t>核心板块，加之北洋天青自身具备智能设备设计开发能力，通过依托自身的综合集成能力，是国内能全方位为企业提供自动化、网络化、数字化的智能制造整体解决方案和产品服务的智能制造运营商之一。北洋天青的技术已涉及数字工厂建设的全过程，不仅能为客户提供智能化数字化工厂的整体解决方案，还能提供全集成的自动化设备、数字化工艺、智能化监管、智能排产、质量追溯、以及产品的准时生产。</w:t>
      </w:r>
    </w:p>
    <w:p w14:paraId="568F6949" w14:textId="77ECF842"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智能制造基础层，北洋天青拥有完备的自动化专机和生产线设计、制造能力，在具体业务层面体现如下：在智能制造装备业务层，北洋天青能够为客户提供专业的自动化物流及智能制造装备；在设备控制层，北洋天青拥有</w:t>
      </w:r>
      <w:r>
        <w:rPr>
          <w:rFonts w:ascii="Times New Roman" w:hAnsi="Times New Roman" w:cs="Times New Roman" w:hint="eastAsia"/>
          <w:bCs/>
          <w:color w:val="000000"/>
          <w:szCs w:val="21"/>
        </w:rPr>
        <w:t>PLC</w:t>
      </w:r>
      <w:r>
        <w:rPr>
          <w:rFonts w:ascii="Times New Roman" w:hAnsi="Times New Roman" w:cs="Times New Roman" w:hint="eastAsia"/>
          <w:bCs/>
          <w:color w:val="000000"/>
          <w:szCs w:val="21"/>
        </w:rPr>
        <w:t>以及各类机器人应用控制等控制程序的开发能力，自主开发的</w:t>
      </w:r>
      <w:r>
        <w:rPr>
          <w:rFonts w:ascii="Times New Roman" w:hAnsi="Times New Roman" w:cs="Times New Roman" w:hint="eastAsia"/>
          <w:bCs/>
          <w:color w:val="000000"/>
          <w:szCs w:val="21"/>
        </w:rPr>
        <w:t>SCADA</w:t>
      </w:r>
      <w:r>
        <w:rPr>
          <w:rFonts w:ascii="Times New Roman" w:hAnsi="Times New Roman" w:cs="Times New Roman" w:hint="eastAsia"/>
          <w:bCs/>
          <w:color w:val="000000"/>
          <w:szCs w:val="21"/>
        </w:rPr>
        <w:t>等数据采集软件，打通信息孤岛，做到设备控制层数据的互联互通；在企业信息化板块，北洋天青已有多年的技术积累，已形成自主的信息化工业软件系统，包括</w:t>
      </w:r>
      <w:r>
        <w:rPr>
          <w:rFonts w:ascii="Times New Roman" w:hAnsi="Times New Roman" w:cs="Times New Roman" w:hint="eastAsia"/>
          <w:bCs/>
          <w:color w:val="000000"/>
          <w:szCs w:val="21"/>
        </w:rPr>
        <w:t>APS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MES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SCADA</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WMS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WCS</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RFS</w:t>
      </w:r>
      <w:r>
        <w:rPr>
          <w:rFonts w:ascii="Times New Roman" w:hAnsi="Times New Roman" w:cs="Times New Roman" w:hint="eastAsia"/>
          <w:bCs/>
          <w:color w:val="000000"/>
          <w:szCs w:val="21"/>
        </w:rPr>
        <w:t>等系统。截至本核查意见出具日，标的公司已获得实用新型专利</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项，发明专利</w:t>
      </w: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项，计算机软件著作权</w:t>
      </w:r>
      <w:r>
        <w:rPr>
          <w:rFonts w:ascii="Times New Roman" w:hAnsi="Times New Roman" w:cs="Times New Roman" w:hint="eastAsia"/>
          <w:bCs/>
          <w:color w:val="000000"/>
          <w:szCs w:val="21"/>
        </w:rPr>
        <w:t>8</w:t>
      </w:r>
      <w:r>
        <w:rPr>
          <w:rFonts w:ascii="Times New Roman" w:hAnsi="Times New Roman" w:cs="Times New Roman" w:hint="eastAsia"/>
          <w:bCs/>
          <w:color w:val="000000"/>
          <w:szCs w:val="21"/>
        </w:rPr>
        <w:t>项，同时有</w:t>
      </w:r>
      <w:r>
        <w:rPr>
          <w:rFonts w:ascii="Times New Roman" w:hAnsi="Times New Roman" w:cs="Times New Roman" w:hint="eastAsia"/>
          <w:bCs/>
          <w:color w:val="000000"/>
          <w:szCs w:val="21"/>
        </w:rPr>
        <w:t>2</w:t>
      </w:r>
      <w:r>
        <w:rPr>
          <w:rFonts w:ascii="Times New Roman" w:hAnsi="Times New Roman" w:cs="Times New Roman"/>
          <w:bCs/>
          <w:color w:val="000000"/>
          <w:szCs w:val="21"/>
        </w:rPr>
        <w:t>0</w:t>
      </w:r>
      <w:r>
        <w:rPr>
          <w:rFonts w:ascii="Times New Roman" w:hAnsi="Times New Roman" w:cs="Times New Roman" w:hint="eastAsia"/>
          <w:bCs/>
          <w:color w:val="000000"/>
          <w:szCs w:val="21"/>
        </w:rPr>
        <w:t>项专利已获得受理通知书。</w:t>
      </w:r>
    </w:p>
    <w:p w14:paraId="394F3A5C" w14:textId="77777777" w:rsidR="004D6D04" w:rsidRDefault="006116D1" w:rsidP="004D6D04">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深耕家电行业，积极拓展技术应用，拥有较强的技术优势，首创物流悬挂输送系统技术、模具立体库自动换模系统技术以及自动上压板机技术三大技术，具有一定的技术壁垒。北洋天青持续进行与三项首创技术相关的专利及软件著作权申请，</w:t>
      </w:r>
      <w:r w:rsidR="004D6D04">
        <w:rPr>
          <w:rFonts w:ascii="Times New Roman" w:hAnsi="Times New Roman" w:cs="Times New Roman" w:hint="eastAsia"/>
          <w:bCs/>
          <w:color w:val="000000"/>
          <w:szCs w:val="21"/>
        </w:rPr>
        <w:t>具体情况如下表所示：</w:t>
      </w:r>
    </w:p>
    <w:tbl>
      <w:tblPr>
        <w:tblW w:w="5000" w:type="pct"/>
        <w:jc w:val="center"/>
        <w:tblBorders>
          <w:top w:val="single" w:sz="12" w:space="0" w:color="auto"/>
          <w:bottom w:val="single" w:sz="12" w:space="0" w:color="auto"/>
          <w:insideH w:val="single" w:sz="4" w:space="0" w:color="000000"/>
          <w:insideV w:val="single" w:sz="4" w:space="0" w:color="000000"/>
        </w:tblBorders>
        <w:tblLayout w:type="fixed"/>
        <w:tblLook w:val="04A0" w:firstRow="1" w:lastRow="0" w:firstColumn="1" w:lastColumn="0" w:noHBand="0" w:noVBand="1"/>
      </w:tblPr>
      <w:tblGrid>
        <w:gridCol w:w="566"/>
        <w:gridCol w:w="1525"/>
        <w:gridCol w:w="1396"/>
        <w:gridCol w:w="1164"/>
        <w:gridCol w:w="728"/>
        <w:gridCol w:w="874"/>
        <w:gridCol w:w="873"/>
        <w:gridCol w:w="1396"/>
      </w:tblGrid>
      <w:tr w:rsidR="004D6D04" w14:paraId="6478C451" w14:textId="77777777" w:rsidTr="00403479">
        <w:trPr>
          <w:trHeight w:val="397"/>
          <w:tblHeader/>
          <w:jc w:val="center"/>
        </w:trPr>
        <w:tc>
          <w:tcPr>
            <w:tcW w:w="332" w:type="pct"/>
            <w:shd w:val="clear" w:color="auto" w:fill="auto"/>
            <w:noWrap/>
            <w:vAlign w:val="center"/>
          </w:tcPr>
          <w:p w14:paraId="2F7EAFCB" w14:textId="77777777" w:rsidR="004D6D04" w:rsidRDefault="004D6D04" w:rsidP="00403479">
            <w:pPr>
              <w:adjustRightInd w:val="0"/>
              <w:snapToGrid w:val="0"/>
              <w:jc w:val="center"/>
              <w:rPr>
                <w:rFonts w:ascii="Times New Roman" w:hAnsi="Times New Roman" w:cs="Times New Roman"/>
                <w:b/>
                <w:bCs/>
                <w:sz w:val="21"/>
                <w:szCs w:val="21"/>
              </w:rPr>
            </w:pPr>
            <w:bookmarkStart w:id="7" w:name="_Hlk69804178"/>
            <w:r>
              <w:rPr>
                <w:rFonts w:ascii="Times New Roman" w:hAnsi="Times New Roman" w:cs="Times New Roman" w:hint="eastAsia"/>
                <w:b/>
                <w:bCs/>
                <w:sz w:val="21"/>
                <w:szCs w:val="21"/>
              </w:rPr>
              <w:t>序号</w:t>
            </w:r>
          </w:p>
        </w:tc>
        <w:tc>
          <w:tcPr>
            <w:tcW w:w="895" w:type="pct"/>
            <w:shd w:val="clear" w:color="auto" w:fill="auto"/>
            <w:noWrap/>
            <w:vAlign w:val="center"/>
          </w:tcPr>
          <w:p w14:paraId="2A2AC674" w14:textId="77777777" w:rsidR="004D6D04" w:rsidRDefault="004D6D04" w:rsidP="0040347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申请专利名称</w:t>
            </w:r>
            <w:r>
              <w:rPr>
                <w:rFonts w:ascii="Times New Roman" w:hAnsi="Times New Roman" w:cs="Times New Roman" w:hint="eastAsia"/>
                <w:b/>
                <w:bCs/>
                <w:sz w:val="21"/>
                <w:szCs w:val="21"/>
              </w:rPr>
              <w:t>/</w:t>
            </w:r>
            <w:r>
              <w:rPr>
                <w:rFonts w:ascii="Times New Roman" w:hAnsi="Times New Roman" w:cs="Times New Roman" w:hint="eastAsia"/>
                <w:b/>
                <w:bCs/>
                <w:sz w:val="21"/>
                <w:szCs w:val="21"/>
              </w:rPr>
              <w:t>软件著作权名称</w:t>
            </w:r>
          </w:p>
        </w:tc>
        <w:tc>
          <w:tcPr>
            <w:tcW w:w="819" w:type="pct"/>
            <w:shd w:val="clear" w:color="auto" w:fill="auto"/>
            <w:noWrap/>
            <w:vAlign w:val="center"/>
          </w:tcPr>
          <w:p w14:paraId="460C2376" w14:textId="77777777" w:rsidR="004D6D04" w:rsidRDefault="004D6D04" w:rsidP="0040347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申请专利号</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软著号</w:t>
            </w:r>
          </w:p>
        </w:tc>
        <w:tc>
          <w:tcPr>
            <w:tcW w:w="683" w:type="pct"/>
            <w:shd w:val="clear" w:color="auto" w:fill="auto"/>
            <w:noWrap/>
            <w:vAlign w:val="center"/>
          </w:tcPr>
          <w:p w14:paraId="5AB93F1B" w14:textId="77777777" w:rsidR="004D6D04" w:rsidRDefault="004D6D04" w:rsidP="0040347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申请日期</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授权日期</w:t>
            </w:r>
          </w:p>
        </w:tc>
        <w:tc>
          <w:tcPr>
            <w:tcW w:w="427" w:type="pct"/>
            <w:shd w:val="clear" w:color="auto" w:fill="auto"/>
            <w:noWrap/>
            <w:vAlign w:val="center"/>
          </w:tcPr>
          <w:p w14:paraId="0FB6D577" w14:textId="77777777" w:rsidR="004D6D04" w:rsidRDefault="004D6D04" w:rsidP="00403479">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申请人</w:t>
            </w:r>
          </w:p>
        </w:tc>
        <w:tc>
          <w:tcPr>
            <w:tcW w:w="513" w:type="pct"/>
            <w:shd w:val="clear" w:color="auto" w:fill="auto"/>
            <w:noWrap/>
            <w:vAlign w:val="center"/>
          </w:tcPr>
          <w:p w14:paraId="7427E3DC" w14:textId="77777777" w:rsidR="004D6D04" w:rsidRDefault="004D6D04" w:rsidP="0040347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类型</w:t>
            </w:r>
          </w:p>
        </w:tc>
        <w:tc>
          <w:tcPr>
            <w:tcW w:w="512" w:type="pct"/>
            <w:vAlign w:val="center"/>
          </w:tcPr>
          <w:p w14:paraId="395D6084" w14:textId="77777777" w:rsidR="004D6D04" w:rsidRDefault="004D6D04" w:rsidP="0040347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状态</w:t>
            </w:r>
          </w:p>
        </w:tc>
        <w:tc>
          <w:tcPr>
            <w:tcW w:w="819" w:type="pct"/>
            <w:vAlign w:val="center"/>
          </w:tcPr>
          <w:p w14:paraId="4E4C6984" w14:textId="77777777" w:rsidR="004D6D04" w:rsidRDefault="004D6D04" w:rsidP="00403479">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备注</w:t>
            </w:r>
          </w:p>
        </w:tc>
      </w:tr>
      <w:tr w:rsidR="004D6D04" w14:paraId="7229D503" w14:textId="77777777" w:rsidTr="00403479">
        <w:trPr>
          <w:trHeight w:val="397"/>
          <w:jc w:val="center"/>
        </w:trPr>
        <w:tc>
          <w:tcPr>
            <w:tcW w:w="332" w:type="pct"/>
            <w:shd w:val="clear" w:color="auto" w:fill="auto"/>
            <w:vAlign w:val="center"/>
          </w:tcPr>
          <w:p w14:paraId="08104FB0"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895" w:type="pct"/>
            <w:shd w:val="clear" w:color="auto" w:fill="auto"/>
            <w:vAlign w:val="center"/>
          </w:tcPr>
          <w:p w14:paraId="74CDDADE" w14:textId="77777777" w:rsidR="004D6D04" w:rsidRDefault="004D6D04" w:rsidP="0040347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家电行业过程控制及物流执行系统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]LESV1.0</w:t>
            </w:r>
          </w:p>
        </w:tc>
        <w:tc>
          <w:tcPr>
            <w:tcW w:w="819" w:type="pct"/>
            <w:shd w:val="clear" w:color="auto" w:fill="auto"/>
            <w:vAlign w:val="center"/>
          </w:tcPr>
          <w:p w14:paraId="18525EE0"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3234167</w:t>
            </w:r>
            <w:r>
              <w:rPr>
                <w:rFonts w:ascii="Times New Roman" w:hAnsi="Times New Roman" w:cs="Times New Roman" w:hint="eastAsia"/>
                <w:color w:val="000000"/>
                <w:sz w:val="21"/>
                <w:szCs w:val="21"/>
              </w:rPr>
              <w:t>号</w:t>
            </w:r>
          </w:p>
        </w:tc>
        <w:tc>
          <w:tcPr>
            <w:tcW w:w="683" w:type="pct"/>
            <w:shd w:val="clear" w:color="auto" w:fill="auto"/>
            <w:vAlign w:val="center"/>
          </w:tcPr>
          <w:p w14:paraId="2B0E8454"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20</w:t>
            </w:r>
            <w:r>
              <w:rPr>
                <w:rFonts w:ascii="Times New Roman" w:hAnsi="Times New Roman" w:cs="Times New Roman" w:hint="eastAsia"/>
                <w:color w:val="000000"/>
                <w:sz w:val="21"/>
                <w:szCs w:val="21"/>
              </w:rPr>
              <w:t>日</w:t>
            </w:r>
          </w:p>
        </w:tc>
        <w:tc>
          <w:tcPr>
            <w:tcW w:w="427" w:type="pct"/>
            <w:shd w:val="clear" w:color="auto" w:fill="auto"/>
            <w:vAlign w:val="center"/>
          </w:tcPr>
          <w:p w14:paraId="66F752E5"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393406DD"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1BF826CD"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19F54A23"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4D6D04" w14:paraId="43E47EC1" w14:textId="77777777" w:rsidTr="00403479">
        <w:trPr>
          <w:trHeight w:val="397"/>
          <w:jc w:val="center"/>
        </w:trPr>
        <w:tc>
          <w:tcPr>
            <w:tcW w:w="332" w:type="pct"/>
            <w:shd w:val="clear" w:color="auto" w:fill="auto"/>
            <w:vAlign w:val="center"/>
          </w:tcPr>
          <w:p w14:paraId="49DDCC0D"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895" w:type="pct"/>
            <w:shd w:val="clear" w:color="auto" w:fill="auto"/>
            <w:vAlign w:val="center"/>
          </w:tcPr>
          <w:p w14:paraId="5CE9E138" w14:textId="77777777" w:rsidR="004D6D04" w:rsidRDefault="004D6D04" w:rsidP="0040347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家电行业制造运营管理系统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MOM]V1.0</w:t>
            </w:r>
          </w:p>
        </w:tc>
        <w:tc>
          <w:tcPr>
            <w:tcW w:w="819" w:type="pct"/>
            <w:shd w:val="clear" w:color="auto" w:fill="auto"/>
            <w:vAlign w:val="center"/>
          </w:tcPr>
          <w:p w14:paraId="1371FAA9"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3234185</w:t>
            </w:r>
            <w:r>
              <w:rPr>
                <w:rFonts w:ascii="Times New Roman" w:hAnsi="Times New Roman" w:cs="Times New Roman" w:hint="eastAsia"/>
                <w:color w:val="000000"/>
                <w:sz w:val="21"/>
                <w:szCs w:val="21"/>
              </w:rPr>
              <w:t>号</w:t>
            </w:r>
          </w:p>
        </w:tc>
        <w:tc>
          <w:tcPr>
            <w:tcW w:w="683" w:type="pct"/>
            <w:shd w:val="clear" w:color="auto" w:fill="auto"/>
            <w:vAlign w:val="center"/>
          </w:tcPr>
          <w:p w14:paraId="16A9ECA7"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0FE8928B"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684AAA19"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136C657D"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407E2F2C"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4D6D04" w14:paraId="7955C531" w14:textId="77777777" w:rsidTr="00403479">
        <w:trPr>
          <w:trHeight w:val="397"/>
          <w:jc w:val="center"/>
        </w:trPr>
        <w:tc>
          <w:tcPr>
            <w:tcW w:w="332" w:type="pct"/>
            <w:shd w:val="clear" w:color="auto" w:fill="auto"/>
            <w:vAlign w:val="center"/>
          </w:tcPr>
          <w:p w14:paraId="2FDF8ECD"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895" w:type="pct"/>
            <w:shd w:val="clear" w:color="auto" w:fill="auto"/>
            <w:vAlign w:val="center"/>
          </w:tcPr>
          <w:p w14:paraId="2E761C66" w14:textId="77777777" w:rsidR="004D6D04" w:rsidRDefault="004D6D04" w:rsidP="0040347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自动化物流智能终端管理系统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RFS]V1.0</w:t>
            </w:r>
          </w:p>
        </w:tc>
        <w:tc>
          <w:tcPr>
            <w:tcW w:w="819" w:type="pct"/>
            <w:shd w:val="clear" w:color="auto" w:fill="auto"/>
            <w:vAlign w:val="center"/>
          </w:tcPr>
          <w:p w14:paraId="042C4B4D"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1346975</w:t>
            </w:r>
            <w:r>
              <w:rPr>
                <w:rFonts w:ascii="Times New Roman" w:hAnsi="Times New Roman" w:cs="Times New Roman" w:hint="eastAsia"/>
                <w:color w:val="000000"/>
                <w:sz w:val="21"/>
                <w:szCs w:val="21"/>
              </w:rPr>
              <w:t>号</w:t>
            </w:r>
          </w:p>
        </w:tc>
        <w:tc>
          <w:tcPr>
            <w:tcW w:w="683" w:type="pct"/>
            <w:shd w:val="clear" w:color="auto" w:fill="auto"/>
            <w:vAlign w:val="center"/>
          </w:tcPr>
          <w:p w14:paraId="32517F12"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15</w:t>
            </w:r>
            <w:r>
              <w:rPr>
                <w:rFonts w:ascii="Times New Roman" w:hAnsi="Times New Roman" w:cs="Times New Roman" w:hint="eastAsia"/>
                <w:color w:val="000000"/>
                <w:sz w:val="21"/>
                <w:szCs w:val="21"/>
              </w:rPr>
              <w:t>日</w:t>
            </w:r>
          </w:p>
        </w:tc>
        <w:tc>
          <w:tcPr>
            <w:tcW w:w="427" w:type="pct"/>
            <w:shd w:val="clear" w:color="auto" w:fill="auto"/>
            <w:vAlign w:val="center"/>
          </w:tcPr>
          <w:p w14:paraId="7B84B4EB"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2D1DA457"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653678F1"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75CA9F7F"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4D6D04" w14:paraId="61C059E4" w14:textId="77777777" w:rsidTr="00403479">
        <w:trPr>
          <w:trHeight w:val="397"/>
          <w:jc w:val="center"/>
        </w:trPr>
        <w:tc>
          <w:tcPr>
            <w:tcW w:w="332" w:type="pct"/>
            <w:shd w:val="clear" w:color="auto" w:fill="auto"/>
            <w:vAlign w:val="center"/>
          </w:tcPr>
          <w:p w14:paraId="6A7AE4F4"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4</w:t>
            </w:r>
          </w:p>
        </w:tc>
        <w:tc>
          <w:tcPr>
            <w:tcW w:w="895" w:type="pct"/>
            <w:shd w:val="clear" w:color="auto" w:fill="auto"/>
            <w:vAlign w:val="center"/>
          </w:tcPr>
          <w:p w14:paraId="07AE6419" w14:textId="77777777" w:rsidR="004D6D04" w:rsidRDefault="004D6D04" w:rsidP="0040347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自动化物流调度控制系统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WCS]v1.0</w:t>
            </w:r>
          </w:p>
        </w:tc>
        <w:tc>
          <w:tcPr>
            <w:tcW w:w="819" w:type="pct"/>
            <w:shd w:val="clear" w:color="auto" w:fill="auto"/>
            <w:vAlign w:val="center"/>
          </w:tcPr>
          <w:p w14:paraId="4842C56F"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1346969</w:t>
            </w:r>
            <w:r>
              <w:rPr>
                <w:rFonts w:ascii="Times New Roman" w:hAnsi="Times New Roman" w:cs="Times New Roman" w:hint="eastAsia"/>
                <w:color w:val="000000"/>
                <w:sz w:val="21"/>
                <w:szCs w:val="21"/>
              </w:rPr>
              <w:t>号</w:t>
            </w:r>
          </w:p>
        </w:tc>
        <w:tc>
          <w:tcPr>
            <w:tcW w:w="683" w:type="pct"/>
            <w:shd w:val="clear" w:color="auto" w:fill="auto"/>
            <w:vAlign w:val="center"/>
          </w:tcPr>
          <w:p w14:paraId="449D0F90"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15</w:t>
            </w:r>
            <w:r>
              <w:rPr>
                <w:rFonts w:ascii="Times New Roman" w:hAnsi="Times New Roman" w:cs="Times New Roman" w:hint="eastAsia"/>
                <w:color w:val="000000"/>
                <w:sz w:val="21"/>
                <w:szCs w:val="21"/>
              </w:rPr>
              <w:t>日</w:t>
            </w:r>
          </w:p>
        </w:tc>
        <w:tc>
          <w:tcPr>
            <w:tcW w:w="427" w:type="pct"/>
            <w:shd w:val="clear" w:color="auto" w:fill="auto"/>
            <w:vAlign w:val="center"/>
          </w:tcPr>
          <w:p w14:paraId="586AD1CA"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4FF215B"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1AAF53E9"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5332DFCB"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4D6D04" w14:paraId="646257BC" w14:textId="77777777" w:rsidTr="00403479">
        <w:trPr>
          <w:trHeight w:val="397"/>
          <w:jc w:val="center"/>
        </w:trPr>
        <w:tc>
          <w:tcPr>
            <w:tcW w:w="332" w:type="pct"/>
            <w:shd w:val="clear" w:color="auto" w:fill="auto"/>
            <w:vAlign w:val="center"/>
          </w:tcPr>
          <w:p w14:paraId="2B45764B"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895" w:type="pct"/>
            <w:shd w:val="clear" w:color="auto" w:fill="auto"/>
            <w:vAlign w:val="center"/>
          </w:tcPr>
          <w:p w14:paraId="22D7D564" w14:textId="77777777" w:rsidR="004D6D04" w:rsidRDefault="004D6D04" w:rsidP="00403479">
            <w:pPr>
              <w:wordWrap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自动化立库管理系统</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简称：</w:t>
            </w:r>
            <w:r>
              <w:rPr>
                <w:rFonts w:ascii="Times New Roman" w:hAnsi="Times New Roman" w:cs="Times New Roman" w:hint="eastAsia"/>
                <w:color w:val="000000"/>
                <w:sz w:val="21"/>
                <w:szCs w:val="21"/>
              </w:rPr>
              <w:t>WMS]V1.0</w:t>
            </w:r>
          </w:p>
        </w:tc>
        <w:tc>
          <w:tcPr>
            <w:tcW w:w="819" w:type="pct"/>
            <w:shd w:val="clear" w:color="auto" w:fill="auto"/>
            <w:vAlign w:val="center"/>
          </w:tcPr>
          <w:p w14:paraId="4D22355E"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软著登字第</w:t>
            </w:r>
            <w:r>
              <w:rPr>
                <w:rFonts w:ascii="Times New Roman" w:hAnsi="Times New Roman" w:cs="Times New Roman" w:hint="eastAsia"/>
                <w:color w:val="000000"/>
                <w:sz w:val="21"/>
                <w:szCs w:val="21"/>
              </w:rPr>
              <w:t>1347013</w:t>
            </w:r>
            <w:r>
              <w:rPr>
                <w:rFonts w:ascii="Times New Roman" w:hAnsi="Times New Roman" w:cs="Times New Roman" w:hint="eastAsia"/>
                <w:color w:val="000000"/>
                <w:sz w:val="21"/>
                <w:szCs w:val="21"/>
              </w:rPr>
              <w:t>号</w:t>
            </w:r>
          </w:p>
        </w:tc>
        <w:tc>
          <w:tcPr>
            <w:tcW w:w="683" w:type="pct"/>
            <w:shd w:val="clear" w:color="auto" w:fill="auto"/>
            <w:vAlign w:val="center"/>
          </w:tcPr>
          <w:p w14:paraId="34664166" w14:textId="77777777" w:rsidR="004D6D04" w:rsidRDefault="004D6D04" w:rsidP="00403479">
            <w:pPr>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15</w:t>
            </w:r>
            <w:r>
              <w:rPr>
                <w:rFonts w:ascii="Times New Roman" w:hAnsi="Times New Roman" w:cs="Times New Roman" w:hint="eastAsia"/>
                <w:color w:val="000000"/>
                <w:sz w:val="21"/>
                <w:szCs w:val="21"/>
              </w:rPr>
              <w:t>日</w:t>
            </w:r>
          </w:p>
        </w:tc>
        <w:tc>
          <w:tcPr>
            <w:tcW w:w="427" w:type="pct"/>
            <w:shd w:val="clear" w:color="auto" w:fill="auto"/>
            <w:vAlign w:val="center"/>
          </w:tcPr>
          <w:p w14:paraId="51E7AF42"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403B6293"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计算机软件著作权</w:t>
            </w:r>
          </w:p>
        </w:tc>
        <w:tc>
          <w:tcPr>
            <w:tcW w:w="512" w:type="pct"/>
            <w:vAlign w:val="center"/>
          </w:tcPr>
          <w:p w14:paraId="414174F3"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已授权</w:t>
            </w:r>
          </w:p>
        </w:tc>
        <w:tc>
          <w:tcPr>
            <w:tcW w:w="819" w:type="pct"/>
            <w:vAlign w:val="center"/>
          </w:tcPr>
          <w:p w14:paraId="07305610"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4D6D04" w14:paraId="1ECBAEAA" w14:textId="77777777" w:rsidTr="00403479">
        <w:trPr>
          <w:trHeight w:val="397"/>
          <w:jc w:val="center"/>
        </w:trPr>
        <w:tc>
          <w:tcPr>
            <w:tcW w:w="332" w:type="pct"/>
            <w:shd w:val="clear" w:color="auto" w:fill="auto"/>
            <w:vAlign w:val="center"/>
          </w:tcPr>
          <w:p w14:paraId="2BCCC2C8"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6</w:t>
            </w:r>
          </w:p>
        </w:tc>
        <w:tc>
          <w:tcPr>
            <w:tcW w:w="895" w:type="pct"/>
            <w:shd w:val="clear" w:color="auto" w:fill="auto"/>
            <w:vAlign w:val="center"/>
          </w:tcPr>
          <w:p w14:paraId="69593351"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一种门体配送的空中积放控制系统及其方法</w:t>
            </w:r>
          </w:p>
        </w:tc>
        <w:tc>
          <w:tcPr>
            <w:tcW w:w="819" w:type="pct"/>
            <w:shd w:val="clear" w:color="auto" w:fill="auto"/>
            <w:vAlign w:val="center"/>
          </w:tcPr>
          <w:p w14:paraId="1E12A144" w14:textId="77777777" w:rsidR="004D6D04" w:rsidRDefault="004D6D04" w:rsidP="00403479">
            <w:pPr>
              <w:adjustRightInd w:val="0"/>
              <w:snapToGrid w:val="0"/>
              <w:jc w:val="center"/>
              <w:rPr>
                <w:rFonts w:ascii="Times New Roman" w:hAnsi="Times New Roman" w:cs="Times New Roman"/>
                <w:color w:val="000000"/>
                <w:sz w:val="21"/>
                <w:szCs w:val="21"/>
              </w:rPr>
            </w:pPr>
            <w:r w:rsidRPr="00722E5D">
              <w:rPr>
                <w:rFonts w:ascii="Times New Roman" w:hAnsi="Times New Roman"/>
                <w:color w:val="000000"/>
                <w:sz w:val="21"/>
                <w:szCs w:val="21"/>
              </w:rPr>
              <w:t>2020113353223</w:t>
            </w:r>
          </w:p>
        </w:tc>
        <w:tc>
          <w:tcPr>
            <w:tcW w:w="683" w:type="pct"/>
            <w:shd w:val="clear" w:color="auto" w:fill="auto"/>
            <w:vAlign w:val="center"/>
          </w:tcPr>
          <w:p w14:paraId="4BC16453"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5532ADF3"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4482F67"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发明专利</w:t>
            </w:r>
          </w:p>
        </w:tc>
        <w:tc>
          <w:tcPr>
            <w:tcW w:w="512" w:type="pct"/>
            <w:vAlign w:val="center"/>
          </w:tcPr>
          <w:p w14:paraId="304F3A04"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等待实审提案</w:t>
            </w:r>
          </w:p>
        </w:tc>
        <w:tc>
          <w:tcPr>
            <w:tcW w:w="819" w:type="pct"/>
            <w:vAlign w:val="center"/>
          </w:tcPr>
          <w:p w14:paraId="6A717CC0"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实质审查阶段，等待审核意见</w:t>
            </w:r>
          </w:p>
        </w:tc>
      </w:tr>
      <w:tr w:rsidR="004D6D04" w14:paraId="2A5F3E9B" w14:textId="77777777" w:rsidTr="00403479">
        <w:trPr>
          <w:trHeight w:val="397"/>
          <w:jc w:val="center"/>
        </w:trPr>
        <w:tc>
          <w:tcPr>
            <w:tcW w:w="332" w:type="pct"/>
            <w:shd w:val="clear" w:color="auto" w:fill="auto"/>
            <w:vAlign w:val="center"/>
          </w:tcPr>
          <w:p w14:paraId="06F86C3B"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7</w:t>
            </w:r>
          </w:p>
        </w:tc>
        <w:tc>
          <w:tcPr>
            <w:tcW w:w="895" w:type="pct"/>
            <w:shd w:val="clear" w:color="auto" w:fill="auto"/>
            <w:vAlign w:val="center"/>
          </w:tcPr>
          <w:p w14:paraId="035CB6F4"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门壳自动线换模系统</w:t>
            </w:r>
          </w:p>
        </w:tc>
        <w:tc>
          <w:tcPr>
            <w:tcW w:w="819" w:type="pct"/>
            <w:shd w:val="clear" w:color="auto" w:fill="auto"/>
            <w:vAlign w:val="center"/>
          </w:tcPr>
          <w:p w14:paraId="16E365DE"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2020116035010</w:t>
            </w:r>
          </w:p>
        </w:tc>
        <w:tc>
          <w:tcPr>
            <w:tcW w:w="683" w:type="pct"/>
            <w:shd w:val="clear" w:color="auto" w:fill="auto"/>
            <w:vAlign w:val="center"/>
          </w:tcPr>
          <w:p w14:paraId="2CC7A41B"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01EF6AF7"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58E74053"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发明专利</w:t>
            </w:r>
          </w:p>
        </w:tc>
        <w:tc>
          <w:tcPr>
            <w:tcW w:w="512" w:type="pct"/>
            <w:vAlign w:val="center"/>
          </w:tcPr>
          <w:p w14:paraId="3A9B8BA5"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初审</w:t>
            </w:r>
          </w:p>
          <w:p w14:paraId="7C48FB1A"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合格</w:t>
            </w:r>
          </w:p>
        </w:tc>
        <w:tc>
          <w:tcPr>
            <w:tcW w:w="819" w:type="pct"/>
            <w:vAlign w:val="center"/>
          </w:tcPr>
          <w:p w14:paraId="16D5FD33"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初审合格</w:t>
            </w:r>
            <w:r w:rsidRPr="00416C9E">
              <w:rPr>
                <w:rFonts w:ascii="Times New Roman" w:hAnsi="Times New Roman"/>
                <w:color w:val="000000"/>
                <w:sz w:val="21"/>
                <w:szCs w:val="21"/>
              </w:rPr>
              <w:t>,</w:t>
            </w:r>
            <w:r w:rsidRPr="00416C9E">
              <w:rPr>
                <w:rFonts w:ascii="Times New Roman" w:hAnsi="Times New Roman" w:hint="eastAsia"/>
                <w:color w:val="000000"/>
                <w:sz w:val="21"/>
                <w:szCs w:val="21"/>
              </w:rPr>
              <w:t>等待实质审查</w:t>
            </w:r>
          </w:p>
        </w:tc>
      </w:tr>
      <w:tr w:rsidR="004D6D04" w14:paraId="2223D474" w14:textId="77777777" w:rsidTr="00403479">
        <w:trPr>
          <w:trHeight w:val="397"/>
          <w:jc w:val="center"/>
        </w:trPr>
        <w:tc>
          <w:tcPr>
            <w:tcW w:w="332" w:type="pct"/>
            <w:shd w:val="clear" w:color="auto" w:fill="auto"/>
            <w:vAlign w:val="center"/>
          </w:tcPr>
          <w:p w14:paraId="22F1992D"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8</w:t>
            </w:r>
          </w:p>
        </w:tc>
        <w:tc>
          <w:tcPr>
            <w:tcW w:w="895" w:type="pct"/>
            <w:shd w:val="clear" w:color="auto" w:fill="auto"/>
            <w:vAlign w:val="center"/>
          </w:tcPr>
          <w:p w14:paraId="298E1729"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一种冰箱自动上压机生产系统及其自动上压机生产方法</w:t>
            </w:r>
          </w:p>
        </w:tc>
        <w:tc>
          <w:tcPr>
            <w:tcW w:w="819" w:type="pct"/>
            <w:shd w:val="clear" w:color="auto" w:fill="auto"/>
            <w:vAlign w:val="center"/>
          </w:tcPr>
          <w:p w14:paraId="4B1B4221" w14:textId="77777777" w:rsidR="004D6D04" w:rsidRPr="00722E5D" w:rsidRDefault="004D6D04" w:rsidP="00403479">
            <w:pPr>
              <w:adjustRightInd w:val="0"/>
              <w:snapToGrid w:val="0"/>
              <w:jc w:val="center"/>
              <w:rPr>
                <w:rFonts w:ascii="Times New Roman" w:hAnsi="Times New Roman"/>
                <w:color w:val="000000"/>
                <w:sz w:val="21"/>
                <w:szCs w:val="21"/>
              </w:rPr>
            </w:pPr>
            <w:r>
              <w:rPr>
                <w:rFonts w:ascii="Times New Roman" w:hAnsi="Times New Roman" w:cs="Times New Roman"/>
                <w:color w:val="000000"/>
                <w:sz w:val="21"/>
                <w:szCs w:val="21"/>
              </w:rPr>
              <w:t>2020116035699</w:t>
            </w:r>
          </w:p>
        </w:tc>
        <w:tc>
          <w:tcPr>
            <w:tcW w:w="683" w:type="pct"/>
            <w:shd w:val="clear" w:color="auto" w:fill="auto"/>
            <w:vAlign w:val="center"/>
          </w:tcPr>
          <w:p w14:paraId="6FC4DBB4"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6E2D81EC"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62DE2C8C"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发明专利</w:t>
            </w:r>
          </w:p>
        </w:tc>
        <w:tc>
          <w:tcPr>
            <w:tcW w:w="512" w:type="pct"/>
            <w:vAlign w:val="center"/>
          </w:tcPr>
          <w:p w14:paraId="005FF3C5"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C17782C"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2B6A2540"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案件已受理，正在等待审查意见</w:t>
            </w:r>
          </w:p>
        </w:tc>
      </w:tr>
      <w:tr w:rsidR="004D6D04" w14:paraId="19AA67F0" w14:textId="77777777" w:rsidTr="00403479">
        <w:trPr>
          <w:trHeight w:val="397"/>
          <w:jc w:val="center"/>
        </w:trPr>
        <w:tc>
          <w:tcPr>
            <w:tcW w:w="332" w:type="pct"/>
            <w:shd w:val="clear" w:color="auto" w:fill="auto"/>
            <w:vAlign w:val="center"/>
          </w:tcPr>
          <w:p w14:paraId="539A3590"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9</w:t>
            </w:r>
          </w:p>
        </w:tc>
        <w:tc>
          <w:tcPr>
            <w:tcW w:w="895" w:type="pct"/>
            <w:shd w:val="clear" w:color="auto" w:fill="auto"/>
            <w:vAlign w:val="center"/>
          </w:tcPr>
          <w:p w14:paraId="5E05C3D5"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一种用于积放小车的强轴向力摩擦杆安装结构</w:t>
            </w:r>
          </w:p>
        </w:tc>
        <w:tc>
          <w:tcPr>
            <w:tcW w:w="819" w:type="pct"/>
            <w:shd w:val="clear" w:color="auto" w:fill="auto"/>
            <w:vAlign w:val="center"/>
          </w:tcPr>
          <w:p w14:paraId="1E369926"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2020227565478</w:t>
            </w:r>
          </w:p>
        </w:tc>
        <w:tc>
          <w:tcPr>
            <w:tcW w:w="683" w:type="pct"/>
            <w:shd w:val="clear" w:color="auto" w:fill="auto"/>
            <w:vAlign w:val="center"/>
          </w:tcPr>
          <w:p w14:paraId="2F9E0752"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5C8B9753"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72393061" w14:textId="77777777" w:rsidR="004D6D04" w:rsidRDefault="004D6D04" w:rsidP="00403479">
            <w:pPr>
              <w:adjustRightInd w:val="0"/>
              <w:snapToGrid w:val="0"/>
              <w:jc w:val="center"/>
              <w:rPr>
                <w:rFonts w:ascii="Times New Roman" w:hAnsi="Times New Roman" w:cs="Times New Roman"/>
                <w:color w:val="000000"/>
                <w:sz w:val="21"/>
                <w:szCs w:val="21"/>
              </w:rPr>
            </w:pPr>
            <w:r w:rsidRPr="00722E5D">
              <w:rPr>
                <w:rFonts w:ascii="Times New Roman" w:hAnsi="Times New Roman" w:hint="eastAsia"/>
                <w:color w:val="000000"/>
                <w:sz w:val="21"/>
                <w:szCs w:val="21"/>
              </w:rPr>
              <w:t>实用新型</w:t>
            </w:r>
          </w:p>
        </w:tc>
        <w:tc>
          <w:tcPr>
            <w:tcW w:w="512" w:type="pct"/>
            <w:vAlign w:val="center"/>
          </w:tcPr>
          <w:p w14:paraId="1701E24A" w14:textId="77777777" w:rsidR="004D6D04" w:rsidRPr="00722E5D" w:rsidRDefault="004D6D04"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受理</w:t>
            </w:r>
          </w:p>
          <w:p w14:paraId="3E52FDD6" w14:textId="77777777" w:rsidR="004D6D04" w:rsidRDefault="004D6D04" w:rsidP="00403479">
            <w:pPr>
              <w:adjustRightInd w:val="0"/>
              <w:snapToGrid w:val="0"/>
              <w:jc w:val="center"/>
              <w:rPr>
                <w:rFonts w:ascii="Times New Roman" w:hAnsi="Times New Roman" w:cs="Times New Roman"/>
                <w:color w:val="000000"/>
                <w:sz w:val="21"/>
                <w:szCs w:val="21"/>
              </w:rPr>
            </w:pPr>
            <w:r w:rsidRPr="00722E5D">
              <w:rPr>
                <w:rFonts w:ascii="Times New Roman" w:hAnsi="Times New Roman" w:hint="eastAsia"/>
                <w:color w:val="000000"/>
                <w:sz w:val="21"/>
                <w:szCs w:val="21"/>
              </w:rPr>
              <w:t>审查</w:t>
            </w:r>
          </w:p>
        </w:tc>
        <w:tc>
          <w:tcPr>
            <w:tcW w:w="819" w:type="pct"/>
            <w:vAlign w:val="center"/>
          </w:tcPr>
          <w:p w14:paraId="10E0C320" w14:textId="77777777" w:rsidR="004D6D04" w:rsidRDefault="004D6D04" w:rsidP="00403479">
            <w:pPr>
              <w:adjustRightInd w:val="0"/>
              <w:snapToGrid w:val="0"/>
              <w:jc w:val="center"/>
              <w:rPr>
                <w:rFonts w:ascii="Times New Roman" w:hAnsi="Times New Roman" w:cs="Times New Roman"/>
                <w:color w:val="000000"/>
                <w:sz w:val="21"/>
                <w:szCs w:val="21"/>
              </w:rPr>
            </w:pPr>
            <w:r w:rsidRPr="00722E5D">
              <w:rPr>
                <w:rFonts w:ascii="Times New Roman" w:hAnsi="Times New Roman" w:hint="eastAsia"/>
                <w:color w:val="000000"/>
                <w:sz w:val="21"/>
                <w:szCs w:val="21"/>
              </w:rPr>
              <w:t>案件已受理，正在等待审查意见</w:t>
            </w:r>
          </w:p>
        </w:tc>
      </w:tr>
      <w:tr w:rsidR="004D6D04" w14:paraId="7B50AF21" w14:textId="77777777" w:rsidTr="00403479">
        <w:trPr>
          <w:trHeight w:val="397"/>
          <w:jc w:val="center"/>
        </w:trPr>
        <w:tc>
          <w:tcPr>
            <w:tcW w:w="332" w:type="pct"/>
            <w:shd w:val="clear" w:color="auto" w:fill="auto"/>
            <w:vAlign w:val="center"/>
          </w:tcPr>
          <w:p w14:paraId="39621657"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10</w:t>
            </w:r>
          </w:p>
        </w:tc>
        <w:tc>
          <w:tcPr>
            <w:tcW w:w="895" w:type="pct"/>
            <w:shd w:val="clear" w:color="auto" w:fill="auto"/>
            <w:vAlign w:val="center"/>
          </w:tcPr>
          <w:p w14:paraId="02FFCB45"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一种防脱轨的积放小车</w:t>
            </w:r>
          </w:p>
        </w:tc>
        <w:tc>
          <w:tcPr>
            <w:tcW w:w="819" w:type="pct"/>
            <w:shd w:val="clear" w:color="auto" w:fill="auto"/>
            <w:vAlign w:val="center"/>
          </w:tcPr>
          <w:p w14:paraId="2A25CA5E"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2020227565552</w:t>
            </w:r>
          </w:p>
        </w:tc>
        <w:tc>
          <w:tcPr>
            <w:tcW w:w="683" w:type="pct"/>
            <w:shd w:val="clear" w:color="auto" w:fill="auto"/>
            <w:vAlign w:val="center"/>
          </w:tcPr>
          <w:p w14:paraId="06D149C0"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26070DD0"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77A9ADD7"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437F03AC"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ABCACFB"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33450EAC"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4D6D04" w14:paraId="218F46E3" w14:textId="77777777" w:rsidTr="00403479">
        <w:trPr>
          <w:trHeight w:val="397"/>
          <w:jc w:val="center"/>
        </w:trPr>
        <w:tc>
          <w:tcPr>
            <w:tcW w:w="332" w:type="pct"/>
            <w:shd w:val="clear" w:color="auto" w:fill="auto"/>
            <w:vAlign w:val="center"/>
          </w:tcPr>
          <w:p w14:paraId="615B6C3D"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11</w:t>
            </w:r>
          </w:p>
        </w:tc>
        <w:tc>
          <w:tcPr>
            <w:tcW w:w="895" w:type="pct"/>
            <w:shd w:val="clear" w:color="auto" w:fill="auto"/>
            <w:vAlign w:val="center"/>
          </w:tcPr>
          <w:p w14:paraId="0B5445B1"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一种吊胆提升机组</w:t>
            </w:r>
          </w:p>
        </w:tc>
        <w:tc>
          <w:tcPr>
            <w:tcW w:w="819" w:type="pct"/>
            <w:shd w:val="clear" w:color="auto" w:fill="auto"/>
            <w:vAlign w:val="center"/>
          </w:tcPr>
          <w:p w14:paraId="3B024F7F"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2020227596885</w:t>
            </w:r>
          </w:p>
        </w:tc>
        <w:tc>
          <w:tcPr>
            <w:tcW w:w="683" w:type="pct"/>
            <w:shd w:val="clear" w:color="auto" w:fill="auto"/>
            <w:vAlign w:val="center"/>
          </w:tcPr>
          <w:p w14:paraId="62B09DD1"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2CA33D3C"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0D70E644"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3F3E6C69"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58D1CA57"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034C4F6A"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4D6D04" w14:paraId="10BA1D54" w14:textId="77777777" w:rsidTr="00403479">
        <w:trPr>
          <w:trHeight w:val="397"/>
          <w:jc w:val="center"/>
        </w:trPr>
        <w:tc>
          <w:tcPr>
            <w:tcW w:w="332" w:type="pct"/>
            <w:shd w:val="clear" w:color="auto" w:fill="auto"/>
            <w:vAlign w:val="center"/>
          </w:tcPr>
          <w:p w14:paraId="109F40D8"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12</w:t>
            </w:r>
          </w:p>
        </w:tc>
        <w:tc>
          <w:tcPr>
            <w:tcW w:w="895" w:type="pct"/>
            <w:shd w:val="clear" w:color="auto" w:fill="auto"/>
            <w:vAlign w:val="center"/>
          </w:tcPr>
          <w:p w14:paraId="488768CC"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一种新型摩擦杆动力传输机构</w:t>
            </w:r>
          </w:p>
        </w:tc>
        <w:tc>
          <w:tcPr>
            <w:tcW w:w="819" w:type="pct"/>
            <w:shd w:val="clear" w:color="auto" w:fill="auto"/>
            <w:vAlign w:val="center"/>
          </w:tcPr>
          <w:p w14:paraId="0DCC3B25"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2020227623312</w:t>
            </w:r>
          </w:p>
        </w:tc>
        <w:tc>
          <w:tcPr>
            <w:tcW w:w="683" w:type="pct"/>
            <w:shd w:val="clear" w:color="auto" w:fill="auto"/>
            <w:vAlign w:val="center"/>
          </w:tcPr>
          <w:p w14:paraId="6F05B688"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11</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25</w:t>
            </w:r>
            <w:r>
              <w:rPr>
                <w:rFonts w:ascii="Times New Roman" w:hAnsi="Times New Roman" w:cs="Times New Roman" w:hint="eastAsia"/>
                <w:color w:val="000000"/>
                <w:sz w:val="21"/>
                <w:szCs w:val="21"/>
              </w:rPr>
              <w:t>日</w:t>
            </w:r>
          </w:p>
        </w:tc>
        <w:tc>
          <w:tcPr>
            <w:tcW w:w="427" w:type="pct"/>
            <w:shd w:val="clear" w:color="auto" w:fill="auto"/>
            <w:vAlign w:val="center"/>
          </w:tcPr>
          <w:p w14:paraId="4938732C"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5A72AE4"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49252061"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305801E1"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3B4CEA02"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4D6D04" w14:paraId="32816A64" w14:textId="77777777" w:rsidTr="00403479">
        <w:trPr>
          <w:trHeight w:val="397"/>
          <w:jc w:val="center"/>
        </w:trPr>
        <w:tc>
          <w:tcPr>
            <w:tcW w:w="332" w:type="pct"/>
            <w:shd w:val="clear" w:color="auto" w:fill="auto"/>
            <w:vAlign w:val="center"/>
          </w:tcPr>
          <w:p w14:paraId="4F03E7BF"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13</w:t>
            </w:r>
          </w:p>
        </w:tc>
        <w:tc>
          <w:tcPr>
            <w:tcW w:w="895" w:type="pct"/>
            <w:shd w:val="clear" w:color="auto" w:fill="auto"/>
            <w:vAlign w:val="center"/>
          </w:tcPr>
          <w:p w14:paraId="63DE681F"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一种模具立体仓库</w:t>
            </w:r>
          </w:p>
        </w:tc>
        <w:tc>
          <w:tcPr>
            <w:tcW w:w="819" w:type="pct"/>
            <w:shd w:val="clear" w:color="auto" w:fill="auto"/>
            <w:vAlign w:val="center"/>
          </w:tcPr>
          <w:p w14:paraId="664D5004"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2020229581085</w:t>
            </w:r>
          </w:p>
        </w:tc>
        <w:tc>
          <w:tcPr>
            <w:tcW w:w="683" w:type="pct"/>
            <w:shd w:val="clear" w:color="auto" w:fill="auto"/>
            <w:vAlign w:val="center"/>
          </w:tcPr>
          <w:p w14:paraId="3F0392BA"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9</w:t>
            </w:r>
            <w:r>
              <w:rPr>
                <w:rFonts w:ascii="Times New Roman" w:hAnsi="Times New Roman" w:cs="Times New Roman" w:hint="eastAsia"/>
                <w:color w:val="000000"/>
                <w:sz w:val="21"/>
                <w:szCs w:val="21"/>
              </w:rPr>
              <w:t>日</w:t>
            </w:r>
          </w:p>
        </w:tc>
        <w:tc>
          <w:tcPr>
            <w:tcW w:w="427" w:type="pct"/>
            <w:shd w:val="clear" w:color="auto" w:fill="auto"/>
            <w:vAlign w:val="center"/>
          </w:tcPr>
          <w:p w14:paraId="0720CB48"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1023373E"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320AEDD6"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6852F9F0"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524B6C2A"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4D6D04" w14:paraId="6595F600" w14:textId="77777777" w:rsidTr="00403479">
        <w:trPr>
          <w:trHeight w:val="397"/>
          <w:jc w:val="center"/>
        </w:trPr>
        <w:tc>
          <w:tcPr>
            <w:tcW w:w="332" w:type="pct"/>
            <w:shd w:val="clear" w:color="auto" w:fill="auto"/>
            <w:vAlign w:val="center"/>
          </w:tcPr>
          <w:p w14:paraId="29DB3DB8"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14</w:t>
            </w:r>
          </w:p>
        </w:tc>
        <w:tc>
          <w:tcPr>
            <w:tcW w:w="895" w:type="pct"/>
            <w:shd w:val="clear" w:color="auto" w:fill="auto"/>
            <w:vAlign w:val="center"/>
          </w:tcPr>
          <w:p w14:paraId="5ADB88F2"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一种冰箱自动上压机生产系统</w:t>
            </w:r>
          </w:p>
        </w:tc>
        <w:tc>
          <w:tcPr>
            <w:tcW w:w="819" w:type="pct"/>
            <w:shd w:val="clear" w:color="auto" w:fill="auto"/>
            <w:vAlign w:val="center"/>
          </w:tcPr>
          <w:p w14:paraId="3321823C"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2020232655900</w:t>
            </w:r>
          </w:p>
        </w:tc>
        <w:tc>
          <w:tcPr>
            <w:tcW w:w="683" w:type="pct"/>
            <w:shd w:val="clear" w:color="auto" w:fill="auto"/>
            <w:vAlign w:val="center"/>
          </w:tcPr>
          <w:p w14:paraId="278DF4DE"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0BF79D8D"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3563E6D7"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549B9DEC"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1063C13"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173BA0D6"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r w:rsidR="004D6D04" w14:paraId="3DE0582E" w14:textId="77777777" w:rsidTr="00403479">
        <w:trPr>
          <w:trHeight w:val="397"/>
          <w:jc w:val="center"/>
        </w:trPr>
        <w:tc>
          <w:tcPr>
            <w:tcW w:w="332" w:type="pct"/>
            <w:shd w:val="clear" w:color="auto" w:fill="auto"/>
            <w:vAlign w:val="center"/>
          </w:tcPr>
          <w:p w14:paraId="450B4A0C" w14:textId="77777777" w:rsidR="004D6D04" w:rsidRDefault="004D6D04" w:rsidP="00403479">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15</w:t>
            </w:r>
          </w:p>
        </w:tc>
        <w:tc>
          <w:tcPr>
            <w:tcW w:w="895" w:type="pct"/>
            <w:shd w:val="clear" w:color="auto" w:fill="auto"/>
            <w:vAlign w:val="center"/>
          </w:tcPr>
          <w:p w14:paraId="5D24855A" w14:textId="77777777" w:rsidR="004D6D04" w:rsidRDefault="004D6D04" w:rsidP="00403479">
            <w:pPr>
              <w:wordWrap w:val="0"/>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门壳自动线换模系统</w:t>
            </w:r>
          </w:p>
        </w:tc>
        <w:tc>
          <w:tcPr>
            <w:tcW w:w="819" w:type="pct"/>
            <w:shd w:val="clear" w:color="auto" w:fill="auto"/>
            <w:vAlign w:val="center"/>
          </w:tcPr>
          <w:p w14:paraId="5D1CA31D"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2020232911150</w:t>
            </w:r>
          </w:p>
        </w:tc>
        <w:tc>
          <w:tcPr>
            <w:tcW w:w="683" w:type="pct"/>
            <w:shd w:val="clear" w:color="auto" w:fill="auto"/>
            <w:vAlign w:val="center"/>
          </w:tcPr>
          <w:p w14:paraId="2EAA6C13"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color w:val="000000"/>
                <w:sz w:val="21"/>
                <w:szCs w:val="21"/>
              </w:rPr>
              <w:t>12</w:t>
            </w:r>
            <w:r>
              <w:rPr>
                <w:rFonts w:ascii="Times New Roman" w:hAnsi="Times New Roman" w:cs="Times New Roman" w:hint="eastAsia"/>
                <w:color w:val="000000"/>
                <w:sz w:val="21"/>
                <w:szCs w:val="21"/>
              </w:rPr>
              <w:t>月</w:t>
            </w:r>
            <w:r>
              <w:rPr>
                <w:rFonts w:ascii="Times New Roman" w:hAnsi="Times New Roman" w:cs="Times New Roman"/>
                <w:color w:val="000000"/>
                <w:sz w:val="21"/>
                <w:szCs w:val="21"/>
              </w:rPr>
              <w:t>30</w:t>
            </w:r>
            <w:r>
              <w:rPr>
                <w:rFonts w:ascii="Times New Roman" w:hAnsi="Times New Roman" w:cs="Times New Roman" w:hint="eastAsia"/>
                <w:color w:val="000000"/>
                <w:sz w:val="21"/>
                <w:szCs w:val="21"/>
              </w:rPr>
              <w:t>日</w:t>
            </w:r>
          </w:p>
        </w:tc>
        <w:tc>
          <w:tcPr>
            <w:tcW w:w="427" w:type="pct"/>
            <w:shd w:val="clear" w:color="auto" w:fill="auto"/>
            <w:vAlign w:val="center"/>
          </w:tcPr>
          <w:p w14:paraId="5B00D4E4" w14:textId="77777777" w:rsidR="004D6D04" w:rsidRDefault="004D6D04" w:rsidP="00403479">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标的公司</w:t>
            </w:r>
          </w:p>
        </w:tc>
        <w:tc>
          <w:tcPr>
            <w:tcW w:w="513" w:type="pct"/>
            <w:shd w:val="clear" w:color="auto" w:fill="auto"/>
            <w:vAlign w:val="center"/>
          </w:tcPr>
          <w:p w14:paraId="49F40D50"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实用新型</w:t>
            </w:r>
          </w:p>
        </w:tc>
        <w:tc>
          <w:tcPr>
            <w:tcW w:w="512" w:type="pct"/>
            <w:vAlign w:val="center"/>
          </w:tcPr>
          <w:p w14:paraId="32AF91C7" w14:textId="77777777" w:rsidR="004D6D04" w:rsidRPr="00416C9E" w:rsidRDefault="004D6D04"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14783F5C" w14:textId="77777777" w:rsidR="004D6D04" w:rsidRDefault="004D6D04" w:rsidP="00403479">
            <w:pPr>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审查</w:t>
            </w:r>
          </w:p>
        </w:tc>
        <w:tc>
          <w:tcPr>
            <w:tcW w:w="819" w:type="pct"/>
            <w:vAlign w:val="center"/>
          </w:tcPr>
          <w:p w14:paraId="64236B82" w14:textId="77777777" w:rsidR="004D6D04" w:rsidRDefault="004D6D04" w:rsidP="00403479">
            <w:pPr>
              <w:adjustRightInd w:val="0"/>
              <w:snapToGrid w:val="0"/>
              <w:jc w:val="center"/>
              <w:rPr>
                <w:rFonts w:ascii="Times New Roman" w:hAnsi="Times New Roman" w:cs="Times New Roman"/>
                <w:color w:val="000000"/>
                <w:sz w:val="21"/>
                <w:szCs w:val="21"/>
              </w:rPr>
            </w:pPr>
            <w:r w:rsidRPr="00416C9E">
              <w:rPr>
                <w:rFonts w:ascii="Times New Roman" w:hAnsi="Times New Roman" w:hint="eastAsia"/>
                <w:color w:val="000000"/>
                <w:sz w:val="21"/>
                <w:szCs w:val="21"/>
              </w:rPr>
              <w:t>案件已受理，正在等待审查意见</w:t>
            </w:r>
          </w:p>
        </w:tc>
      </w:tr>
    </w:tbl>
    <w:bookmarkEnd w:id="7"/>
    <w:p w14:paraId="342C7C8F" w14:textId="62A3C383" w:rsidR="00C02929" w:rsidRDefault="006116D1" w:rsidP="004D6D04">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综上所述，本次收购有利于上市公司利用北洋天青在智能制造领域和数字化工厂建设方面的先进技术优势，推动智能制造和信息化建设等</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年目标的实现。</w:t>
      </w:r>
    </w:p>
    <w:p w14:paraId="29B353A4"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lastRenderedPageBreak/>
        <w:t>四、本次收购有利于上市公司获取智能制造领域市场地位</w:t>
      </w:r>
    </w:p>
    <w:p w14:paraId="5F9C7E5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在智能制造领域，北洋天青的主要竞争对手包括广东拓斯达科技股份有限公司、</w:t>
      </w:r>
      <w:r>
        <w:rPr>
          <w:rFonts w:ascii="Times New Roman" w:hAnsi="Times New Roman" w:cs="Times New Roman" w:hint="eastAsia"/>
          <w:bCs/>
          <w:color w:val="000000"/>
          <w:szCs w:val="21"/>
          <w:lang w:val="en-GB"/>
        </w:rPr>
        <w:t>杭州永创智能设备股份有限公司、快克智能装备股份有限公司、</w:t>
      </w:r>
      <w:r>
        <w:rPr>
          <w:rFonts w:ascii="Times New Roman" w:hAnsi="Times New Roman" w:cs="Times New Roman" w:hint="eastAsia"/>
          <w:bCs/>
          <w:color w:val="000000"/>
          <w:szCs w:val="21"/>
        </w:rPr>
        <w:t>沈阳新松机器人自动化股份有限公司、南京埃斯顿自动化股份有限公司等。上述企业在</w:t>
      </w:r>
      <w:r>
        <w:rPr>
          <w:rFonts w:ascii="Times New Roman" w:hAnsi="Times New Roman" w:cs="Times New Roman" w:hint="eastAsia"/>
          <w:bCs/>
          <w:color w:val="000000"/>
          <w:szCs w:val="21"/>
        </w:rPr>
        <w:t>3C</w:t>
      </w:r>
      <w:r>
        <w:rPr>
          <w:rFonts w:ascii="Times New Roman" w:hAnsi="Times New Roman" w:cs="Times New Roman" w:hint="eastAsia"/>
          <w:bCs/>
          <w:color w:val="000000"/>
          <w:szCs w:val="21"/>
        </w:rPr>
        <w:t>、液晶显示器、汽车和工程机械、工业机器人及其集成应用、电力电机等领域具有较强的技术实力和较高的市场占有率。而北洋天青深耕家电行业，由于智能制造领域内各个细分行业的核心技术存在一定差异，目前北洋天青在家电行业内具有一定的技术优势，且与上述企业并不存在较大的直接竞争关系。</w:t>
      </w:r>
    </w:p>
    <w:p w14:paraId="11A6A4B2"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以海尔集团公司为例，近年来由于家电行业出货量持续上涨，其家电板块保持增长，并不断拓展海外市场。以海尔智家股份有限公司为例，</w:t>
      </w:r>
      <w:r>
        <w:rPr>
          <w:rFonts w:ascii="Times New Roman" w:hAnsi="Times New Roman" w:cs="Times New Roman" w:hint="eastAsia"/>
          <w:bCs/>
          <w:color w:val="000000"/>
          <w:szCs w:val="21"/>
        </w:rPr>
        <w:t>2019</w:t>
      </w:r>
      <w:r>
        <w:rPr>
          <w:rFonts w:ascii="Times New Roman" w:hAnsi="Times New Roman" w:cs="Times New Roman" w:hint="eastAsia"/>
          <w:bCs/>
          <w:color w:val="000000"/>
          <w:szCs w:val="21"/>
        </w:rPr>
        <w:t>年，其电冰箱、洗衣机产品分别实现营业收入</w:t>
      </w:r>
      <w:r>
        <w:rPr>
          <w:rFonts w:ascii="Times New Roman" w:hAnsi="Times New Roman" w:cs="Times New Roman" w:hint="eastAsia"/>
          <w:bCs/>
          <w:color w:val="000000"/>
          <w:szCs w:val="21"/>
        </w:rPr>
        <w:t>584.4</w:t>
      </w:r>
      <w:r>
        <w:rPr>
          <w:rFonts w:ascii="Times New Roman" w:hAnsi="Times New Roman" w:cs="Times New Roman" w:hint="eastAsia"/>
          <w:bCs/>
          <w:color w:val="000000"/>
          <w:szCs w:val="21"/>
        </w:rPr>
        <w:t>亿元和</w:t>
      </w:r>
      <w:r>
        <w:rPr>
          <w:rFonts w:ascii="Times New Roman" w:hAnsi="Times New Roman" w:cs="Times New Roman" w:hint="eastAsia"/>
          <w:bCs/>
          <w:color w:val="000000"/>
          <w:szCs w:val="21"/>
        </w:rPr>
        <w:t>447.1</w:t>
      </w:r>
      <w:r>
        <w:rPr>
          <w:rFonts w:ascii="Times New Roman" w:hAnsi="Times New Roman" w:cs="Times New Roman" w:hint="eastAsia"/>
          <w:bCs/>
          <w:color w:val="000000"/>
          <w:szCs w:val="21"/>
        </w:rPr>
        <w:t>亿元，同比增加</w:t>
      </w:r>
      <w:r>
        <w:rPr>
          <w:rFonts w:ascii="Times New Roman" w:hAnsi="Times New Roman" w:cs="Times New Roman" w:hint="eastAsia"/>
          <w:bCs/>
          <w:color w:val="000000"/>
          <w:szCs w:val="21"/>
        </w:rPr>
        <w:t>7.5%</w:t>
      </w:r>
      <w:r>
        <w:rPr>
          <w:rFonts w:ascii="Times New Roman" w:hAnsi="Times New Roman" w:cs="Times New Roman" w:hint="eastAsia"/>
          <w:bCs/>
          <w:color w:val="000000"/>
          <w:szCs w:val="21"/>
        </w:rPr>
        <w:t>和</w:t>
      </w:r>
      <w:r>
        <w:rPr>
          <w:rFonts w:ascii="Times New Roman" w:hAnsi="Times New Roman" w:cs="Times New Roman" w:hint="eastAsia"/>
          <w:bCs/>
          <w:color w:val="000000"/>
          <w:szCs w:val="21"/>
        </w:rPr>
        <w:t>25.5%</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2</w:t>
      </w:r>
      <w:r>
        <w:rPr>
          <w:rFonts w:ascii="Times New Roman" w:hAnsi="Times New Roman" w:cs="Times New Roman"/>
          <w:bCs/>
          <w:color w:val="000000"/>
          <w:szCs w:val="21"/>
        </w:rPr>
        <w:t>020</w:t>
      </w:r>
      <w:r>
        <w:rPr>
          <w:rFonts w:ascii="Times New Roman" w:hAnsi="Times New Roman" w:cs="Times New Roman" w:hint="eastAsia"/>
          <w:bCs/>
          <w:color w:val="000000"/>
          <w:szCs w:val="21"/>
        </w:rPr>
        <w:t>年，其电冰箱、洗衣机产品分别实现营业收入</w:t>
      </w:r>
      <w:r>
        <w:rPr>
          <w:rFonts w:ascii="Times New Roman" w:hAnsi="Times New Roman" w:cs="Times New Roman" w:hint="eastAsia"/>
          <w:bCs/>
          <w:color w:val="000000"/>
          <w:szCs w:val="21"/>
        </w:rPr>
        <w:t>6</w:t>
      </w:r>
      <w:r>
        <w:rPr>
          <w:rFonts w:ascii="Times New Roman" w:hAnsi="Times New Roman" w:cs="Times New Roman"/>
          <w:bCs/>
          <w:color w:val="000000"/>
          <w:szCs w:val="21"/>
        </w:rPr>
        <w:t>15.38</w:t>
      </w:r>
      <w:r>
        <w:rPr>
          <w:rFonts w:ascii="Times New Roman" w:hAnsi="Times New Roman" w:cs="Times New Roman" w:hint="eastAsia"/>
          <w:bCs/>
          <w:color w:val="000000"/>
          <w:szCs w:val="21"/>
        </w:rPr>
        <w:t>亿元和</w:t>
      </w:r>
      <w:r>
        <w:rPr>
          <w:rFonts w:ascii="Times New Roman" w:hAnsi="Times New Roman" w:cs="Times New Roman" w:hint="eastAsia"/>
          <w:bCs/>
          <w:color w:val="000000"/>
          <w:szCs w:val="21"/>
        </w:rPr>
        <w:t>4</w:t>
      </w:r>
      <w:r>
        <w:rPr>
          <w:rFonts w:ascii="Times New Roman" w:hAnsi="Times New Roman" w:cs="Times New Roman"/>
          <w:bCs/>
          <w:color w:val="000000"/>
          <w:szCs w:val="21"/>
        </w:rPr>
        <w:t>84.52</w:t>
      </w:r>
      <w:r>
        <w:rPr>
          <w:rFonts w:ascii="Times New Roman" w:hAnsi="Times New Roman" w:cs="Times New Roman" w:hint="eastAsia"/>
          <w:bCs/>
          <w:color w:val="000000"/>
          <w:szCs w:val="21"/>
        </w:rPr>
        <w:t>亿元，同比增加</w:t>
      </w:r>
      <w:r>
        <w:rPr>
          <w:rFonts w:ascii="Times New Roman" w:hAnsi="Times New Roman" w:cs="Times New Roman"/>
          <w:bCs/>
          <w:color w:val="000000"/>
          <w:szCs w:val="21"/>
        </w:rPr>
        <w:t>5.31</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和</w:t>
      </w:r>
      <w:r>
        <w:rPr>
          <w:rFonts w:ascii="Times New Roman" w:hAnsi="Times New Roman" w:cs="Times New Roman"/>
          <w:bCs/>
          <w:color w:val="000000"/>
          <w:szCs w:val="21"/>
        </w:rPr>
        <w:t>8.36</w:t>
      </w: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随着海尔集团公司相关家电板块近年持续增长，其对于相应的生产线智能化建设、升级和改造需求较为强烈。北洋天青作为青岛本土企业，对于海尔集团公司的需求响应及售后服务方面具有天然的地缘优势，北洋天青自身具备迅速的客户需求反应能力及高水平的综合集成能力，经过多年的合作，与客户建立了稳定的合作关系，并获得了良好的口碑。截至本核查意见出具日，北洋天青已为青岛海尔智慧厨房电器设备有限公司、合肥海尔电冰箱有限公司、青岛海尔洗碗机有限公司、青岛海尔空调电子有限公司、青岛海尔电冰箱有限公司等二十余家公司提供了相关服务，是国内少有的能够针对海尔集团公司家电领域各业务板块提供生产线智能化、信息化建设、升级和改造解决方案服务的公司。</w:t>
      </w:r>
    </w:p>
    <w:p w14:paraId="41090E2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凭借多年的经营，积累了丰富的客户资源，打造了良好的品牌效应，在技术、经验、人才、服务等领域均具有较强的竞争力，具有全方位为客户提供自动化、网络化、数字化的智能制造整体解决方案和产品服务的能力和为客户提供工业互联网智能工厂整体应用方案的能力，在家电行业智能制造领域具有一定的市场地位。</w:t>
      </w:r>
    </w:p>
    <w:p w14:paraId="13704DE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综上所述，本次收购有利于上市公司获取北洋天青在家电行业智能制造领域的市场地位。</w:t>
      </w:r>
    </w:p>
    <w:p w14:paraId="56685933"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五、本次交易有利于上市公司增强持续盈利能力</w:t>
      </w:r>
    </w:p>
    <w:p w14:paraId="7C32D6A9"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本次交易完成前后上市公司经营成果变动分析如下：</w:t>
      </w:r>
    </w:p>
    <w:p w14:paraId="45620921"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750"/>
        <w:gridCol w:w="1191"/>
        <w:gridCol w:w="1191"/>
        <w:gridCol w:w="975"/>
        <w:gridCol w:w="1191"/>
        <w:gridCol w:w="1191"/>
        <w:gridCol w:w="1033"/>
      </w:tblGrid>
      <w:tr w:rsidR="00C02929" w14:paraId="2BB2CB52" w14:textId="77777777">
        <w:trPr>
          <w:trHeight w:val="397"/>
          <w:tblHeader/>
          <w:jc w:val="center"/>
        </w:trPr>
        <w:tc>
          <w:tcPr>
            <w:tcW w:w="1026" w:type="pct"/>
            <w:vMerge w:val="restart"/>
            <w:tcBorders>
              <w:top w:val="single" w:sz="12" w:space="0" w:color="auto"/>
              <w:left w:val="nil"/>
              <w:bottom w:val="single" w:sz="4" w:space="0" w:color="auto"/>
              <w:right w:val="single" w:sz="4" w:space="0" w:color="auto"/>
            </w:tcBorders>
            <w:vAlign w:val="center"/>
          </w:tcPr>
          <w:p w14:paraId="5D051B04"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项目</w:t>
            </w:r>
          </w:p>
        </w:tc>
        <w:tc>
          <w:tcPr>
            <w:tcW w:w="1970" w:type="pct"/>
            <w:gridSpan w:val="3"/>
            <w:tcBorders>
              <w:top w:val="single" w:sz="12" w:space="0" w:color="auto"/>
              <w:left w:val="single" w:sz="4" w:space="0" w:color="auto"/>
              <w:bottom w:val="single" w:sz="4" w:space="0" w:color="auto"/>
              <w:right w:val="single" w:sz="4" w:space="0" w:color="auto"/>
            </w:tcBorders>
            <w:vAlign w:val="center"/>
          </w:tcPr>
          <w:p w14:paraId="27EA551A"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2020</w:t>
            </w:r>
            <w:r>
              <w:rPr>
                <w:rFonts w:ascii="Times New Roman" w:hAnsi="Times New Roman" w:cs="Times New Roman" w:hint="eastAsia"/>
                <w:b/>
                <w:color w:val="000000"/>
                <w:sz w:val="21"/>
                <w:szCs w:val="21"/>
                <w:lang w:val="en-GB"/>
              </w:rPr>
              <w:t>年度</w:t>
            </w:r>
          </w:p>
        </w:tc>
        <w:tc>
          <w:tcPr>
            <w:tcW w:w="2004" w:type="pct"/>
            <w:gridSpan w:val="3"/>
            <w:tcBorders>
              <w:top w:val="single" w:sz="12" w:space="0" w:color="auto"/>
              <w:left w:val="single" w:sz="4" w:space="0" w:color="auto"/>
              <w:bottom w:val="single" w:sz="4" w:space="0" w:color="auto"/>
              <w:right w:val="nil"/>
            </w:tcBorders>
            <w:vAlign w:val="center"/>
          </w:tcPr>
          <w:p w14:paraId="63CF8875"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2019</w:t>
            </w:r>
            <w:r>
              <w:rPr>
                <w:rFonts w:ascii="Times New Roman" w:hAnsi="Times New Roman" w:cs="Times New Roman" w:hint="eastAsia"/>
                <w:b/>
                <w:color w:val="000000"/>
                <w:sz w:val="21"/>
                <w:szCs w:val="21"/>
                <w:lang w:val="en-GB"/>
              </w:rPr>
              <w:t>年度</w:t>
            </w:r>
          </w:p>
        </w:tc>
      </w:tr>
      <w:tr w:rsidR="00C02929" w14:paraId="4C605912" w14:textId="77777777">
        <w:trPr>
          <w:trHeight w:val="397"/>
          <w:tblHeader/>
          <w:jc w:val="center"/>
        </w:trPr>
        <w:tc>
          <w:tcPr>
            <w:tcW w:w="0" w:type="auto"/>
            <w:vMerge/>
            <w:tcBorders>
              <w:top w:val="single" w:sz="12" w:space="0" w:color="auto"/>
              <w:left w:val="nil"/>
              <w:bottom w:val="single" w:sz="4" w:space="0" w:color="auto"/>
              <w:right w:val="single" w:sz="4" w:space="0" w:color="auto"/>
            </w:tcBorders>
            <w:vAlign w:val="center"/>
          </w:tcPr>
          <w:p w14:paraId="052EC1F7" w14:textId="77777777" w:rsidR="00C02929" w:rsidRDefault="00C02929">
            <w:pPr>
              <w:jc w:val="center"/>
              <w:rPr>
                <w:rFonts w:ascii="Times New Roman" w:hAnsi="Times New Roman" w:cs="Times New Roman"/>
                <w:b/>
                <w:color w:val="000000"/>
                <w:sz w:val="21"/>
                <w:szCs w:val="21"/>
                <w:lang w:val="en-GB"/>
              </w:rPr>
            </w:pPr>
          </w:p>
        </w:tc>
        <w:tc>
          <w:tcPr>
            <w:tcW w:w="699" w:type="pct"/>
            <w:tcBorders>
              <w:top w:val="single" w:sz="4" w:space="0" w:color="auto"/>
              <w:left w:val="single" w:sz="4" w:space="0" w:color="auto"/>
              <w:bottom w:val="single" w:sz="4" w:space="0" w:color="auto"/>
              <w:right w:val="single" w:sz="4" w:space="0" w:color="auto"/>
            </w:tcBorders>
            <w:vAlign w:val="center"/>
          </w:tcPr>
          <w:p w14:paraId="6DD3C48B"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699" w:type="pct"/>
            <w:tcBorders>
              <w:top w:val="single" w:sz="4" w:space="0" w:color="auto"/>
              <w:left w:val="single" w:sz="4" w:space="0" w:color="auto"/>
              <w:bottom w:val="single" w:sz="4" w:space="0" w:color="auto"/>
              <w:right w:val="single" w:sz="4" w:space="0" w:color="auto"/>
            </w:tcBorders>
            <w:vAlign w:val="center"/>
          </w:tcPr>
          <w:p w14:paraId="702801F4"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49DFD86A"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572" w:type="pct"/>
            <w:tcBorders>
              <w:top w:val="single" w:sz="4" w:space="0" w:color="auto"/>
              <w:left w:val="single" w:sz="4" w:space="0" w:color="auto"/>
              <w:bottom w:val="single" w:sz="4" w:space="0" w:color="auto"/>
              <w:right w:val="single" w:sz="4" w:space="0" w:color="auto"/>
            </w:tcBorders>
            <w:vAlign w:val="center"/>
          </w:tcPr>
          <w:p w14:paraId="2B7E2E34"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c>
          <w:tcPr>
            <w:tcW w:w="699" w:type="pct"/>
            <w:tcBorders>
              <w:top w:val="single" w:sz="4" w:space="0" w:color="auto"/>
              <w:left w:val="single" w:sz="4" w:space="0" w:color="auto"/>
              <w:bottom w:val="single" w:sz="4" w:space="0" w:color="auto"/>
              <w:right w:val="single" w:sz="4" w:space="0" w:color="auto"/>
            </w:tcBorders>
            <w:vAlign w:val="center"/>
          </w:tcPr>
          <w:p w14:paraId="22BF569C"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交易前</w:t>
            </w:r>
          </w:p>
        </w:tc>
        <w:tc>
          <w:tcPr>
            <w:tcW w:w="699" w:type="pct"/>
            <w:tcBorders>
              <w:top w:val="single" w:sz="4" w:space="0" w:color="auto"/>
              <w:left w:val="single" w:sz="4" w:space="0" w:color="auto"/>
              <w:bottom w:val="single" w:sz="4" w:space="0" w:color="auto"/>
              <w:right w:val="single" w:sz="4" w:space="0" w:color="auto"/>
            </w:tcBorders>
            <w:vAlign w:val="center"/>
          </w:tcPr>
          <w:p w14:paraId="216A70B8"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交易后</w:t>
            </w:r>
          </w:p>
          <w:p w14:paraId="0B7318B7"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（备考）</w:t>
            </w:r>
          </w:p>
        </w:tc>
        <w:tc>
          <w:tcPr>
            <w:tcW w:w="606" w:type="pct"/>
            <w:tcBorders>
              <w:top w:val="single" w:sz="4" w:space="0" w:color="auto"/>
              <w:left w:val="single" w:sz="4" w:space="0" w:color="auto"/>
              <w:bottom w:val="single" w:sz="4" w:space="0" w:color="auto"/>
              <w:right w:val="nil"/>
            </w:tcBorders>
            <w:vAlign w:val="center"/>
          </w:tcPr>
          <w:p w14:paraId="5987DE19" w14:textId="77777777" w:rsidR="00C02929" w:rsidRDefault="006116D1">
            <w:pPr>
              <w:jc w:val="center"/>
              <w:rPr>
                <w:rFonts w:ascii="Times New Roman" w:hAnsi="Times New Roman" w:cs="Times New Roman"/>
                <w:b/>
                <w:color w:val="000000"/>
                <w:sz w:val="21"/>
                <w:szCs w:val="21"/>
                <w:lang w:val="en-GB"/>
              </w:rPr>
            </w:pPr>
            <w:r>
              <w:rPr>
                <w:rFonts w:ascii="Times New Roman" w:hAnsi="Times New Roman" w:cs="Times New Roman" w:hint="eastAsia"/>
                <w:b/>
                <w:color w:val="000000"/>
                <w:sz w:val="21"/>
                <w:szCs w:val="21"/>
                <w:lang w:val="en-GB"/>
              </w:rPr>
              <w:t>变动率</w:t>
            </w:r>
          </w:p>
        </w:tc>
      </w:tr>
      <w:tr w:rsidR="00C02929" w14:paraId="565ABE4A"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2745E846"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营业收入</w:t>
            </w:r>
          </w:p>
        </w:tc>
        <w:tc>
          <w:tcPr>
            <w:tcW w:w="699" w:type="pct"/>
            <w:tcBorders>
              <w:top w:val="single" w:sz="4" w:space="0" w:color="auto"/>
              <w:left w:val="single" w:sz="4" w:space="0" w:color="auto"/>
              <w:bottom w:val="single" w:sz="4" w:space="0" w:color="auto"/>
              <w:right w:val="single" w:sz="4" w:space="0" w:color="auto"/>
            </w:tcBorders>
            <w:vAlign w:val="center"/>
          </w:tcPr>
          <w:p w14:paraId="3FEC8C03"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108,829.65</w:t>
            </w:r>
          </w:p>
        </w:tc>
        <w:tc>
          <w:tcPr>
            <w:tcW w:w="699" w:type="pct"/>
            <w:tcBorders>
              <w:top w:val="single" w:sz="4" w:space="0" w:color="auto"/>
              <w:left w:val="single" w:sz="4" w:space="0" w:color="auto"/>
              <w:bottom w:val="single" w:sz="4" w:space="0" w:color="auto"/>
              <w:right w:val="single" w:sz="4" w:space="0" w:color="auto"/>
            </w:tcBorders>
            <w:vAlign w:val="center"/>
          </w:tcPr>
          <w:p w14:paraId="70C42CF9"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123,885.82</w:t>
            </w:r>
          </w:p>
        </w:tc>
        <w:tc>
          <w:tcPr>
            <w:tcW w:w="572" w:type="pct"/>
            <w:tcBorders>
              <w:top w:val="single" w:sz="4" w:space="0" w:color="auto"/>
              <w:left w:val="single" w:sz="4" w:space="0" w:color="auto"/>
              <w:bottom w:val="single" w:sz="4" w:space="0" w:color="auto"/>
              <w:right w:val="single" w:sz="4" w:space="0" w:color="auto"/>
            </w:tcBorders>
            <w:vAlign w:val="center"/>
          </w:tcPr>
          <w:p w14:paraId="30FE3D27"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13.83%</w:t>
            </w:r>
          </w:p>
        </w:tc>
        <w:tc>
          <w:tcPr>
            <w:tcW w:w="699" w:type="pct"/>
            <w:tcBorders>
              <w:top w:val="single" w:sz="4" w:space="0" w:color="auto"/>
              <w:left w:val="single" w:sz="4" w:space="0" w:color="auto"/>
              <w:bottom w:val="single" w:sz="4" w:space="0" w:color="auto"/>
              <w:right w:val="single" w:sz="4" w:space="0" w:color="auto"/>
            </w:tcBorders>
            <w:vAlign w:val="center"/>
          </w:tcPr>
          <w:p w14:paraId="247CBBD7"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119,584.71</w:t>
            </w:r>
          </w:p>
        </w:tc>
        <w:tc>
          <w:tcPr>
            <w:tcW w:w="699" w:type="pct"/>
            <w:tcBorders>
              <w:top w:val="single" w:sz="4" w:space="0" w:color="auto"/>
              <w:left w:val="single" w:sz="4" w:space="0" w:color="auto"/>
              <w:bottom w:val="single" w:sz="4" w:space="0" w:color="auto"/>
              <w:right w:val="single" w:sz="4" w:space="0" w:color="auto"/>
            </w:tcBorders>
            <w:vAlign w:val="center"/>
          </w:tcPr>
          <w:p w14:paraId="603EE332"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129,910.85</w:t>
            </w:r>
          </w:p>
        </w:tc>
        <w:tc>
          <w:tcPr>
            <w:tcW w:w="606" w:type="pct"/>
            <w:tcBorders>
              <w:top w:val="single" w:sz="4" w:space="0" w:color="auto"/>
              <w:left w:val="single" w:sz="4" w:space="0" w:color="auto"/>
              <w:bottom w:val="single" w:sz="4" w:space="0" w:color="auto"/>
              <w:right w:val="nil"/>
            </w:tcBorders>
            <w:vAlign w:val="center"/>
          </w:tcPr>
          <w:p w14:paraId="679EE8ED"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8.63%</w:t>
            </w:r>
          </w:p>
        </w:tc>
      </w:tr>
      <w:tr w:rsidR="00C02929" w14:paraId="783BE28A"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7242EFD3"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营业成本</w:t>
            </w:r>
          </w:p>
        </w:tc>
        <w:tc>
          <w:tcPr>
            <w:tcW w:w="699" w:type="pct"/>
            <w:tcBorders>
              <w:top w:val="single" w:sz="4" w:space="0" w:color="auto"/>
              <w:left w:val="single" w:sz="4" w:space="0" w:color="auto"/>
              <w:bottom w:val="single" w:sz="4" w:space="0" w:color="auto"/>
              <w:right w:val="single" w:sz="4" w:space="0" w:color="auto"/>
            </w:tcBorders>
            <w:vAlign w:val="center"/>
          </w:tcPr>
          <w:p w14:paraId="0CF774C8"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98,489.34</w:t>
            </w:r>
          </w:p>
        </w:tc>
        <w:tc>
          <w:tcPr>
            <w:tcW w:w="699" w:type="pct"/>
            <w:tcBorders>
              <w:top w:val="single" w:sz="4" w:space="0" w:color="auto"/>
              <w:left w:val="single" w:sz="4" w:space="0" w:color="auto"/>
              <w:bottom w:val="single" w:sz="4" w:space="0" w:color="auto"/>
              <w:right w:val="single" w:sz="4" w:space="0" w:color="auto"/>
            </w:tcBorders>
            <w:vAlign w:val="center"/>
          </w:tcPr>
          <w:p w14:paraId="0C47CB57"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108,065.04</w:t>
            </w:r>
          </w:p>
        </w:tc>
        <w:tc>
          <w:tcPr>
            <w:tcW w:w="572" w:type="pct"/>
            <w:tcBorders>
              <w:top w:val="single" w:sz="4" w:space="0" w:color="auto"/>
              <w:left w:val="single" w:sz="4" w:space="0" w:color="auto"/>
              <w:bottom w:val="single" w:sz="4" w:space="0" w:color="auto"/>
              <w:right w:val="single" w:sz="4" w:space="0" w:color="auto"/>
            </w:tcBorders>
            <w:vAlign w:val="center"/>
          </w:tcPr>
          <w:p w14:paraId="3950824D"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9.72%</w:t>
            </w:r>
          </w:p>
        </w:tc>
        <w:tc>
          <w:tcPr>
            <w:tcW w:w="699" w:type="pct"/>
            <w:tcBorders>
              <w:top w:val="single" w:sz="4" w:space="0" w:color="auto"/>
              <w:left w:val="single" w:sz="4" w:space="0" w:color="auto"/>
              <w:bottom w:val="single" w:sz="4" w:space="0" w:color="auto"/>
              <w:right w:val="single" w:sz="4" w:space="0" w:color="auto"/>
            </w:tcBorders>
            <w:vAlign w:val="center"/>
          </w:tcPr>
          <w:p w14:paraId="60A39891"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109,036.73</w:t>
            </w:r>
          </w:p>
        </w:tc>
        <w:tc>
          <w:tcPr>
            <w:tcW w:w="699" w:type="pct"/>
            <w:tcBorders>
              <w:top w:val="single" w:sz="4" w:space="0" w:color="auto"/>
              <w:left w:val="single" w:sz="4" w:space="0" w:color="auto"/>
              <w:bottom w:val="single" w:sz="4" w:space="0" w:color="auto"/>
              <w:right w:val="single" w:sz="4" w:space="0" w:color="auto"/>
            </w:tcBorders>
            <w:vAlign w:val="center"/>
          </w:tcPr>
          <w:p w14:paraId="7F20CF49"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116,223.68</w:t>
            </w:r>
          </w:p>
        </w:tc>
        <w:tc>
          <w:tcPr>
            <w:tcW w:w="606" w:type="pct"/>
            <w:tcBorders>
              <w:top w:val="single" w:sz="4" w:space="0" w:color="auto"/>
              <w:left w:val="single" w:sz="4" w:space="0" w:color="auto"/>
              <w:bottom w:val="single" w:sz="4" w:space="0" w:color="auto"/>
              <w:right w:val="nil"/>
            </w:tcBorders>
            <w:vAlign w:val="center"/>
          </w:tcPr>
          <w:p w14:paraId="28BD10D7"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6.59%</w:t>
            </w:r>
          </w:p>
        </w:tc>
      </w:tr>
      <w:tr w:rsidR="00C02929" w14:paraId="268D9C2F"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2C6ED18E"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营业利润</w:t>
            </w:r>
          </w:p>
        </w:tc>
        <w:tc>
          <w:tcPr>
            <w:tcW w:w="699" w:type="pct"/>
            <w:tcBorders>
              <w:top w:val="single" w:sz="4" w:space="0" w:color="auto"/>
              <w:left w:val="single" w:sz="4" w:space="0" w:color="auto"/>
              <w:bottom w:val="single" w:sz="4" w:space="0" w:color="auto"/>
              <w:right w:val="single" w:sz="4" w:space="0" w:color="auto"/>
            </w:tcBorders>
            <w:vAlign w:val="center"/>
          </w:tcPr>
          <w:p w14:paraId="3269ED28"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12,168.36</w:t>
            </w:r>
          </w:p>
        </w:tc>
        <w:tc>
          <w:tcPr>
            <w:tcW w:w="699" w:type="pct"/>
            <w:tcBorders>
              <w:top w:val="single" w:sz="4" w:space="0" w:color="auto"/>
              <w:left w:val="single" w:sz="4" w:space="0" w:color="auto"/>
              <w:bottom w:val="single" w:sz="4" w:space="0" w:color="auto"/>
              <w:right w:val="single" w:sz="4" w:space="0" w:color="auto"/>
            </w:tcBorders>
            <w:vAlign w:val="center"/>
          </w:tcPr>
          <w:p w14:paraId="24BBF6B1"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15,198.08</w:t>
            </w:r>
          </w:p>
        </w:tc>
        <w:tc>
          <w:tcPr>
            <w:tcW w:w="572" w:type="pct"/>
            <w:tcBorders>
              <w:top w:val="single" w:sz="4" w:space="0" w:color="auto"/>
              <w:left w:val="single" w:sz="4" w:space="0" w:color="auto"/>
              <w:bottom w:val="single" w:sz="4" w:space="0" w:color="auto"/>
              <w:right w:val="single" w:sz="4" w:space="0" w:color="auto"/>
            </w:tcBorders>
            <w:vAlign w:val="center"/>
          </w:tcPr>
          <w:p w14:paraId="59F3B200"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24.90%</w:t>
            </w:r>
          </w:p>
        </w:tc>
        <w:tc>
          <w:tcPr>
            <w:tcW w:w="699" w:type="pct"/>
            <w:tcBorders>
              <w:top w:val="single" w:sz="4" w:space="0" w:color="auto"/>
              <w:left w:val="single" w:sz="4" w:space="0" w:color="auto"/>
              <w:bottom w:val="single" w:sz="4" w:space="0" w:color="auto"/>
              <w:right w:val="single" w:sz="4" w:space="0" w:color="auto"/>
            </w:tcBorders>
            <w:vAlign w:val="center"/>
          </w:tcPr>
          <w:p w14:paraId="750091B3"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-15,988.59</w:t>
            </w:r>
          </w:p>
        </w:tc>
        <w:tc>
          <w:tcPr>
            <w:tcW w:w="699" w:type="pct"/>
            <w:tcBorders>
              <w:top w:val="single" w:sz="4" w:space="0" w:color="auto"/>
              <w:left w:val="single" w:sz="4" w:space="0" w:color="auto"/>
              <w:bottom w:val="single" w:sz="4" w:space="0" w:color="auto"/>
              <w:right w:val="single" w:sz="4" w:space="0" w:color="auto"/>
            </w:tcBorders>
            <w:vAlign w:val="center"/>
          </w:tcPr>
          <w:p w14:paraId="31E268DA"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-14,950.28</w:t>
            </w:r>
          </w:p>
        </w:tc>
        <w:tc>
          <w:tcPr>
            <w:tcW w:w="606" w:type="pct"/>
            <w:tcBorders>
              <w:top w:val="single" w:sz="4" w:space="0" w:color="auto"/>
              <w:left w:val="single" w:sz="4" w:space="0" w:color="auto"/>
              <w:bottom w:val="single" w:sz="4" w:space="0" w:color="auto"/>
              <w:right w:val="nil"/>
            </w:tcBorders>
            <w:vAlign w:val="center"/>
          </w:tcPr>
          <w:p w14:paraId="55DD5187"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6.49%</w:t>
            </w:r>
          </w:p>
        </w:tc>
      </w:tr>
      <w:tr w:rsidR="00C02929" w14:paraId="6DD7A07C"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21AD7F62"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利润总额</w:t>
            </w:r>
          </w:p>
        </w:tc>
        <w:tc>
          <w:tcPr>
            <w:tcW w:w="699" w:type="pct"/>
            <w:tcBorders>
              <w:top w:val="single" w:sz="4" w:space="0" w:color="auto"/>
              <w:left w:val="single" w:sz="4" w:space="0" w:color="auto"/>
              <w:bottom w:val="single" w:sz="4" w:space="0" w:color="auto"/>
              <w:right w:val="single" w:sz="4" w:space="0" w:color="auto"/>
            </w:tcBorders>
            <w:vAlign w:val="center"/>
          </w:tcPr>
          <w:p w14:paraId="17FC90F2"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12,200.13</w:t>
            </w:r>
          </w:p>
        </w:tc>
        <w:tc>
          <w:tcPr>
            <w:tcW w:w="699" w:type="pct"/>
            <w:tcBorders>
              <w:top w:val="single" w:sz="4" w:space="0" w:color="auto"/>
              <w:left w:val="single" w:sz="4" w:space="0" w:color="auto"/>
              <w:bottom w:val="single" w:sz="4" w:space="0" w:color="auto"/>
              <w:right w:val="single" w:sz="4" w:space="0" w:color="auto"/>
            </w:tcBorders>
            <w:vAlign w:val="center"/>
          </w:tcPr>
          <w:p w14:paraId="4F514C2F"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15,181.61</w:t>
            </w:r>
          </w:p>
        </w:tc>
        <w:tc>
          <w:tcPr>
            <w:tcW w:w="572" w:type="pct"/>
            <w:tcBorders>
              <w:top w:val="single" w:sz="4" w:space="0" w:color="auto"/>
              <w:left w:val="single" w:sz="4" w:space="0" w:color="auto"/>
              <w:bottom w:val="single" w:sz="4" w:space="0" w:color="auto"/>
              <w:right w:val="single" w:sz="4" w:space="0" w:color="auto"/>
            </w:tcBorders>
            <w:vAlign w:val="center"/>
          </w:tcPr>
          <w:p w14:paraId="7CE490B8"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24.44%</w:t>
            </w:r>
          </w:p>
        </w:tc>
        <w:tc>
          <w:tcPr>
            <w:tcW w:w="699" w:type="pct"/>
            <w:tcBorders>
              <w:top w:val="single" w:sz="4" w:space="0" w:color="auto"/>
              <w:left w:val="single" w:sz="4" w:space="0" w:color="auto"/>
              <w:bottom w:val="single" w:sz="4" w:space="0" w:color="auto"/>
              <w:right w:val="single" w:sz="4" w:space="0" w:color="auto"/>
            </w:tcBorders>
            <w:vAlign w:val="center"/>
          </w:tcPr>
          <w:p w14:paraId="6790E764"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-15,981.94</w:t>
            </w:r>
          </w:p>
        </w:tc>
        <w:tc>
          <w:tcPr>
            <w:tcW w:w="699" w:type="pct"/>
            <w:tcBorders>
              <w:top w:val="single" w:sz="4" w:space="0" w:color="auto"/>
              <w:left w:val="single" w:sz="4" w:space="0" w:color="auto"/>
              <w:bottom w:val="single" w:sz="4" w:space="0" w:color="auto"/>
              <w:right w:val="single" w:sz="4" w:space="0" w:color="auto"/>
            </w:tcBorders>
            <w:vAlign w:val="center"/>
          </w:tcPr>
          <w:p w14:paraId="3D09CD9B"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-14,900.02</w:t>
            </w:r>
          </w:p>
        </w:tc>
        <w:tc>
          <w:tcPr>
            <w:tcW w:w="606" w:type="pct"/>
            <w:tcBorders>
              <w:top w:val="single" w:sz="4" w:space="0" w:color="auto"/>
              <w:left w:val="single" w:sz="4" w:space="0" w:color="auto"/>
              <w:bottom w:val="single" w:sz="4" w:space="0" w:color="auto"/>
              <w:right w:val="nil"/>
            </w:tcBorders>
            <w:vAlign w:val="center"/>
          </w:tcPr>
          <w:p w14:paraId="3C218AD3"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6.77%</w:t>
            </w:r>
          </w:p>
        </w:tc>
      </w:tr>
      <w:tr w:rsidR="00C02929" w14:paraId="053E3C8B" w14:textId="77777777">
        <w:trPr>
          <w:trHeight w:val="397"/>
          <w:jc w:val="center"/>
        </w:trPr>
        <w:tc>
          <w:tcPr>
            <w:tcW w:w="1026" w:type="pct"/>
            <w:tcBorders>
              <w:top w:val="single" w:sz="4" w:space="0" w:color="auto"/>
              <w:left w:val="nil"/>
              <w:bottom w:val="single" w:sz="4" w:space="0" w:color="auto"/>
              <w:right w:val="single" w:sz="4" w:space="0" w:color="auto"/>
            </w:tcBorders>
            <w:vAlign w:val="center"/>
          </w:tcPr>
          <w:p w14:paraId="04349B1A"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净利润</w:t>
            </w:r>
          </w:p>
        </w:tc>
        <w:tc>
          <w:tcPr>
            <w:tcW w:w="699" w:type="pct"/>
            <w:tcBorders>
              <w:top w:val="single" w:sz="4" w:space="0" w:color="auto"/>
              <w:left w:val="single" w:sz="4" w:space="0" w:color="auto"/>
              <w:bottom w:val="single" w:sz="4" w:space="0" w:color="auto"/>
              <w:right w:val="single" w:sz="4" w:space="0" w:color="auto"/>
            </w:tcBorders>
            <w:vAlign w:val="center"/>
          </w:tcPr>
          <w:p w14:paraId="712EF734"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11,936.44</w:t>
            </w:r>
          </w:p>
        </w:tc>
        <w:tc>
          <w:tcPr>
            <w:tcW w:w="699" w:type="pct"/>
            <w:tcBorders>
              <w:top w:val="single" w:sz="4" w:space="0" w:color="auto"/>
              <w:left w:val="single" w:sz="4" w:space="0" w:color="auto"/>
              <w:bottom w:val="single" w:sz="4" w:space="0" w:color="auto"/>
              <w:right w:val="single" w:sz="4" w:space="0" w:color="auto"/>
            </w:tcBorders>
            <w:vAlign w:val="center"/>
          </w:tcPr>
          <w:p w14:paraId="31CE8006"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14,495.26</w:t>
            </w:r>
          </w:p>
        </w:tc>
        <w:tc>
          <w:tcPr>
            <w:tcW w:w="572" w:type="pct"/>
            <w:tcBorders>
              <w:top w:val="single" w:sz="4" w:space="0" w:color="auto"/>
              <w:left w:val="single" w:sz="4" w:space="0" w:color="auto"/>
              <w:bottom w:val="single" w:sz="4" w:space="0" w:color="auto"/>
              <w:right w:val="single" w:sz="4" w:space="0" w:color="auto"/>
            </w:tcBorders>
            <w:vAlign w:val="center"/>
          </w:tcPr>
          <w:p w14:paraId="5A124304"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21.44%</w:t>
            </w:r>
          </w:p>
        </w:tc>
        <w:tc>
          <w:tcPr>
            <w:tcW w:w="699" w:type="pct"/>
            <w:tcBorders>
              <w:top w:val="single" w:sz="4" w:space="0" w:color="auto"/>
              <w:left w:val="single" w:sz="4" w:space="0" w:color="auto"/>
              <w:bottom w:val="single" w:sz="4" w:space="0" w:color="auto"/>
              <w:right w:val="single" w:sz="4" w:space="0" w:color="auto"/>
            </w:tcBorders>
            <w:vAlign w:val="center"/>
          </w:tcPr>
          <w:p w14:paraId="09A1CC52"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-16,252.67</w:t>
            </w:r>
          </w:p>
        </w:tc>
        <w:tc>
          <w:tcPr>
            <w:tcW w:w="699" w:type="pct"/>
            <w:tcBorders>
              <w:top w:val="single" w:sz="4" w:space="0" w:color="auto"/>
              <w:left w:val="single" w:sz="4" w:space="0" w:color="auto"/>
              <w:bottom w:val="single" w:sz="4" w:space="0" w:color="auto"/>
              <w:right w:val="single" w:sz="4" w:space="0" w:color="auto"/>
            </w:tcBorders>
            <w:vAlign w:val="center"/>
          </w:tcPr>
          <w:p w14:paraId="1F280D6E"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-15,304.51</w:t>
            </w:r>
          </w:p>
        </w:tc>
        <w:tc>
          <w:tcPr>
            <w:tcW w:w="606" w:type="pct"/>
            <w:tcBorders>
              <w:top w:val="single" w:sz="4" w:space="0" w:color="auto"/>
              <w:left w:val="single" w:sz="4" w:space="0" w:color="auto"/>
              <w:bottom w:val="single" w:sz="4" w:space="0" w:color="auto"/>
              <w:right w:val="nil"/>
            </w:tcBorders>
            <w:vAlign w:val="center"/>
          </w:tcPr>
          <w:p w14:paraId="5E97EBCF"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5.83%</w:t>
            </w:r>
          </w:p>
        </w:tc>
      </w:tr>
      <w:tr w:rsidR="00C02929" w14:paraId="1EC324A1" w14:textId="77777777">
        <w:trPr>
          <w:trHeight w:val="397"/>
          <w:jc w:val="center"/>
        </w:trPr>
        <w:tc>
          <w:tcPr>
            <w:tcW w:w="1026" w:type="pct"/>
            <w:tcBorders>
              <w:top w:val="single" w:sz="4" w:space="0" w:color="auto"/>
              <w:left w:val="nil"/>
              <w:bottom w:val="single" w:sz="12" w:space="0" w:color="auto"/>
              <w:right w:val="single" w:sz="4" w:space="0" w:color="auto"/>
            </w:tcBorders>
            <w:vAlign w:val="center"/>
          </w:tcPr>
          <w:p w14:paraId="3FA559E4" w14:textId="77777777" w:rsidR="00C02929" w:rsidRDefault="006116D1">
            <w:pPr>
              <w:jc w:val="both"/>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归属于母公司所有者的净利润</w:t>
            </w:r>
          </w:p>
        </w:tc>
        <w:tc>
          <w:tcPr>
            <w:tcW w:w="699" w:type="pct"/>
            <w:tcBorders>
              <w:top w:val="single" w:sz="4" w:space="0" w:color="auto"/>
              <w:left w:val="single" w:sz="4" w:space="0" w:color="auto"/>
              <w:bottom w:val="single" w:sz="12" w:space="0" w:color="auto"/>
              <w:right w:val="single" w:sz="4" w:space="0" w:color="auto"/>
            </w:tcBorders>
            <w:vAlign w:val="center"/>
          </w:tcPr>
          <w:p w14:paraId="45765EEA"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15,643.18</w:t>
            </w:r>
          </w:p>
        </w:tc>
        <w:tc>
          <w:tcPr>
            <w:tcW w:w="699" w:type="pct"/>
            <w:tcBorders>
              <w:top w:val="single" w:sz="4" w:space="0" w:color="auto"/>
              <w:left w:val="single" w:sz="4" w:space="0" w:color="auto"/>
              <w:bottom w:val="single" w:sz="12" w:space="0" w:color="auto"/>
              <w:right w:val="single" w:sz="4" w:space="0" w:color="auto"/>
            </w:tcBorders>
            <w:vAlign w:val="center"/>
          </w:tcPr>
          <w:p w14:paraId="6923FDBD"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17,690.23</w:t>
            </w:r>
          </w:p>
        </w:tc>
        <w:tc>
          <w:tcPr>
            <w:tcW w:w="572" w:type="pct"/>
            <w:tcBorders>
              <w:top w:val="single" w:sz="4" w:space="0" w:color="auto"/>
              <w:left w:val="single" w:sz="4" w:space="0" w:color="auto"/>
              <w:bottom w:val="single" w:sz="12" w:space="0" w:color="auto"/>
              <w:right w:val="single" w:sz="4" w:space="0" w:color="auto"/>
            </w:tcBorders>
            <w:vAlign w:val="center"/>
          </w:tcPr>
          <w:p w14:paraId="24CA277C"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楷体" w:hAnsi="Times New Roman" w:cs="Times New Roman"/>
                <w:color w:val="000000"/>
                <w:sz w:val="21"/>
                <w:szCs w:val="21"/>
              </w:rPr>
              <w:t>13.09%</w:t>
            </w:r>
          </w:p>
        </w:tc>
        <w:tc>
          <w:tcPr>
            <w:tcW w:w="699" w:type="pct"/>
            <w:tcBorders>
              <w:top w:val="single" w:sz="4" w:space="0" w:color="auto"/>
              <w:left w:val="single" w:sz="4" w:space="0" w:color="auto"/>
              <w:bottom w:val="single" w:sz="12" w:space="0" w:color="auto"/>
              <w:right w:val="single" w:sz="4" w:space="0" w:color="auto"/>
            </w:tcBorders>
            <w:vAlign w:val="center"/>
          </w:tcPr>
          <w:p w14:paraId="7A598221"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-13,003.68</w:t>
            </w:r>
          </w:p>
        </w:tc>
        <w:tc>
          <w:tcPr>
            <w:tcW w:w="699" w:type="pct"/>
            <w:tcBorders>
              <w:top w:val="single" w:sz="4" w:space="0" w:color="auto"/>
              <w:left w:val="single" w:sz="4" w:space="0" w:color="auto"/>
              <w:bottom w:val="single" w:sz="12" w:space="0" w:color="auto"/>
              <w:right w:val="single" w:sz="4" w:space="0" w:color="auto"/>
            </w:tcBorders>
            <w:vAlign w:val="center"/>
          </w:tcPr>
          <w:p w14:paraId="56E23422"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-12,245.14</w:t>
            </w:r>
          </w:p>
        </w:tc>
        <w:tc>
          <w:tcPr>
            <w:tcW w:w="606" w:type="pct"/>
            <w:tcBorders>
              <w:top w:val="single" w:sz="4" w:space="0" w:color="auto"/>
              <w:left w:val="single" w:sz="4" w:space="0" w:color="auto"/>
              <w:bottom w:val="single" w:sz="12" w:space="0" w:color="auto"/>
              <w:right w:val="nil"/>
            </w:tcBorders>
            <w:vAlign w:val="center"/>
          </w:tcPr>
          <w:p w14:paraId="3EF6D7D7" w14:textId="77777777" w:rsidR="00C02929" w:rsidRDefault="006116D1">
            <w:pPr>
              <w:jc w:val="right"/>
              <w:rPr>
                <w:rFonts w:ascii="Times New Roman" w:hAnsi="Times New Roman" w:cs="Times New Roman"/>
                <w:color w:val="000000"/>
                <w:sz w:val="21"/>
                <w:szCs w:val="21"/>
                <w:lang w:val="en-GB"/>
              </w:rPr>
            </w:pPr>
            <w:r>
              <w:rPr>
                <w:rFonts w:ascii="Times New Roman" w:eastAsia="楷体" w:hAnsi="Times New Roman" w:cs="Times New Roman"/>
                <w:color w:val="000000"/>
                <w:sz w:val="21"/>
                <w:szCs w:val="21"/>
              </w:rPr>
              <w:t>5.83%</w:t>
            </w:r>
          </w:p>
        </w:tc>
      </w:tr>
    </w:tbl>
    <w:p w14:paraId="3F60FFF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本次交易完成后，上市公司</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年度、</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年度的营业收入、净利润等指标均有所增长，盈利能力有所提高。</w:t>
      </w:r>
    </w:p>
    <w:p w14:paraId="07479706"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标的公司在业绩承诺期内各会计年度经审计的、按照扣除非经常性损益前后</w:t>
      </w:r>
      <w:r>
        <w:rPr>
          <w:rFonts w:ascii="Times New Roman" w:hAnsi="Times New Roman" w:cs="Times New Roman" w:hint="eastAsia"/>
          <w:bCs/>
          <w:color w:val="000000"/>
          <w:szCs w:val="21"/>
        </w:rPr>
        <w:t>归属于母公司所有者的净利润</w:t>
      </w:r>
      <w:r>
        <w:rPr>
          <w:rFonts w:ascii="Times New Roman" w:hAnsi="Times New Roman" w:cs="Times New Roman" w:hint="eastAsia"/>
          <w:bCs/>
          <w:color w:val="000000"/>
          <w:szCs w:val="21"/>
          <w:lang w:val="en-GB"/>
        </w:rPr>
        <w:t>孰低原则确定的承诺净利润分别为：</w:t>
      </w:r>
    </w:p>
    <w:tbl>
      <w:tblPr>
        <w:tblW w:w="8363" w:type="dxa"/>
        <w:jc w:val="center"/>
        <w:tblBorders>
          <w:top w:val="single" w:sz="12" w:space="0" w:color="auto"/>
          <w:bottom w:val="single" w:sz="12" w:space="0" w:color="auto"/>
          <w:insideH w:val="outset" w:sz="6" w:space="0" w:color="auto"/>
          <w:insideV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186"/>
        <w:gridCol w:w="2180"/>
        <w:gridCol w:w="1993"/>
        <w:gridCol w:w="2004"/>
      </w:tblGrid>
      <w:tr w:rsidR="00C02929" w14:paraId="2C43FC50" w14:textId="77777777">
        <w:trPr>
          <w:trHeight w:val="397"/>
          <w:tblHeader/>
          <w:jc w:val="center"/>
        </w:trPr>
        <w:tc>
          <w:tcPr>
            <w:tcW w:w="8363" w:type="dxa"/>
            <w:gridSpan w:val="4"/>
            <w:shd w:val="clear" w:color="auto" w:fill="FFFFFF"/>
            <w:vAlign w:val="center"/>
          </w:tcPr>
          <w:p w14:paraId="607965D1" w14:textId="77777777" w:rsidR="00C02929" w:rsidRDefault="006116D1">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承诺净利润（万元）</w:t>
            </w:r>
          </w:p>
        </w:tc>
      </w:tr>
      <w:tr w:rsidR="00C02929" w14:paraId="0FB34E13" w14:textId="77777777">
        <w:trPr>
          <w:trHeight w:val="397"/>
          <w:jc w:val="center"/>
        </w:trPr>
        <w:tc>
          <w:tcPr>
            <w:tcW w:w="2186" w:type="dxa"/>
            <w:shd w:val="clear" w:color="auto" w:fill="FFFFFF"/>
            <w:vAlign w:val="center"/>
          </w:tcPr>
          <w:p w14:paraId="4733466E" w14:textId="77777777" w:rsidR="00C02929" w:rsidRDefault="006116D1">
            <w:pPr>
              <w:keepNext/>
              <w:widowControl w:val="0"/>
              <w:jc w:val="center"/>
              <w:rPr>
                <w:rFonts w:ascii="Times New Roman" w:hAnsi="Times New Roman" w:cs="Times New Roman"/>
                <w:b/>
                <w:bCs/>
                <w:color w:val="333333"/>
                <w:kern w:val="2"/>
                <w:sz w:val="21"/>
                <w:szCs w:val="21"/>
              </w:rPr>
            </w:pPr>
            <w:r>
              <w:rPr>
                <w:rFonts w:ascii="Times New Roman" w:hAnsi="Times New Roman" w:cs="Times New Roman"/>
                <w:b/>
                <w:bCs/>
                <w:color w:val="333333"/>
                <w:kern w:val="2"/>
                <w:sz w:val="21"/>
                <w:szCs w:val="21"/>
              </w:rPr>
              <w:t>2020</w:t>
            </w:r>
            <w:r>
              <w:rPr>
                <w:rFonts w:ascii="Times New Roman" w:hAnsi="Times New Roman" w:cs="Times New Roman"/>
                <w:b/>
                <w:bCs/>
                <w:color w:val="333333"/>
                <w:kern w:val="2"/>
                <w:sz w:val="21"/>
                <w:szCs w:val="21"/>
              </w:rPr>
              <w:t>年</w:t>
            </w:r>
          </w:p>
        </w:tc>
        <w:tc>
          <w:tcPr>
            <w:tcW w:w="2180" w:type="dxa"/>
            <w:shd w:val="clear" w:color="auto" w:fill="FFFFFF"/>
            <w:tcMar>
              <w:top w:w="0" w:type="dxa"/>
              <w:left w:w="0" w:type="dxa"/>
              <w:bottom w:w="0" w:type="dxa"/>
              <w:right w:w="0" w:type="dxa"/>
            </w:tcMar>
            <w:vAlign w:val="center"/>
          </w:tcPr>
          <w:p w14:paraId="1521BABD" w14:textId="77777777" w:rsidR="00C02929" w:rsidRDefault="006116D1">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2021</w:t>
            </w:r>
            <w:r>
              <w:rPr>
                <w:rFonts w:ascii="Times New Roman" w:hAnsi="Times New Roman" w:cs="Times New Roman"/>
                <w:b/>
                <w:bCs/>
                <w:color w:val="333333"/>
                <w:kern w:val="2"/>
                <w:sz w:val="21"/>
                <w:szCs w:val="21"/>
              </w:rPr>
              <w:t>年</w:t>
            </w:r>
          </w:p>
        </w:tc>
        <w:tc>
          <w:tcPr>
            <w:tcW w:w="1993" w:type="dxa"/>
            <w:shd w:val="clear" w:color="auto" w:fill="FFFFFF"/>
            <w:tcMar>
              <w:top w:w="0" w:type="dxa"/>
              <w:left w:w="0" w:type="dxa"/>
              <w:bottom w:w="0" w:type="dxa"/>
              <w:right w:w="0" w:type="dxa"/>
            </w:tcMar>
            <w:vAlign w:val="center"/>
          </w:tcPr>
          <w:p w14:paraId="4A0590CB" w14:textId="77777777" w:rsidR="00C02929" w:rsidRDefault="006116D1">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2022</w:t>
            </w:r>
            <w:r>
              <w:rPr>
                <w:rFonts w:ascii="Times New Roman" w:hAnsi="Times New Roman" w:cs="Times New Roman"/>
                <w:b/>
                <w:bCs/>
                <w:color w:val="333333"/>
                <w:kern w:val="2"/>
                <w:sz w:val="21"/>
                <w:szCs w:val="21"/>
              </w:rPr>
              <w:t>年</w:t>
            </w:r>
          </w:p>
        </w:tc>
        <w:tc>
          <w:tcPr>
            <w:tcW w:w="2004" w:type="dxa"/>
            <w:shd w:val="clear" w:color="auto" w:fill="FFFFFF"/>
            <w:tcMar>
              <w:top w:w="0" w:type="dxa"/>
              <w:left w:w="0" w:type="dxa"/>
              <w:bottom w:w="0" w:type="dxa"/>
              <w:right w:w="0" w:type="dxa"/>
            </w:tcMar>
            <w:vAlign w:val="center"/>
          </w:tcPr>
          <w:p w14:paraId="5290950F" w14:textId="77777777" w:rsidR="00C02929" w:rsidRDefault="006116D1">
            <w:pPr>
              <w:keepNext/>
              <w:widowControl w:val="0"/>
              <w:jc w:val="center"/>
              <w:rPr>
                <w:rFonts w:ascii="Times New Roman" w:hAnsi="Times New Roman" w:cs="Times New Roman"/>
                <w:b/>
                <w:bCs/>
                <w:kern w:val="2"/>
                <w:sz w:val="21"/>
                <w:szCs w:val="21"/>
              </w:rPr>
            </w:pPr>
            <w:r>
              <w:rPr>
                <w:rFonts w:ascii="Times New Roman" w:hAnsi="Times New Roman" w:cs="Times New Roman"/>
                <w:b/>
                <w:bCs/>
                <w:color w:val="333333"/>
                <w:kern w:val="2"/>
                <w:sz w:val="21"/>
                <w:szCs w:val="21"/>
              </w:rPr>
              <w:t>2023</w:t>
            </w:r>
            <w:r>
              <w:rPr>
                <w:rFonts w:ascii="Times New Roman" w:hAnsi="Times New Roman" w:cs="Times New Roman"/>
                <w:b/>
                <w:bCs/>
                <w:color w:val="333333"/>
                <w:kern w:val="2"/>
                <w:sz w:val="21"/>
                <w:szCs w:val="21"/>
              </w:rPr>
              <w:t>年</w:t>
            </w:r>
          </w:p>
        </w:tc>
      </w:tr>
      <w:tr w:rsidR="00C02929" w14:paraId="051EACB5" w14:textId="77777777">
        <w:trPr>
          <w:trHeight w:val="397"/>
          <w:jc w:val="center"/>
        </w:trPr>
        <w:tc>
          <w:tcPr>
            <w:tcW w:w="2186" w:type="dxa"/>
            <w:shd w:val="clear" w:color="auto" w:fill="FFFFFF"/>
            <w:vAlign w:val="center"/>
          </w:tcPr>
          <w:p w14:paraId="6CC6D869" w14:textId="77777777" w:rsidR="00C02929" w:rsidRDefault="006116D1">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2,750.00</w:t>
            </w:r>
          </w:p>
        </w:tc>
        <w:tc>
          <w:tcPr>
            <w:tcW w:w="2180" w:type="dxa"/>
            <w:shd w:val="clear" w:color="auto" w:fill="FFFFFF"/>
            <w:tcMar>
              <w:top w:w="0" w:type="dxa"/>
              <w:left w:w="0" w:type="dxa"/>
              <w:bottom w:w="0" w:type="dxa"/>
              <w:right w:w="0" w:type="dxa"/>
            </w:tcMar>
            <w:vAlign w:val="center"/>
          </w:tcPr>
          <w:p w14:paraId="2369261D" w14:textId="77777777" w:rsidR="00C02929" w:rsidRDefault="006116D1">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3,800.00</w:t>
            </w:r>
          </w:p>
        </w:tc>
        <w:tc>
          <w:tcPr>
            <w:tcW w:w="1993" w:type="dxa"/>
            <w:shd w:val="clear" w:color="auto" w:fill="FFFFFF"/>
            <w:tcMar>
              <w:top w:w="0" w:type="dxa"/>
              <w:left w:w="0" w:type="dxa"/>
              <w:bottom w:w="0" w:type="dxa"/>
              <w:right w:w="0" w:type="dxa"/>
            </w:tcMar>
            <w:vAlign w:val="center"/>
          </w:tcPr>
          <w:p w14:paraId="13E7E4A7" w14:textId="77777777" w:rsidR="00C02929" w:rsidRDefault="006116D1">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4,100.00</w:t>
            </w:r>
          </w:p>
        </w:tc>
        <w:tc>
          <w:tcPr>
            <w:tcW w:w="2004" w:type="dxa"/>
            <w:shd w:val="clear" w:color="auto" w:fill="FFFFFF"/>
            <w:tcMar>
              <w:top w:w="0" w:type="dxa"/>
              <w:left w:w="0" w:type="dxa"/>
              <w:bottom w:w="0" w:type="dxa"/>
              <w:right w:w="0" w:type="dxa"/>
            </w:tcMar>
            <w:vAlign w:val="center"/>
          </w:tcPr>
          <w:p w14:paraId="423BA466" w14:textId="77777777" w:rsidR="00C02929" w:rsidRDefault="006116D1">
            <w:pPr>
              <w:widowControl w:val="0"/>
              <w:jc w:val="right"/>
              <w:rPr>
                <w:rFonts w:ascii="Times New Roman" w:hAnsi="Times New Roman" w:cs="Times New Roman"/>
                <w:kern w:val="2"/>
                <w:sz w:val="21"/>
                <w:szCs w:val="21"/>
              </w:rPr>
            </w:pPr>
            <w:r>
              <w:rPr>
                <w:rFonts w:ascii="Times New Roman" w:hAnsi="Times New Roman" w:cs="Times New Roman"/>
                <w:kern w:val="2"/>
                <w:sz w:val="21"/>
                <w:szCs w:val="21"/>
              </w:rPr>
              <w:t>4,300.00</w:t>
            </w:r>
          </w:p>
        </w:tc>
      </w:tr>
    </w:tbl>
    <w:p w14:paraId="04D45275"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如果北洋天青在业绩承诺期内各年度均能够实现其承诺净利润数，上市公司持续盈利能力将进一步增强。</w:t>
      </w:r>
    </w:p>
    <w:p w14:paraId="606BF68B"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六、补充披露情况</w:t>
      </w:r>
    </w:p>
    <w:p w14:paraId="28DE1A8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val="en-GB"/>
        </w:rPr>
        <w:t>上市公司已在《重组报告书》“第十三节</w:t>
      </w:r>
      <w:r>
        <w:rPr>
          <w:rFonts w:ascii="Times New Roman" w:hAnsi="Times New Roman" w:cs="Times New Roman"/>
          <w:bCs/>
          <w:color w:val="000000"/>
          <w:szCs w:val="21"/>
          <w:lang w:val="en-GB"/>
        </w:rPr>
        <w:t xml:space="preserve"> </w:t>
      </w:r>
      <w:r>
        <w:rPr>
          <w:rFonts w:ascii="Times New Roman" w:hAnsi="Times New Roman" w:cs="Times New Roman" w:hint="eastAsia"/>
          <w:bCs/>
          <w:color w:val="000000"/>
          <w:szCs w:val="21"/>
          <w:lang w:val="en-GB"/>
        </w:rPr>
        <w:t>其他重要事项”之“十三、本次收购的必要性”进行了补充披露。</w:t>
      </w:r>
    </w:p>
    <w:p w14:paraId="6BAB5878"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七、独立财务顾问核查意见</w:t>
      </w:r>
    </w:p>
    <w:p w14:paraId="276DE7BC"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经核查，独立财务顾问认为：本次收购有利于拓展上市公司的业务范围，有利于实现上市公司资产规模的扩张和财务指标的改善，有利于上市公司推动智能制造和信息化建设，有利于上市公司获取北洋天青在家电行业智能制造领域的市场地位，因此，本次收购具有一定的必要性。本次交易有利于上市公司增强持续盈利能力。</w:t>
      </w:r>
    </w:p>
    <w:p w14:paraId="3E5FDFC1"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themeColor="text1"/>
          <w:szCs w:val="21"/>
        </w:rPr>
        <w:t>补充披露</w:t>
      </w:r>
      <w:r>
        <w:rPr>
          <w:rFonts w:ascii="Times New Roman" w:eastAsia="黑体" w:hAnsi="Times New Roman" w:cs="Times New Roman" w:hint="eastAsia"/>
          <w:b/>
          <w:color w:val="000000"/>
          <w:szCs w:val="21"/>
        </w:rPr>
        <w:t>上市公司与标的资产主业是否存在显著协同效应及其认定理由，如否，补充披露上市公司是否具备充足的家电智能制造行业知识、经营管理能力、资源整合能力及营销能力，交易完成后能否在有效控制管理成本的前提下整合和管控标的资产，对潜在整合风险有何应对措施。请独立财务顾问核查并发表明确意见。</w:t>
      </w:r>
    </w:p>
    <w:p w14:paraId="7F17BB63"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一、上市公司与标的资产主业不存在显著协同效应</w:t>
      </w:r>
    </w:p>
    <w:p w14:paraId="4C7CC1B8"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本次交易前，上市公司主要从事压力容器的研发、生产加工及销售业务，主要产品包括车用液化天然气（</w:t>
      </w:r>
      <w:r>
        <w:rPr>
          <w:rFonts w:ascii="Times New Roman" w:hAnsi="Times New Roman" w:cs="Times New Roman" w:hint="eastAsia"/>
          <w:bCs/>
          <w:color w:val="000000"/>
          <w:szCs w:val="21"/>
        </w:rPr>
        <w:t>LNG</w:t>
      </w:r>
      <w:r>
        <w:rPr>
          <w:rFonts w:ascii="Times New Roman" w:hAnsi="Times New Roman" w:cs="Times New Roman" w:hint="eastAsia"/>
          <w:bCs/>
          <w:color w:val="000000"/>
          <w:szCs w:val="21"/>
        </w:rPr>
        <w:t>）气瓶，车用压缩天然气（</w:t>
      </w:r>
      <w:r>
        <w:rPr>
          <w:rFonts w:ascii="Times New Roman" w:hAnsi="Times New Roman" w:cs="Times New Roman" w:hint="eastAsia"/>
          <w:bCs/>
          <w:color w:val="000000"/>
          <w:szCs w:val="21"/>
        </w:rPr>
        <w:t>CNG</w:t>
      </w:r>
      <w:r>
        <w:rPr>
          <w:rFonts w:ascii="Times New Roman" w:hAnsi="Times New Roman" w:cs="Times New Roman" w:hint="eastAsia"/>
          <w:bCs/>
          <w:color w:val="000000"/>
          <w:szCs w:val="21"/>
        </w:rPr>
        <w:t>）气瓶，钢质无缝气瓶，钢质焊接气瓶，焊接绝热气瓶，碳纤维全缠绕复合气瓶，板冲式无石棉填料乙炔瓶</w:t>
      </w:r>
      <w:r>
        <w:rPr>
          <w:rFonts w:ascii="Times New Roman" w:hAnsi="Times New Roman" w:cs="Times New Roman" w:hint="eastAsia"/>
          <w:bCs/>
          <w:color w:val="000000"/>
          <w:szCs w:val="21"/>
        </w:rPr>
        <w:t>ISO</w:t>
      </w:r>
      <w:r>
        <w:rPr>
          <w:rFonts w:ascii="Times New Roman" w:hAnsi="Times New Roman" w:cs="Times New Roman" w:hint="eastAsia"/>
          <w:bCs/>
          <w:color w:val="000000"/>
          <w:szCs w:val="21"/>
        </w:rPr>
        <w:t>罐式集装箱，氢燃料电池用铝内胆碳纤维全缠绕复合气瓶以及低温储罐、</w:t>
      </w:r>
      <w:r>
        <w:rPr>
          <w:rFonts w:ascii="Times New Roman" w:hAnsi="Times New Roman" w:cs="Times New Roman" w:hint="eastAsia"/>
          <w:bCs/>
          <w:color w:val="000000"/>
          <w:szCs w:val="21"/>
        </w:rPr>
        <w:t>LNG</w:t>
      </w:r>
      <w:r>
        <w:rPr>
          <w:rFonts w:ascii="Times New Roman" w:hAnsi="Times New Roman" w:cs="Times New Roman" w:hint="eastAsia"/>
          <w:bCs/>
          <w:color w:val="000000"/>
          <w:szCs w:val="21"/>
        </w:rPr>
        <w:t>加气站设备等。北洋天青深耕家电自动化领域，主要从事家电行业的生产线智能化、信息化建设、升级和改造，形成了包括工业机器人本体及系统集成、智能制造装备、机器视觉、测试系统集成、模具立体库自动换模系统、物流悬挂输送系统和企业信息化七大业务板块的产品线。因此，上市公司与标的资产主业不存在显著的协同效应。</w:t>
      </w:r>
    </w:p>
    <w:p w14:paraId="69209A51"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二、上市公司具备充足的家电智能制造行业知识、经营管理能力、资源整合能力及营销能力</w:t>
      </w:r>
    </w:p>
    <w:p w14:paraId="22CCF38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董事、高管人员具有丰富的企业管理经验，董事长、总经理、执行董事、总工程师等主要人员均有十年以上的工业机械行业工作及管理经验。上市公司以技术基础优良、产品稳定可靠的企业形象以及友好的客户关系为基础，拥有良好的资源整合能力。</w:t>
      </w:r>
    </w:p>
    <w:p w14:paraId="2BA7AE01"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本次重组完成后，在保持标的公司经营管理层基本不变的情况下，上市公司将向北洋天青委派董事、副总经理及财务总监等。上述安排既保持了标的公司原</w:t>
      </w:r>
      <w:r>
        <w:rPr>
          <w:rFonts w:ascii="Times New Roman" w:hAnsi="Times New Roman" w:cs="Times New Roman" w:hint="eastAsia"/>
          <w:bCs/>
          <w:color w:val="000000"/>
          <w:szCs w:val="21"/>
        </w:rPr>
        <w:lastRenderedPageBreak/>
        <w:t>有经营所需的人员、技术、运营、客户资源，又引入了上市公司管理体系。同时，上市公司未来将不断地吸收智能制造相关行业人员储备，以满足标的公司未来发展中所需要的人员、技术和销售等需求。</w:t>
      </w:r>
    </w:p>
    <w:p w14:paraId="5ACB3108"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综上所述，本次收购完成后上市公司具备充足的家电智能制造行业知识、经营管理能力、资源整合能力及营销能力。</w:t>
      </w:r>
    </w:p>
    <w:p w14:paraId="4024E37C"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三、交易完成后上市公司能够在有效控制管理成本的前提下整合和管控标的资产</w:t>
      </w:r>
    </w:p>
    <w:p w14:paraId="6237F53F"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本次交易完成后，北洋天青将成为上市公司控股子公司，纳入上市公司统一的管理体系，上市公司拟采取以下业务管理模式：</w:t>
      </w:r>
    </w:p>
    <w:p w14:paraId="17C84CA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制度建设和资源配置层面，上市公司将实行统一管理。上市公司将把自身规范、成熟的财务管理体系引入北洋天青的日常财务工作中，建立和完善北洋天青各项业务管理制度，强化财务核算及内部控制体系，确保北洋天青以符合上市公司标准的体系进行规范运作。</w:t>
      </w:r>
    </w:p>
    <w:p w14:paraId="7A306EB0" w14:textId="0DCBA1E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在经营管理层面，为了加强对标的公司的管理，根据交易各方签署的《资产收购协议》，本次收购完成后，标的公司董事会将由</w:t>
      </w: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名董事组成，其中上市公司有权委派</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名董事，法定代表人和董事长由上市公司委派的董事担任。标的公司监事会将由</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名监事组成，其中上市公司有权委派</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名监事。标的公司总经理由黄晓峰担任，上市公司向标的公司委派一名副总经理及一名财务总监参与经营管理。同时，根据经营需要京城股份可以向标的公司委派若干名业务骨干人员参与公司运营。</w:t>
      </w:r>
    </w:p>
    <w:p w14:paraId="2F134A9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在员工激励及稳定方面，上市公司在《发行股份及支付现金购买资产协议》中通过超额利润奖励安排、锁定核心人员任职、竞业禁止承诺等方式保持标的公司经营的稳定性。除上述不竞争承诺外，交易对方保证北洋天青核心管理团队成员与北洋天青签署令上市公司满意的劳动合同、保密及竞业限制协议。</w:t>
      </w:r>
    </w:p>
    <w:p w14:paraId="1221C8BF"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超额业绩奖励机制的设立，可以保持标的公司核心人员及团队的稳定，提升相关人员的经营积极性，实现上市公司利益与交易对方利益的绑定，保障北洋天</w:t>
      </w:r>
      <w:r>
        <w:rPr>
          <w:rFonts w:ascii="Times New Roman" w:hAnsi="Times New Roman" w:cs="Times New Roman" w:hint="eastAsia"/>
          <w:bCs/>
          <w:color w:val="000000"/>
          <w:szCs w:val="21"/>
        </w:rPr>
        <w:lastRenderedPageBreak/>
        <w:t>青业务的进一步发展。同时，上市公司将通过业务交流学习等方式不断提升上市公司员工特别是高级管理人员在自动化行业的知识储备、经验能力与业务水平。</w:t>
      </w:r>
    </w:p>
    <w:p w14:paraId="351EEFD9"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通过上述业务管理措施，本次交易完成后，上市公司能够在有效控制管理成本的前提下整合和管控标的资产。</w:t>
      </w:r>
    </w:p>
    <w:p w14:paraId="7EE434F7"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四、对潜在整合风险的应对措施</w:t>
      </w:r>
    </w:p>
    <w:p w14:paraId="13D0DF78"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本次重组完成后，北洋天青将成为上市公司的控股子公司。上市公司将从公司治理、业务、财务、人员等方面对标的公司进行管控。为了有效防范管控风险，上市公司将采取以下管理控制措施：</w:t>
      </w:r>
    </w:p>
    <w:p w14:paraId="4F19BC42"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1</w:t>
      </w:r>
      <w:r>
        <w:rPr>
          <w:rFonts w:ascii="Times New Roman" w:hAnsi="Times New Roman" w:cs="Times New Roman" w:hint="eastAsia"/>
          <w:bCs/>
          <w:color w:val="000000"/>
          <w:szCs w:val="21"/>
        </w:rPr>
        <w:t>）上市公司将结合标的公司的行业和业务情况，充分发挥团队管理、公司治理和风险防控等经验，从财务控制、制度控制、人力资源管理等方面对标的公司的各业务模块进行集中协调，统一管理，提高管理控制能力；</w:t>
      </w:r>
    </w:p>
    <w:p w14:paraId="29581CA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2</w:t>
      </w:r>
      <w:r>
        <w:rPr>
          <w:rFonts w:ascii="Times New Roman" w:hAnsi="Times New Roman" w:cs="Times New Roman" w:hint="eastAsia"/>
          <w:bCs/>
          <w:color w:val="000000"/>
          <w:szCs w:val="21"/>
        </w:rPr>
        <w:t>）进一步完善并严格执行内部控制制度，尤其是对子公司的管理制度，加强上市公司对子公司重大经营决策、财务决策、对外担保、重大资产处置等方面的管理与控制，提升上市公司的整体的掌控能力、决策水平和抗风险能力；</w:t>
      </w:r>
    </w:p>
    <w:p w14:paraId="344EE823"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3</w:t>
      </w:r>
      <w:r>
        <w:rPr>
          <w:rFonts w:ascii="Times New Roman" w:hAnsi="Times New Roman" w:cs="Times New Roman" w:hint="eastAsia"/>
          <w:bCs/>
          <w:color w:val="000000"/>
          <w:szCs w:val="21"/>
        </w:rPr>
        <w:t>）建立长效的人力资源制度，包括优秀人才选聘机制、薪酬奖励机制、晋升机制等，长效的人力资源制度有利于健全上市公司法人治理结构、提高员工积极性，有效提升整合的效率与效益；</w:t>
      </w:r>
    </w:p>
    <w:p w14:paraId="522C6187"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4</w:t>
      </w:r>
      <w:r>
        <w:rPr>
          <w:rFonts w:ascii="Times New Roman" w:hAnsi="Times New Roman" w:cs="Times New Roman" w:hint="eastAsia"/>
          <w:bCs/>
          <w:color w:val="000000"/>
          <w:szCs w:val="21"/>
        </w:rPr>
        <w:t>）为防范因上市公司与标的公司在价值观、经营理念、管理风格等方面存在的差异可能会导致关键人员流失、客户资源流失等不利情形的出现，上市公司将通过推广企业文化、加强交流等方式来提高员工认同感、忠诚度和稳定性；</w:t>
      </w:r>
    </w:p>
    <w:p w14:paraId="0BA6579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bCs/>
          <w:color w:val="000000"/>
          <w:szCs w:val="21"/>
        </w:rPr>
        <w:t>5</w:t>
      </w:r>
      <w:r>
        <w:rPr>
          <w:rFonts w:ascii="Times New Roman" w:hAnsi="Times New Roman" w:cs="Times New Roman" w:hint="eastAsia"/>
          <w:bCs/>
          <w:color w:val="000000"/>
          <w:szCs w:val="21"/>
        </w:rPr>
        <w:t>）本次交易完成后，标的公司将接受上市公司内部审计部门的审计监督，上市公司审计部门对标的公司进行定期的内部审计。</w:t>
      </w:r>
    </w:p>
    <w:p w14:paraId="077A92F3"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五、补充披露情况</w:t>
      </w:r>
    </w:p>
    <w:p w14:paraId="04642103"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上市公司已在《重组报告书》“第九节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管理层讨论与分析”之“四、本次交易对上市公司持续经营能力、未来发展前景、每股收益等财务指标和非财务指</w:t>
      </w:r>
      <w:r>
        <w:rPr>
          <w:rFonts w:ascii="Times New Roman" w:hAnsi="Times New Roman" w:cs="Times New Roman" w:hint="eastAsia"/>
          <w:bCs/>
          <w:color w:val="000000"/>
          <w:szCs w:val="21"/>
        </w:rPr>
        <w:lastRenderedPageBreak/>
        <w:t>标的影响分析”之“（四）本次交易完成后上市公司对潜在整合风险的应对措施”进行了补充披露。</w:t>
      </w:r>
    </w:p>
    <w:p w14:paraId="1053346D"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六、独立财务顾问核查意见</w:t>
      </w:r>
    </w:p>
    <w:p w14:paraId="630F063F"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经核查，独立财务顾问认为：本次交易前，上市公司主要从事压力容器的研发、生产加工及销售业务，北洋天青主要从事家电行业的生产线智能化、信息化建设、升级和改造业务，上市公司与标的资产主业不存在显著的协同效应。上市公司具备充足的家电智能制造行业知识、经营管理能力、资源整合能力及营销能力，且交易完成后能够在有效控制管理成本的前提下整合和管控标的资产，上市公司通过公司治理、业务运营、财务管理等相关措施的执行，能够有效应对潜在的整合风险。</w:t>
      </w:r>
    </w:p>
    <w:p w14:paraId="526F981F" w14:textId="77777777" w:rsidR="00C02929" w:rsidRDefault="00C02929">
      <w:pPr>
        <w:spacing w:beforeLines="50" w:before="156" w:line="360" w:lineRule="auto"/>
        <w:ind w:firstLineChars="200" w:firstLine="562"/>
        <w:jc w:val="both"/>
        <w:outlineLvl w:val="0"/>
        <w:rPr>
          <w:rFonts w:ascii="Times New Roman" w:eastAsia="黑体" w:hAnsi="Times New Roman" w:cs="Times New Roman"/>
          <w:b/>
          <w:color w:val="000000"/>
          <w:sz w:val="28"/>
          <w:szCs w:val="28"/>
        </w:rPr>
        <w:sectPr w:rsidR="00C02929">
          <w:pgSz w:w="11906" w:h="16838"/>
          <w:pgMar w:top="1440" w:right="1800" w:bottom="1440" w:left="1800" w:header="851" w:footer="992" w:gutter="0"/>
          <w:cols w:space="720"/>
          <w:docGrid w:type="lines" w:linePitch="312"/>
        </w:sectPr>
      </w:pPr>
      <w:bookmarkStart w:id="8" w:name="_Toc69256848"/>
      <w:bookmarkStart w:id="9" w:name="_Toc69256868"/>
      <w:bookmarkEnd w:id="4"/>
      <w:bookmarkEnd w:id="5"/>
    </w:p>
    <w:p w14:paraId="1E2BB30F" w14:textId="77777777" w:rsidR="00C02929" w:rsidRDefault="006116D1">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r>
        <w:rPr>
          <w:rFonts w:ascii="Times New Roman" w:eastAsia="黑体" w:hAnsi="Times New Roman" w:cs="Times New Roman" w:hint="eastAsia"/>
          <w:b/>
          <w:color w:val="000000"/>
          <w:sz w:val="28"/>
          <w:szCs w:val="28"/>
        </w:rPr>
        <w:lastRenderedPageBreak/>
        <w:t>第二题</w:t>
      </w:r>
    </w:p>
    <w:p w14:paraId="0D80F91B"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）上市公司</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年末合并口径货币资金余额为</w:t>
      </w:r>
      <w:r>
        <w:rPr>
          <w:rFonts w:ascii="Times New Roman" w:eastAsia="黑体" w:hAnsi="Times New Roman" w:cs="Times New Roman" w:hint="eastAsia"/>
          <w:b/>
          <w:color w:val="000000"/>
          <w:szCs w:val="21"/>
        </w:rPr>
        <w:t>8,350.93</w:t>
      </w:r>
      <w:r>
        <w:rPr>
          <w:rFonts w:ascii="Times New Roman" w:eastAsia="黑体" w:hAnsi="Times New Roman" w:cs="Times New Roman" w:hint="eastAsia"/>
          <w:b/>
          <w:color w:val="000000"/>
          <w:szCs w:val="21"/>
        </w:rPr>
        <w:t>万元，本次募集配套资金主要用于支付交易对价、补充上市公司和标的资产流动资金等。</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如本次交易配套融资金额未达预期，可能对上市公司资金使用安排及偿债能力产生不利影响。请你公司结合配套募集资金筹集和使用安排、上市公司资金周转情况及从其他渠道融资的能力，补充披露：配套融资金额未达预期的具体影响及应对措施。请独立财务顾问和会计师核查并发表明确意见。</w:t>
      </w:r>
    </w:p>
    <w:p w14:paraId="27E12C32" w14:textId="77777777" w:rsidR="00C02929" w:rsidRDefault="006116D1">
      <w:pPr>
        <w:pStyle w:val="affffd"/>
        <w:spacing w:before="156"/>
        <w:ind w:firstLine="482"/>
        <w:rPr>
          <w:b/>
        </w:rPr>
      </w:pPr>
      <w:r>
        <w:rPr>
          <w:rFonts w:hint="eastAsia"/>
          <w:b/>
        </w:rPr>
        <w:t>【回复说明】</w:t>
      </w:r>
    </w:p>
    <w:p w14:paraId="0469342A"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一、配套募集资金筹集和使用安排、上市公司资金周转情况及从其他渠道融资的能力情况</w:t>
      </w:r>
    </w:p>
    <w:p w14:paraId="5302D2FF"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（一）配套募集资金筹集和使用安排</w:t>
      </w:r>
    </w:p>
    <w:p w14:paraId="2E657321" w14:textId="77777777" w:rsidR="00C02929" w:rsidRDefault="006116D1">
      <w:pPr>
        <w:pStyle w:val="affffd"/>
        <w:spacing w:before="156"/>
        <w:ind w:firstLine="480"/>
      </w:pPr>
      <w:r>
        <w:rPr>
          <w:rFonts w:hint="eastAsia"/>
        </w:rPr>
        <w:t>本次募集配套资金拟用于支付本次交易现金对价、税费及中介机构费用、补充上市公司及标的资产流动资金等。其中，用于补充流动资金的比例不超过交易作价的</w:t>
      </w:r>
      <w:r>
        <w:rPr>
          <w:rFonts w:hint="eastAsia"/>
        </w:rPr>
        <w:t>25%</w:t>
      </w:r>
      <w:r>
        <w:rPr>
          <w:rFonts w:hint="eastAsia"/>
        </w:rPr>
        <w:t>，或不超过募集配套资金总额的</w:t>
      </w:r>
      <w:r>
        <w:rPr>
          <w:rFonts w:hint="eastAsia"/>
        </w:rPr>
        <w:t>50%</w:t>
      </w:r>
      <w:r>
        <w:rPr>
          <w:rFonts w:hint="eastAsia"/>
        </w:rPr>
        <w:t>。</w:t>
      </w:r>
    </w:p>
    <w:p w14:paraId="04FE8173" w14:textId="77777777" w:rsidR="00C02929" w:rsidRDefault="006116D1">
      <w:pPr>
        <w:pStyle w:val="affffd"/>
        <w:spacing w:before="156"/>
        <w:ind w:firstLine="480"/>
      </w:pPr>
      <w:r>
        <w:rPr>
          <w:rFonts w:hint="eastAsia"/>
        </w:rPr>
        <w:t>本次配套融资所募集资金的总额不超过</w:t>
      </w:r>
      <w:r>
        <w:rPr>
          <w:rFonts w:hint="eastAsia"/>
        </w:rPr>
        <w:t>15,896.61</w:t>
      </w:r>
      <w:r>
        <w:rPr>
          <w:rFonts w:hint="eastAsia"/>
        </w:rPr>
        <w:t>万元，不超过本次交易中以发行股份方式购买资产的交易价格的</w:t>
      </w:r>
      <w:r>
        <w:rPr>
          <w:rFonts w:hint="eastAsia"/>
        </w:rPr>
        <w:t>100%</w:t>
      </w:r>
      <w:r>
        <w:rPr>
          <w:rFonts w:hint="eastAsia"/>
        </w:rPr>
        <w:t>，本次配套融资所募集资金将用于如下方面：</w:t>
      </w:r>
    </w:p>
    <w:p w14:paraId="32B8BEB1"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5"/>
        <w:gridCol w:w="5812"/>
        <w:gridCol w:w="2035"/>
      </w:tblGrid>
      <w:tr w:rsidR="00C02929" w14:paraId="7448F0F9" w14:textId="77777777">
        <w:trPr>
          <w:trHeight w:val="397"/>
          <w:tblHeader/>
        </w:trPr>
        <w:tc>
          <w:tcPr>
            <w:tcW w:w="396" w:type="pct"/>
            <w:tcBorders>
              <w:top w:val="single" w:sz="12" w:space="0" w:color="auto"/>
              <w:left w:val="nil"/>
              <w:bottom w:val="single" w:sz="4" w:space="0" w:color="auto"/>
              <w:right w:val="single" w:sz="4" w:space="0" w:color="auto"/>
            </w:tcBorders>
            <w:vAlign w:val="center"/>
          </w:tcPr>
          <w:p w14:paraId="747862B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3410" w:type="pct"/>
            <w:tcBorders>
              <w:top w:val="single" w:sz="12" w:space="0" w:color="auto"/>
              <w:left w:val="single" w:sz="4" w:space="0" w:color="auto"/>
              <w:bottom w:val="single" w:sz="4" w:space="0" w:color="auto"/>
              <w:right w:val="single" w:sz="4" w:space="0" w:color="auto"/>
            </w:tcBorders>
            <w:vAlign w:val="center"/>
          </w:tcPr>
          <w:p w14:paraId="496F0AB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项目名称</w:t>
            </w:r>
          </w:p>
        </w:tc>
        <w:tc>
          <w:tcPr>
            <w:tcW w:w="1194" w:type="pct"/>
            <w:tcBorders>
              <w:top w:val="single" w:sz="12" w:space="0" w:color="auto"/>
              <w:left w:val="single" w:sz="4" w:space="0" w:color="auto"/>
              <w:bottom w:val="single" w:sz="4" w:space="0" w:color="auto"/>
              <w:right w:val="nil"/>
            </w:tcBorders>
            <w:vAlign w:val="center"/>
          </w:tcPr>
          <w:p w14:paraId="43FA4C2B"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募集资金投入金额</w:t>
            </w:r>
          </w:p>
        </w:tc>
      </w:tr>
      <w:tr w:rsidR="00C02929" w14:paraId="56CB01C9" w14:textId="77777777">
        <w:trPr>
          <w:trHeight w:val="397"/>
        </w:trPr>
        <w:tc>
          <w:tcPr>
            <w:tcW w:w="396" w:type="pct"/>
            <w:tcBorders>
              <w:top w:val="single" w:sz="4" w:space="0" w:color="auto"/>
              <w:left w:val="nil"/>
              <w:bottom w:val="single" w:sz="4" w:space="0" w:color="auto"/>
              <w:right w:val="single" w:sz="4" w:space="0" w:color="auto"/>
            </w:tcBorders>
            <w:vAlign w:val="center"/>
          </w:tcPr>
          <w:p w14:paraId="2D517B1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3410" w:type="pct"/>
            <w:tcBorders>
              <w:top w:val="single" w:sz="4" w:space="0" w:color="auto"/>
              <w:left w:val="single" w:sz="4" w:space="0" w:color="auto"/>
              <w:bottom w:val="single" w:sz="4" w:space="0" w:color="auto"/>
              <w:right w:val="single" w:sz="4" w:space="0" w:color="auto"/>
            </w:tcBorders>
            <w:noWrap/>
            <w:vAlign w:val="center"/>
          </w:tcPr>
          <w:p w14:paraId="29ECEEB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支付本次交易现金对价</w:t>
            </w:r>
          </w:p>
        </w:tc>
        <w:tc>
          <w:tcPr>
            <w:tcW w:w="1194" w:type="pct"/>
            <w:tcBorders>
              <w:top w:val="single" w:sz="4" w:space="0" w:color="auto"/>
              <w:left w:val="single" w:sz="4" w:space="0" w:color="auto"/>
              <w:bottom w:val="single" w:sz="4" w:space="0" w:color="auto"/>
              <w:right w:val="nil"/>
            </w:tcBorders>
            <w:noWrap/>
            <w:vAlign w:val="center"/>
          </w:tcPr>
          <w:p w14:paraId="018E9A8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8,743.39</w:t>
            </w:r>
          </w:p>
        </w:tc>
      </w:tr>
      <w:tr w:rsidR="00C02929" w14:paraId="4E75EF63" w14:textId="77777777">
        <w:trPr>
          <w:trHeight w:val="397"/>
        </w:trPr>
        <w:tc>
          <w:tcPr>
            <w:tcW w:w="396" w:type="pct"/>
            <w:tcBorders>
              <w:top w:val="single" w:sz="4" w:space="0" w:color="auto"/>
              <w:left w:val="nil"/>
              <w:bottom w:val="single" w:sz="4" w:space="0" w:color="auto"/>
              <w:right w:val="single" w:sz="4" w:space="0" w:color="auto"/>
            </w:tcBorders>
            <w:vAlign w:val="center"/>
          </w:tcPr>
          <w:p w14:paraId="4510669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3410" w:type="pct"/>
            <w:tcBorders>
              <w:top w:val="single" w:sz="4" w:space="0" w:color="auto"/>
              <w:left w:val="single" w:sz="4" w:space="0" w:color="auto"/>
              <w:bottom w:val="single" w:sz="4" w:space="0" w:color="auto"/>
              <w:right w:val="single" w:sz="4" w:space="0" w:color="auto"/>
            </w:tcBorders>
            <w:noWrap/>
            <w:vAlign w:val="center"/>
          </w:tcPr>
          <w:p w14:paraId="213BB93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补充上市公司流动资金、支付税费及中介机构费用</w:t>
            </w:r>
          </w:p>
        </w:tc>
        <w:tc>
          <w:tcPr>
            <w:tcW w:w="1194" w:type="pct"/>
            <w:tcBorders>
              <w:top w:val="single" w:sz="4" w:space="0" w:color="auto"/>
              <w:left w:val="single" w:sz="4" w:space="0" w:color="auto"/>
              <w:bottom w:val="single" w:sz="4" w:space="0" w:color="auto"/>
              <w:right w:val="nil"/>
            </w:tcBorders>
            <w:noWrap/>
            <w:vAlign w:val="center"/>
          </w:tcPr>
          <w:p w14:paraId="0B3D6C7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4,153.22</w:t>
            </w:r>
          </w:p>
        </w:tc>
      </w:tr>
      <w:tr w:rsidR="00C02929" w14:paraId="2AD495F0" w14:textId="77777777">
        <w:trPr>
          <w:trHeight w:val="397"/>
        </w:trPr>
        <w:tc>
          <w:tcPr>
            <w:tcW w:w="396" w:type="pct"/>
            <w:tcBorders>
              <w:top w:val="single" w:sz="4" w:space="0" w:color="auto"/>
              <w:left w:val="nil"/>
              <w:bottom w:val="single" w:sz="4" w:space="0" w:color="auto"/>
              <w:right w:val="single" w:sz="4" w:space="0" w:color="auto"/>
            </w:tcBorders>
            <w:vAlign w:val="center"/>
          </w:tcPr>
          <w:p w14:paraId="1D6D759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3410" w:type="pct"/>
            <w:tcBorders>
              <w:top w:val="single" w:sz="4" w:space="0" w:color="auto"/>
              <w:left w:val="single" w:sz="4" w:space="0" w:color="auto"/>
              <w:bottom w:val="single" w:sz="4" w:space="0" w:color="auto"/>
              <w:right w:val="single" w:sz="4" w:space="0" w:color="auto"/>
            </w:tcBorders>
            <w:noWrap/>
            <w:vAlign w:val="center"/>
          </w:tcPr>
          <w:p w14:paraId="0B46014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向标的公司增资补充流动资金</w:t>
            </w:r>
          </w:p>
        </w:tc>
        <w:tc>
          <w:tcPr>
            <w:tcW w:w="1194" w:type="pct"/>
            <w:tcBorders>
              <w:top w:val="single" w:sz="4" w:space="0" w:color="auto"/>
              <w:left w:val="single" w:sz="4" w:space="0" w:color="auto"/>
              <w:bottom w:val="single" w:sz="4" w:space="0" w:color="auto"/>
              <w:right w:val="nil"/>
            </w:tcBorders>
            <w:noWrap/>
            <w:vAlign w:val="center"/>
          </w:tcPr>
          <w:p w14:paraId="17AB89D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3,000.00</w:t>
            </w:r>
          </w:p>
        </w:tc>
      </w:tr>
      <w:tr w:rsidR="00C02929" w14:paraId="048E132F" w14:textId="77777777">
        <w:trPr>
          <w:trHeight w:val="397"/>
        </w:trPr>
        <w:tc>
          <w:tcPr>
            <w:tcW w:w="3806" w:type="pct"/>
            <w:gridSpan w:val="2"/>
            <w:tcBorders>
              <w:top w:val="single" w:sz="4" w:space="0" w:color="auto"/>
              <w:left w:val="nil"/>
              <w:bottom w:val="single" w:sz="12" w:space="0" w:color="auto"/>
              <w:right w:val="single" w:sz="4" w:space="0" w:color="auto"/>
            </w:tcBorders>
            <w:vAlign w:val="center"/>
          </w:tcPr>
          <w:p w14:paraId="3888E9EF"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194" w:type="pct"/>
            <w:tcBorders>
              <w:top w:val="single" w:sz="4" w:space="0" w:color="auto"/>
              <w:left w:val="single" w:sz="4" w:space="0" w:color="auto"/>
              <w:bottom w:val="single" w:sz="12" w:space="0" w:color="auto"/>
              <w:right w:val="nil"/>
            </w:tcBorders>
            <w:noWrap/>
            <w:vAlign w:val="center"/>
          </w:tcPr>
          <w:p w14:paraId="7783562E"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15,896.61</w:t>
            </w:r>
          </w:p>
        </w:tc>
      </w:tr>
    </w:tbl>
    <w:p w14:paraId="598297E9"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（二）上市公司资金周转情况及从其他渠道融资情况</w:t>
      </w:r>
    </w:p>
    <w:p w14:paraId="020ABB70" w14:textId="77777777" w:rsidR="00C02929" w:rsidRDefault="006116D1">
      <w:pPr>
        <w:pStyle w:val="affffd"/>
        <w:spacing w:before="156"/>
        <w:ind w:firstLine="482"/>
        <w:rPr>
          <w:b/>
          <w:bCs/>
        </w:rPr>
      </w:pPr>
      <w:r>
        <w:rPr>
          <w:rFonts w:hint="eastAsia"/>
          <w:b/>
          <w:bCs/>
        </w:rPr>
        <w:t>1</w:t>
      </w:r>
      <w:r>
        <w:rPr>
          <w:rFonts w:hint="eastAsia"/>
          <w:b/>
          <w:bCs/>
        </w:rPr>
        <w:t>、自有资金使用情况</w:t>
      </w:r>
    </w:p>
    <w:p w14:paraId="70C5597A" w14:textId="77777777" w:rsidR="00C02929" w:rsidRDefault="006116D1">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日，上市公司货币资金构成具体情况如下：</w:t>
      </w:r>
    </w:p>
    <w:p w14:paraId="5E069A74"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lastRenderedPageBreak/>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428"/>
        <w:gridCol w:w="5094"/>
      </w:tblGrid>
      <w:tr w:rsidR="00C02929" w14:paraId="1A4F8D3B" w14:textId="77777777">
        <w:trPr>
          <w:trHeight w:val="397"/>
          <w:tblHeader/>
        </w:trPr>
        <w:tc>
          <w:tcPr>
            <w:tcW w:w="2011" w:type="pct"/>
            <w:tcBorders>
              <w:top w:val="single" w:sz="12" w:space="0" w:color="auto"/>
              <w:left w:val="nil"/>
              <w:bottom w:val="single" w:sz="4" w:space="0" w:color="auto"/>
              <w:right w:val="single" w:sz="4" w:space="0" w:color="auto"/>
            </w:tcBorders>
            <w:vAlign w:val="center"/>
          </w:tcPr>
          <w:p w14:paraId="3E602BBB"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2989" w:type="pct"/>
            <w:tcBorders>
              <w:top w:val="single" w:sz="12" w:space="0" w:color="auto"/>
              <w:left w:val="single" w:sz="4" w:space="0" w:color="auto"/>
              <w:bottom w:val="single" w:sz="4" w:space="0" w:color="auto"/>
              <w:right w:val="nil"/>
            </w:tcBorders>
            <w:vAlign w:val="center"/>
          </w:tcPr>
          <w:p w14:paraId="0A7A8BBD"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r>
      <w:tr w:rsidR="00C02929" w14:paraId="3DC90342" w14:textId="77777777">
        <w:trPr>
          <w:trHeight w:val="397"/>
        </w:trPr>
        <w:tc>
          <w:tcPr>
            <w:tcW w:w="2011" w:type="pct"/>
            <w:tcBorders>
              <w:top w:val="single" w:sz="4" w:space="0" w:color="auto"/>
              <w:left w:val="nil"/>
              <w:bottom w:val="single" w:sz="4" w:space="0" w:color="auto"/>
              <w:right w:val="single" w:sz="4" w:space="0" w:color="auto"/>
            </w:tcBorders>
            <w:vAlign w:val="center"/>
          </w:tcPr>
          <w:p w14:paraId="78E9D36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库存现金</w:t>
            </w:r>
          </w:p>
        </w:tc>
        <w:tc>
          <w:tcPr>
            <w:tcW w:w="2989" w:type="pct"/>
            <w:tcBorders>
              <w:top w:val="single" w:sz="4" w:space="0" w:color="auto"/>
              <w:left w:val="single" w:sz="4" w:space="0" w:color="auto"/>
              <w:bottom w:val="single" w:sz="4" w:space="0" w:color="auto"/>
              <w:right w:val="nil"/>
            </w:tcBorders>
            <w:noWrap/>
            <w:vAlign w:val="center"/>
          </w:tcPr>
          <w:p w14:paraId="3D60988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12.50</w:t>
            </w:r>
          </w:p>
        </w:tc>
      </w:tr>
      <w:tr w:rsidR="00C02929" w14:paraId="58FFD98C" w14:textId="77777777">
        <w:trPr>
          <w:trHeight w:val="397"/>
        </w:trPr>
        <w:tc>
          <w:tcPr>
            <w:tcW w:w="2011" w:type="pct"/>
            <w:tcBorders>
              <w:top w:val="single" w:sz="4" w:space="0" w:color="auto"/>
              <w:left w:val="nil"/>
              <w:bottom w:val="single" w:sz="4" w:space="0" w:color="auto"/>
              <w:right w:val="single" w:sz="4" w:space="0" w:color="auto"/>
            </w:tcBorders>
            <w:vAlign w:val="center"/>
          </w:tcPr>
          <w:p w14:paraId="638ED0F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银行存款</w:t>
            </w:r>
          </w:p>
        </w:tc>
        <w:tc>
          <w:tcPr>
            <w:tcW w:w="2989" w:type="pct"/>
            <w:tcBorders>
              <w:top w:val="single" w:sz="4" w:space="0" w:color="auto"/>
              <w:left w:val="single" w:sz="4" w:space="0" w:color="auto"/>
              <w:bottom w:val="single" w:sz="4" w:space="0" w:color="auto"/>
              <w:right w:val="nil"/>
            </w:tcBorders>
            <w:noWrap/>
            <w:vAlign w:val="center"/>
          </w:tcPr>
          <w:p w14:paraId="78F48E3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24,602.10</w:t>
            </w:r>
          </w:p>
        </w:tc>
      </w:tr>
      <w:tr w:rsidR="00C02929" w14:paraId="141BF60C" w14:textId="77777777">
        <w:trPr>
          <w:trHeight w:val="397"/>
        </w:trPr>
        <w:tc>
          <w:tcPr>
            <w:tcW w:w="2011" w:type="pct"/>
            <w:tcBorders>
              <w:top w:val="single" w:sz="4" w:space="0" w:color="auto"/>
              <w:left w:val="nil"/>
              <w:bottom w:val="single" w:sz="4" w:space="0" w:color="auto"/>
              <w:right w:val="single" w:sz="4" w:space="0" w:color="auto"/>
            </w:tcBorders>
            <w:vAlign w:val="center"/>
          </w:tcPr>
          <w:p w14:paraId="6A49B17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其他货币资金</w:t>
            </w:r>
          </w:p>
        </w:tc>
        <w:tc>
          <w:tcPr>
            <w:tcW w:w="2989" w:type="pct"/>
            <w:tcBorders>
              <w:top w:val="single" w:sz="4" w:space="0" w:color="auto"/>
              <w:left w:val="single" w:sz="4" w:space="0" w:color="auto"/>
              <w:bottom w:val="single" w:sz="4" w:space="0" w:color="auto"/>
              <w:right w:val="nil"/>
            </w:tcBorders>
            <w:noWrap/>
            <w:vAlign w:val="center"/>
          </w:tcPr>
          <w:p w14:paraId="282AFC4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3,292.14</w:t>
            </w:r>
          </w:p>
        </w:tc>
      </w:tr>
      <w:tr w:rsidR="00C02929" w14:paraId="1062B1FE" w14:textId="77777777">
        <w:trPr>
          <w:trHeight w:val="397"/>
        </w:trPr>
        <w:tc>
          <w:tcPr>
            <w:tcW w:w="2011" w:type="pct"/>
            <w:tcBorders>
              <w:top w:val="single" w:sz="4" w:space="0" w:color="auto"/>
              <w:left w:val="nil"/>
              <w:bottom w:val="single" w:sz="12" w:space="0" w:color="auto"/>
              <w:right w:val="single" w:sz="4" w:space="0" w:color="auto"/>
            </w:tcBorders>
            <w:vAlign w:val="center"/>
          </w:tcPr>
          <w:p w14:paraId="0FBAF930"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2989" w:type="pct"/>
            <w:tcBorders>
              <w:top w:val="single" w:sz="4" w:space="0" w:color="auto"/>
              <w:left w:val="single" w:sz="4" w:space="0" w:color="auto"/>
              <w:bottom w:val="single" w:sz="12" w:space="0" w:color="auto"/>
              <w:right w:val="nil"/>
            </w:tcBorders>
            <w:noWrap/>
            <w:vAlign w:val="center"/>
          </w:tcPr>
          <w:p w14:paraId="12F65D37"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27,906.75</w:t>
            </w:r>
          </w:p>
        </w:tc>
      </w:tr>
    </w:tbl>
    <w:p w14:paraId="35531ACA" w14:textId="77777777" w:rsidR="00C02929" w:rsidRDefault="006116D1">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日，上市公司期末货币资金余额为</w:t>
      </w:r>
      <w:r>
        <w:rPr>
          <w:rFonts w:hint="eastAsia"/>
        </w:rPr>
        <w:t>27,906.75</w:t>
      </w:r>
      <w:r>
        <w:rPr>
          <w:rFonts w:hint="eastAsia"/>
        </w:rPr>
        <w:t>万元，其中包含前次非公开募集资金余额为</w:t>
      </w:r>
      <w:r>
        <w:rPr>
          <w:rFonts w:hint="eastAsia"/>
        </w:rPr>
        <w:t>4,231.15</w:t>
      </w:r>
      <w:r>
        <w:rPr>
          <w:rFonts w:hint="eastAsia"/>
        </w:rPr>
        <w:t>万元，使用受限的货币资金余额为</w:t>
      </w:r>
      <w:r>
        <w:rPr>
          <w:rFonts w:hint="eastAsia"/>
        </w:rPr>
        <w:t>3,292.14</w:t>
      </w:r>
      <w:r>
        <w:rPr>
          <w:rFonts w:hint="eastAsia"/>
        </w:rPr>
        <w:t>万元（主要为银行承兑汇票保证金、信用证借款保证金、诉讼冻结资金等）。此外，根据测算，上市公司</w:t>
      </w:r>
      <w:r>
        <w:rPr>
          <w:rFonts w:hint="eastAsia"/>
        </w:rPr>
        <w:t>202</w:t>
      </w:r>
      <w:r>
        <w:t>1</w:t>
      </w:r>
      <w:r>
        <w:rPr>
          <w:rFonts w:hint="eastAsia"/>
        </w:rPr>
        <w:t>年营运资金需求量</w:t>
      </w:r>
      <w:r>
        <w:rPr>
          <w:vertAlign w:val="superscript"/>
        </w:rPr>
        <w:footnoteReference w:id="1"/>
      </w:r>
      <w:r>
        <w:rPr>
          <w:rFonts w:hint="eastAsia"/>
        </w:rPr>
        <w:t>为</w:t>
      </w:r>
      <w:r>
        <w:rPr>
          <w:rFonts w:hint="eastAsia"/>
        </w:rPr>
        <w:t>10,578.39</w:t>
      </w:r>
      <w:r>
        <w:rPr>
          <w:rFonts w:hint="eastAsia"/>
        </w:rPr>
        <w:t>万元，则上市公司实际可用的货币资金为</w:t>
      </w:r>
      <w:r>
        <w:rPr>
          <w:rFonts w:hint="eastAsia"/>
        </w:rPr>
        <w:t>9,805.07</w:t>
      </w:r>
      <w:r>
        <w:rPr>
          <w:rFonts w:hint="eastAsia"/>
        </w:rPr>
        <w:t>万元，上市公司可以根据需要以自有资金支付部分现金对价费用等。</w:t>
      </w:r>
    </w:p>
    <w:p w14:paraId="50379617" w14:textId="77777777" w:rsidR="00C02929" w:rsidRDefault="006116D1">
      <w:pPr>
        <w:pStyle w:val="affffd"/>
        <w:spacing w:before="156"/>
        <w:ind w:firstLine="482"/>
        <w:rPr>
          <w:b/>
          <w:bCs/>
        </w:rPr>
      </w:pPr>
      <w:r>
        <w:rPr>
          <w:rFonts w:hint="eastAsia"/>
          <w:b/>
          <w:bCs/>
        </w:rPr>
        <w:t>2</w:t>
      </w:r>
      <w:r>
        <w:rPr>
          <w:rFonts w:hint="eastAsia"/>
          <w:b/>
          <w:bCs/>
        </w:rPr>
        <w:t>、从其他渠道融资情况</w:t>
      </w:r>
    </w:p>
    <w:p w14:paraId="7F85E0F8" w14:textId="77777777" w:rsidR="00C02929" w:rsidRDefault="006116D1">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日，上市公司尚未使用的银行借款及银行承兑汇票的额度为</w:t>
      </w:r>
      <w:r>
        <w:rPr>
          <w:rFonts w:hint="eastAsia"/>
        </w:rPr>
        <w:t>5,600.00</w:t>
      </w:r>
      <w:r>
        <w:rPr>
          <w:rFonts w:hint="eastAsia"/>
        </w:rPr>
        <w:t>万元，上市公司具备一定的债务融资空间和能力。</w:t>
      </w:r>
    </w:p>
    <w:p w14:paraId="4E148A85" w14:textId="77777777" w:rsidR="00C02929" w:rsidRDefault="006116D1" w:rsidP="001F3E46">
      <w:pPr>
        <w:pStyle w:val="affffd"/>
        <w:spacing w:before="156"/>
        <w:ind w:firstLine="480"/>
      </w:pPr>
      <w:r>
        <w:rPr>
          <w:rFonts w:hint="eastAsia"/>
        </w:rPr>
        <w:t>综上所述，若本次配套融资金额未达预期，上市公司拟先行利用现有可用的自有资金支付，对于不足部分及因自有资金支付对价而产生的经营性资金短缺，拟通过银行贷款等债务性融资解决。</w:t>
      </w:r>
    </w:p>
    <w:p w14:paraId="0512F70C" w14:textId="77777777"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二、配套融资金额未达预期的具体影响及应对措施</w:t>
      </w:r>
    </w:p>
    <w:p w14:paraId="439C3BF6" w14:textId="77777777" w:rsidR="00C02929" w:rsidRDefault="006116D1" w:rsidP="001F3E46">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（一）本次交易不依赖配套募集资金</w:t>
      </w:r>
    </w:p>
    <w:p w14:paraId="5BB51379" w14:textId="77777777" w:rsidR="00C02929" w:rsidRDefault="006116D1" w:rsidP="001F3E46">
      <w:pPr>
        <w:pStyle w:val="affffd"/>
        <w:spacing w:before="156"/>
        <w:ind w:firstLine="480"/>
      </w:pPr>
      <w:r>
        <w:rPr>
          <w:rFonts w:hint="eastAsia"/>
        </w:rPr>
        <w:t>本次配套融资所募集资金的总额不超过</w:t>
      </w:r>
      <w:r>
        <w:rPr>
          <w:rFonts w:hint="eastAsia"/>
        </w:rPr>
        <w:t>15,896.61</w:t>
      </w:r>
      <w:r>
        <w:rPr>
          <w:rFonts w:hint="eastAsia"/>
        </w:rPr>
        <w:t>万元，将优先用于支付现金对价</w:t>
      </w:r>
      <w:r>
        <w:rPr>
          <w:rFonts w:hint="eastAsia"/>
        </w:rPr>
        <w:t>8,743.39</w:t>
      </w:r>
      <w:r>
        <w:rPr>
          <w:rFonts w:hint="eastAsia"/>
        </w:rPr>
        <w:t>万元，超出支付现金对价部分的募集资金将按照轻重缓急用于支付中介机构费用、补充上市公司及标的资产流动资金等事项。</w:t>
      </w:r>
    </w:p>
    <w:p w14:paraId="4CB8F142" w14:textId="77777777" w:rsidR="00C02929" w:rsidRDefault="006116D1" w:rsidP="001F3E46">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日，上市公司实际可用的货币资金为</w:t>
      </w:r>
      <w:r>
        <w:rPr>
          <w:rFonts w:hint="eastAsia"/>
        </w:rPr>
        <w:t>9,805.07</w:t>
      </w:r>
      <w:r>
        <w:rPr>
          <w:rFonts w:hint="eastAsia"/>
        </w:rPr>
        <w:t>万元，尚未使用的银行借款及银行承兑汇票的额度为</w:t>
      </w:r>
      <w:r>
        <w:rPr>
          <w:rFonts w:hint="eastAsia"/>
        </w:rPr>
        <w:t>5,600.00</w:t>
      </w:r>
      <w:r>
        <w:rPr>
          <w:rFonts w:hint="eastAsia"/>
        </w:rPr>
        <w:t>万元，合计为</w:t>
      </w:r>
      <w:r>
        <w:rPr>
          <w:rFonts w:hint="eastAsia"/>
        </w:rPr>
        <w:t>15,405.07</w:t>
      </w:r>
      <w:r>
        <w:rPr>
          <w:rFonts w:hint="eastAsia"/>
        </w:rPr>
        <w:t>万元，自有资金及银行授信能够覆盖现金支付交易对价的上限。若本次配套融资</w:t>
      </w:r>
      <w:r>
        <w:rPr>
          <w:rFonts w:hint="eastAsia"/>
        </w:rPr>
        <w:lastRenderedPageBreak/>
        <w:t>金额未达预期，上市公司能够通过自有资金和银行借款支付交易现金对价、中介机构费用等项目，本次交易不依赖配套募集资金。</w:t>
      </w:r>
    </w:p>
    <w:p w14:paraId="6E0C44D2" w14:textId="77777777" w:rsidR="00C02929" w:rsidRDefault="006116D1" w:rsidP="001F3E46">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color w:val="000000"/>
        </w:rPr>
        <w:t>（二）对公司偿债能力的影响及应对措施</w:t>
      </w:r>
    </w:p>
    <w:p w14:paraId="67B90FF1" w14:textId="77777777" w:rsidR="00C02929" w:rsidRDefault="006116D1" w:rsidP="001F3E46">
      <w:pPr>
        <w:pStyle w:val="affffd"/>
        <w:spacing w:before="156"/>
        <w:ind w:firstLine="480"/>
      </w:pPr>
      <w:r>
        <w:rPr>
          <w:rFonts w:hint="eastAsia"/>
        </w:rPr>
        <w:t>截至</w:t>
      </w:r>
      <w:r>
        <w:rPr>
          <w:rFonts w:hint="eastAsia"/>
        </w:rPr>
        <w:t>2020</w:t>
      </w:r>
      <w:r>
        <w:rPr>
          <w:rFonts w:hint="eastAsia"/>
        </w:rPr>
        <w:t>年</w:t>
      </w:r>
      <w:r>
        <w:rPr>
          <w:rFonts w:hint="eastAsia"/>
        </w:rPr>
        <w:t>12</w:t>
      </w:r>
      <w:r>
        <w:rPr>
          <w:rFonts w:hint="eastAsia"/>
        </w:rPr>
        <w:t>月</w:t>
      </w:r>
      <w:r>
        <w:rPr>
          <w:rFonts w:hint="eastAsia"/>
        </w:rPr>
        <w:t>31</w:t>
      </w:r>
      <w:r>
        <w:rPr>
          <w:rFonts w:hint="eastAsia"/>
        </w:rPr>
        <w:t>日，上市公司资产负债率为</w:t>
      </w:r>
      <w:r>
        <w:rPr>
          <w:rFonts w:hint="eastAsia"/>
        </w:rPr>
        <w:t>41.27%</w:t>
      </w:r>
      <w:r>
        <w:rPr>
          <w:rFonts w:hint="eastAsia"/>
        </w:rPr>
        <w:t>，假设本次配套融资金额未达预期，使用自有资金和银行借款支付交易现金对价费用等项目对上市公司资产负债率影响的敏感性分析如下：</w:t>
      </w:r>
    </w:p>
    <w:tbl>
      <w:tblPr>
        <w:tblStyle w:val="affff"/>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80"/>
        <w:gridCol w:w="2804"/>
        <w:gridCol w:w="2838"/>
      </w:tblGrid>
      <w:tr w:rsidR="00C02929" w14:paraId="17606C63" w14:textId="77777777">
        <w:trPr>
          <w:trHeight w:val="397"/>
          <w:tblHeader/>
        </w:trPr>
        <w:tc>
          <w:tcPr>
            <w:tcW w:w="1690" w:type="pct"/>
            <w:tcBorders>
              <w:top w:val="single" w:sz="12" w:space="0" w:color="auto"/>
              <w:left w:val="nil"/>
              <w:bottom w:val="single" w:sz="4" w:space="0" w:color="auto"/>
              <w:right w:val="single" w:sz="4" w:space="0" w:color="auto"/>
            </w:tcBorders>
            <w:vAlign w:val="center"/>
          </w:tcPr>
          <w:p w14:paraId="41A580D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使用银行借款金额</w:t>
            </w:r>
          </w:p>
        </w:tc>
        <w:tc>
          <w:tcPr>
            <w:tcW w:w="1645" w:type="pct"/>
            <w:tcBorders>
              <w:top w:val="single" w:sz="12" w:space="0" w:color="auto"/>
              <w:left w:val="single" w:sz="4" w:space="0" w:color="auto"/>
              <w:bottom w:val="single" w:sz="4" w:space="0" w:color="auto"/>
              <w:right w:val="single" w:sz="4" w:space="0" w:color="auto"/>
            </w:tcBorders>
            <w:vAlign w:val="center"/>
          </w:tcPr>
          <w:p w14:paraId="054DA935"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资产负债率</w:t>
            </w:r>
          </w:p>
        </w:tc>
        <w:tc>
          <w:tcPr>
            <w:tcW w:w="1665" w:type="pct"/>
            <w:tcBorders>
              <w:top w:val="single" w:sz="12" w:space="0" w:color="auto"/>
              <w:left w:val="single" w:sz="4" w:space="0" w:color="auto"/>
              <w:bottom w:val="single" w:sz="4" w:space="0" w:color="auto"/>
              <w:right w:val="nil"/>
            </w:tcBorders>
            <w:vAlign w:val="center"/>
          </w:tcPr>
          <w:p w14:paraId="0F61009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资产负债率增加幅度</w:t>
            </w:r>
          </w:p>
        </w:tc>
      </w:tr>
      <w:tr w:rsidR="00C02929" w14:paraId="74B56889" w14:textId="77777777">
        <w:trPr>
          <w:trHeight w:val="397"/>
        </w:trPr>
        <w:tc>
          <w:tcPr>
            <w:tcW w:w="1690" w:type="pct"/>
            <w:tcBorders>
              <w:top w:val="single" w:sz="4" w:space="0" w:color="auto"/>
              <w:left w:val="nil"/>
              <w:bottom w:val="single" w:sz="4" w:space="0" w:color="auto"/>
              <w:right w:val="single" w:sz="4" w:space="0" w:color="auto"/>
            </w:tcBorders>
            <w:vAlign w:val="center"/>
          </w:tcPr>
          <w:p w14:paraId="692AC90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2,000</w:t>
            </w:r>
            <w:r>
              <w:rPr>
                <w:rFonts w:ascii="Times New Roman" w:hAnsi="Times New Roman" w:cs="Times New Roman" w:hint="eastAsia"/>
                <w:sz w:val="21"/>
                <w:szCs w:val="21"/>
              </w:rPr>
              <w:t>万元</w:t>
            </w:r>
          </w:p>
        </w:tc>
        <w:tc>
          <w:tcPr>
            <w:tcW w:w="1645" w:type="pct"/>
            <w:tcBorders>
              <w:top w:val="single" w:sz="4" w:space="0" w:color="auto"/>
              <w:left w:val="single" w:sz="4" w:space="0" w:color="auto"/>
              <w:bottom w:val="single" w:sz="4" w:space="0" w:color="auto"/>
              <w:right w:val="single" w:sz="4" w:space="0" w:color="auto"/>
            </w:tcBorders>
            <w:vAlign w:val="center"/>
          </w:tcPr>
          <w:p w14:paraId="296F4B8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41.95%</w:t>
            </w:r>
          </w:p>
        </w:tc>
        <w:tc>
          <w:tcPr>
            <w:tcW w:w="1665" w:type="pct"/>
            <w:tcBorders>
              <w:top w:val="single" w:sz="4" w:space="0" w:color="auto"/>
              <w:left w:val="single" w:sz="4" w:space="0" w:color="auto"/>
              <w:bottom w:val="single" w:sz="4" w:space="0" w:color="auto"/>
              <w:right w:val="nil"/>
            </w:tcBorders>
            <w:vAlign w:val="center"/>
          </w:tcPr>
          <w:p w14:paraId="2DB0DA5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0.68%</w:t>
            </w:r>
          </w:p>
        </w:tc>
      </w:tr>
      <w:tr w:rsidR="00C02929" w14:paraId="0019F4C0" w14:textId="77777777">
        <w:trPr>
          <w:trHeight w:val="397"/>
        </w:trPr>
        <w:tc>
          <w:tcPr>
            <w:tcW w:w="1690" w:type="pct"/>
            <w:tcBorders>
              <w:top w:val="single" w:sz="4" w:space="0" w:color="auto"/>
              <w:left w:val="nil"/>
              <w:bottom w:val="single" w:sz="4" w:space="0" w:color="auto"/>
              <w:right w:val="single" w:sz="4" w:space="0" w:color="auto"/>
            </w:tcBorders>
            <w:vAlign w:val="center"/>
          </w:tcPr>
          <w:p w14:paraId="6E7858A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4,000</w:t>
            </w:r>
            <w:r>
              <w:rPr>
                <w:rFonts w:ascii="Times New Roman" w:hAnsi="Times New Roman" w:cs="Times New Roman" w:hint="eastAsia"/>
                <w:sz w:val="21"/>
                <w:szCs w:val="21"/>
              </w:rPr>
              <w:t>万元</w:t>
            </w:r>
          </w:p>
        </w:tc>
        <w:tc>
          <w:tcPr>
            <w:tcW w:w="1645" w:type="pct"/>
            <w:tcBorders>
              <w:top w:val="single" w:sz="4" w:space="0" w:color="auto"/>
              <w:left w:val="single" w:sz="4" w:space="0" w:color="auto"/>
              <w:bottom w:val="single" w:sz="4" w:space="0" w:color="auto"/>
              <w:right w:val="single" w:sz="4" w:space="0" w:color="auto"/>
            </w:tcBorders>
            <w:vAlign w:val="center"/>
          </w:tcPr>
          <w:p w14:paraId="19EE463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42.62%</w:t>
            </w:r>
          </w:p>
        </w:tc>
        <w:tc>
          <w:tcPr>
            <w:tcW w:w="1665" w:type="pct"/>
            <w:tcBorders>
              <w:top w:val="single" w:sz="4" w:space="0" w:color="auto"/>
              <w:left w:val="single" w:sz="4" w:space="0" w:color="auto"/>
              <w:bottom w:val="single" w:sz="4" w:space="0" w:color="auto"/>
              <w:right w:val="nil"/>
            </w:tcBorders>
            <w:vAlign w:val="center"/>
          </w:tcPr>
          <w:p w14:paraId="650807A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1.35%</w:t>
            </w:r>
          </w:p>
        </w:tc>
      </w:tr>
      <w:tr w:rsidR="00C02929" w14:paraId="30A2DA2E" w14:textId="77777777">
        <w:trPr>
          <w:trHeight w:val="397"/>
        </w:trPr>
        <w:tc>
          <w:tcPr>
            <w:tcW w:w="1690" w:type="pct"/>
            <w:tcBorders>
              <w:top w:val="single" w:sz="4" w:space="0" w:color="auto"/>
              <w:left w:val="nil"/>
              <w:bottom w:val="single" w:sz="12" w:space="0" w:color="auto"/>
              <w:right w:val="single" w:sz="4" w:space="0" w:color="auto"/>
            </w:tcBorders>
            <w:vAlign w:val="center"/>
          </w:tcPr>
          <w:p w14:paraId="7ECF18E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5,600</w:t>
            </w:r>
            <w:r>
              <w:rPr>
                <w:rFonts w:ascii="Times New Roman" w:hAnsi="Times New Roman" w:cs="Times New Roman" w:hint="eastAsia"/>
                <w:sz w:val="21"/>
                <w:szCs w:val="21"/>
              </w:rPr>
              <w:t>万元</w:t>
            </w:r>
          </w:p>
        </w:tc>
        <w:tc>
          <w:tcPr>
            <w:tcW w:w="1645" w:type="pct"/>
            <w:tcBorders>
              <w:top w:val="single" w:sz="4" w:space="0" w:color="auto"/>
              <w:left w:val="single" w:sz="4" w:space="0" w:color="auto"/>
              <w:bottom w:val="single" w:sz="12" w:space="0" w:color="auto"/>
              <w:right w:val="single" w:sz="4" w:space="0" w:color="auto"/>
            </w:tcBorders>
            <w:vAlign w:val="center"/>
          </w:tcPr>
          <w:p w14:paraId="69FA533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43.14%</w:t>
            </w:r>
          </w:p>
        </w:tc>
        <w:tc>
          <w:tcPr>
            <w:tcW w:w="1665" w:type="pct"/>
            <w:tcBorders>
              <w:top w:val="single" w:sz="4" w:space="0" w:color="auto"/>
              <w:left w:val="single" w:sz="4" w:space="0" w:color="auto"/>
              <w:bottom w:val="single" w:sz="12" w:space="0" w:color="auto"/>
              <w:right w:val="nil"/>
            </w:tcBorders>
            <w:vAlign w:val="center"/>
          </w:tcPr>
          <w:p w14:paraId="4358618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1.87%</w:t>
            </w:r>
          </w:p>
        </w:tc>
      </w:tr>
    </w:tbl>
    <w:p w14:paraId="7298D187" w14:textId="77777777" w:rsidR="00C02929" w:rsidRDefault="006116D1">
      <w:pPr>
        <w:pStyle w:val="affffd"/>
        <w:spacing w:beforeLines="0" w:line="240" w:lineRule="auto"/>
        <w:ind w:firstLineChars="0" w:firstLine="0"/>
        <w:rPr>
          <w:sz w:val="21"/>
          <w:szCs w:val="18"/>
        </w:rPr>
      </w:pPr>
      <w:r>
        <w:rPr>
          <w:rFonts w:hint="eastAsia"/>
          <w:sz w:val="21"/>
          <w:szCs w:val="18"/>
        </w:rPr>
        <w:t>注：上述分析仅将银行借款金额作为负债，未考虑本次重组及其他因素影响；资产负债率增加幅度为绝对值。</w:t>
      </w:r>
    </w:p>
    <w:p w14:paraId="6BAB186F" w14:textId="77777777" w:rsidR="00C02929" w:rsidRDefault="006116D1" w:rsidP="001F3E46">
      <w:pPr>
        <w:pStyle w:val="affffd"/>
        <w:spacing w:before="156"/>
        <w:ind w:firstLine="480"/>
      </w:pPr>
      <w:r>
        <w:rPr>
          <w:rFonts w:hint="eastAsia"/>
        </w:rPr>
        <w:t>本次交易完成后，上市公司总资产规模、净资产规模、收入规模将有所增加，通过收购标的公司，上市公司的盈利能力将得到进一步增强，抗风险能力得到进一步提升。若配套融资金额未达预期，上市公司拟使用自有资金和银行借款支付本次配套募集资金项目中需支付的交易现金对价费用等项目。上市公司资产负债率将有所提高，但仍处于合理水平，不会对上市公司偿债能力及日常生产经营造成较大影响。</w:t>
      </w:r>
    </w:p>
    <w:p w14:paraId="1DD545D9" w14:textId="77777777"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三、补充披露情况</w:t>
      </w:r>
    </w:p>
    <w:p w14:paraId="19E5627C" w14:textId="77777777" w:rsidR="00C02929" w:rsidRDefault="006116D1" w:rsidP="001F3E46">
      <w:pPr>
        <w:pStyle w:val="affffd"/>
        <w:spacing w:before="156"/>
        <w:ind w:firstLine="480"/>
      </w:pPr>
      <w:r>
        <w:rPr>
          <w:bCs/>
        </w:rPr>
        <w:t>上市公司已在《重组报告书》</w:t>
      </w:r>
      <w:r>
        <w:rPr>
          <w:rFonts w:hint="eastAsia"/>
        </w:rPr>
        <w:t>“第五节</w:t>
      </w:r>
      <w:r>
        <w:t xml:space="preserve"> </w:t>
      </w:r>
      <w:r>
        <w:t>发行股份情况</w:t>
      </w:r>
      <w:r>
        <w:rPr>
          <w:rFonts w:hint="eastAsia"/>
        </w:rPr>
        <w:t>”</w:t>
      </w:r>
      <w:r>
        <w:t>之</w:t>
      </w:r>
      <w:r>
        <w:rPr>
          <w:rFonts w:hint="eastAsia"/>
        </w:rPr>
        <w:t>“</w:t>
      </w:r>
      <w:r>
        <w:t>三、募集配套资金的用途及必要性</w:t>
      </w:r>
      <w:r>
        <w:rPr>
          <w:rFonts w:hint="eastAsia"/>
        </w:rPr>
        <w:t>”之“（二）募集配套资金的必要性”及“（四）本次募集配套资金金额未达预期的具体影响及应对措施”</w:t>
      </w:r>
      <w:r>
        <w:rPr>
          <w:rFonts w:hint="eastAsia"/>
          <w:bCs/>
          <w:lang w:val="en-GB"/>
        </w:rPr>
        <w:t>进行了补充披露。</w:t>
      </w:r>
    </w:p>
    <w:p w14:paraId="100001EC" w14:textId="26AF8735"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w:t>
      </w:r>
      <w:r w:rsid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6B566A29" w14:textId="77777777" w:rsidR="00C02929" w:rsidRDefault="006116D1" w:rsidP="001F3E46">
      <w:pPr>
        <w:pStyle w:val="affffd"/>
        <w:spacing w:before="156"/>
        <w:ind w:firstLine="480"/>
      </w:pPr>
      <w:r>
        <w:rPr>
          <w:rFonts w:hint="eastAsia"/>
          <w:lang w:val="zh-CN"/>
        </w:rPr>
        <w:t>经核查，独立财务顾问认为：若本次配套融资金额未达预期，上市公司有能力以自有资金或通过其他融资方式解决；配套融资最终成功与否不影响本次购买资产的实施，使用自有资金或向银行借款等其他方式支付现金对价费用等项目不会对</w:t>
      </w:r>
      <w:r>
        <w:rPr>
          <w:rFonts w:hint="eastAsia"/>
        </w:rPr>
        <w:t>上市</w:t>
      </w:r>
      <w:r>
        <w:rPr>
          <w:rFonts w:hint="eastAsia"/>
          <w:lang w:val="zh-CN"/>
        </w:rPr>
        <w:t>公司偿债能力及日常生产经营造成较大影响。</w:t>
      </w:r>
    </w:p>
    <w:p w14:paraId="6D33A645" w14:textId="77777777" w:rsidR="00C02929" w:rsidRDefault="00C02929" w:rsidP="001F3E46">
      <w:pPr>
        <w:pStyle w:val="afffff"/>
        <w:sectPr w:rsidR="00C02929">
          <w:pgSz w:w="11906" w:h="16838"/>
          <w:pgMar w:top="1440" w:right="1800" w:bottom="1440" w:left="1800" w:header="851" w:footer="992" w:gutter="0"/>
          <w:cols w:space="720"/>
          <w:docGrid w:type="lines" w:linePitch="312"/>
        </w:sectPr>
      </w:pPr>
      <w:bookmarkStart w:id="10" w:name="_Toc69256849"/>
      <w:bookmarkStart w:id="11" w:name="_Toc69256869"/>
      <w:bookmarkEnd w:id="8"/>
      <w:bookmarkEnd w:id="9"/>
    </w:p>
    <w:p w14:paraId="717E9D2C" w14:textId="77777777" w:rsidR="00C02929" w:rsidRDefault="006116D1" w:rsidP="001F3E46">
      <w:pPr>
        <w:pStyle w:val="afffff"/>
      </w:pPr>
      <w:r>
        <w:rPr>
          <w:rFonts w:hint="eastAsia"/>
        </w:rPr>
        <w:lastRenderedPageBreak/>
        <w:t>第三题</w:t>
      </w:r>
    </w:p>
    <w:p w14:paraId="2160A7C8" w14:textId="77777777" w:rsidR="00C02929" w:rsidRDefault="006116D1" w:rsidP="001F3E46">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月，北洋天青前五大客户的营业收入占当期营业收入的比重分别为</w:t>
      </w:r>
      <w:r>
        <w:rPr>
          <w:rFonts w:ascii="Times New Roman" w:eastAsia="黑体" w:hAnsi="Times New Roman" w:cs="Times New Roman" w:hint="eastAsia"/>
          <w:b/>
          <w:color w:val="000000"/>
          <w:szCs w:val="21"/>
        </w:rPr>
        <w:t>99.65%</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99.94%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100%</w:t>
      </w:r>
      <w:r>
        <w:rPr>
          <w:rFonts w:ascii="Times New Roman" w:eastAsia="黑体" w:hAnsi="Times New Roman" w:cs="Times New Roman" w:hint="eastAsia"/>
          <w:b/>
          <w:color w:val="000000"/>
          <w:szCs w:val="21"/>
        </w:rPr>
        <w:t>，客户集中度高。</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）北洋天青拥有</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项实用新型专利，另外</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项专利正在申请，主要业务为定制化系统集成和机器人配套，依据客户的需求提供定制化服务。请你公司：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）以简明清晰、通俗易懂的语言补充披露定制化系统集成和机器人配套业务的业务模式、生产流程、工艺和主要产品。</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结合北洋天青与主要客户合作期限、合同主要内容、续期条件，新客户拓展情况及相关约定等，补充披露北洋天青与主要客户合作的稳定性及可持续性，是否存在流失现有客户或无法拓展新客户的风险，对其经营稳定性和持续盈利能力的影响及应对措施。</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）结合北洋天青和主要竞争对手在业务规模、市场占有率、核心技术上的差异及行业内竞争态势，补充披露北洋天青核心竞争力，有无被替代风险及应对措施。请独立财务顾问核查并发表明确意见。</w:t>
      </w:r>
    </w:p>
    <w:p w14:paraId="141174CE" w14:textId="77777777" w:rsidR="00C02929" w:rsidRDefault="006116D1" w:rsidP="001F3E46">
      <w:pPr>
        <w:pStyle w:val="affffd"/>
        <w:spacing w:before="156"/>
        <w:ind w:firstLine="482"/>
        <w:rPr>
          <w:b/>
        </w:rPr>
      </w:pPr>
      <w:r>
        <w:rPr>
          <w:rFonts w:hint="eastAsia"/>
          <w:b/>
        </w:rPr>
        <w:t>【回复说明】</w:t>
      </w:r>
    </w:p>
    <w:p w14:paraId="7CBAD1CF" w14:textId="77777777" w:rsidR="00C02929" w:rsidRDefault="006116D1" w:rsidP="001F3E46">
      <w:pPr>
        <w:spacing w:beforeLines="50" w:before="156" w:line="360" w:lineRule="auto"/>
        <w:ind w:firstLineChars="200" w:firstLine="482"/>
        <w:jc w:val="both"/>
        <w:outlineLvl w:val="1"/>
        <w:rPr>
          <w:rFonts w:ascii="Times New Roman" w:hAnsi="Times New Roman" w:cs="Times New Roman"/>
          <w:b/>
          <w:color w:val="000000"/>
          <w:szCs w:val="21"/>
        </w:rPr>
      </w:pPr>
      <w:r>
        <w:rPr>
          <w:rFonts w:ascii="Times New Roman" w:hAnsi="Times New Roman" w:cs="Times New Roman" w:hint="eastAsia"/>
          <w:b/>
          <w:color w:val="000000"/>
          <w:szCs w:val="21"/>
        </w:rPr>
        <w:t>1</w:t>
      </w:r>
      <w:r>
        <w:rPr>
          <w:rFonts w:ascii="Times New Roman" w:hAnsi="Times New Roman" w:cs="Times New Roman" w:hint="eastAsia"/>
          <w:b/>
          <w:color w:val="000000"/>
          <w:szCs w:val="21"/>
        </w:rPr>
        <w:t>）以简明清晰、通俗易懂的语言补充披露定制化系统集成和机器人配套业务的业务模式、生产流程、工艺和主要产品。</w:t>
      </w:r>
    </w:p>
    <w:p w14:paraId="260FDD46" w14:textId="77777777"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一、定制化系统集成和机器人配套业务</w:t>
      </w:r>
    </w:p>
    <w:p w14:paraId="49A88FA2"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聚焦工业自动化领域，形成了包括工业机器人本体及系统集成、智能制造装备、机器视觉、测试系统集成、模具立体库自动换模系统、物流悬挂输送系统和企业信息化七大业务板块的产品线。每个业务板块可独立运作，为下游制造业客户提供工业智能化和信息化的产品，也可以相互配合，依托</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的综合集成能力，为客户提供生产线智能化建设、升级和改造与数字化生产车间的整体解决方案。</w:t>
      </w:r>
    </w:p>
    <w:p w14:paraId="629B2572"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公司业务围绕机器人和定制化集成配套两大类开展，第一类是以机器人本体及配套为主的业务，该类业务特点主要是以机器人集成应用为主体的独立项目，配套设备及服务是为配合机器人完成客户制造工艺需求的集成。主要产品如冲压连线、空调翅片自动取片项目等。第二类是以定制化集成为主的业务，该类</w:t>
      </w:r>
      <w:r>
        <w:rPr>
          <w:rFonts w:ascii="Times New Roman" w:hAnsi="Times New Roman" w:cs="Times New Roman" w:hint="eastAsia"/>
          <w:bCs/>
          <w:color w:val="000000"/>
          <w:szCs w:val="21"/>
        </w:rPr>
        <w:lastRenderedPageBreak/>
        <w:t>业务特点主要是为客户提供定制化的非标准集成设备和生产线。此类业务根据客户需求综合模具立体库智能制造装备、测试系统集成、机器视觉系统、自动换模系统、物流悬挂输送系统、企业信息化系统等产品线的应用。主要产品如总装生产线项目、悬挂链物流系统等。</w:t>
      </w:r>
    </w:p>
    <w:p w14:paraId="74F88052" w14:textId="77777777"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二、主要产品及服务</w:t>
      </w:r>
    </w:p>
    <w:p w14:paraId="7C5FB7EE" w14:textId="77777777" w:rsidR="00C02929" w:rsidRDefault="006116D1" w:rsidP="001F3E46">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（一）工业机器人本体及系统集成</w:t>
      </w:r>
    </w:p>
    <w:p w14:paraId="7F202642"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北洋天青业务以工业机器人系统集成为主，涵盖搬运、码垛、装箱、插件、点胶等多个应用领域。在工业机器人系统集成方面，北洋天青依据下游制造业客户的不同生产工艺和用途需求，制定设计方案，然后以外购的工业机器人为本体，把夹具、输送线、定位系统、电气控制系统、信息化系统等集合成一套可以替代人工的智能化设备，以帮助客户提高生产效率、降低生产成本。北洋天青代表性项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4"/>
        <w:gridCol w:w="3782"/>
        <w:gridCol w:w="3576"/>
      </w:tblGrid>
      <w:tr w:rsidR="00C02929" w14:paraId="7993E987" w14:textId="77777777">
        <w:trPr>
          <w:trHeight w:val="397"/>
          <w:tblHeader/>
        </w:trPr>
        <w:tc>
          <w:tcPr>
            <w:tcW w:w="683" w:type="pct"/>
            <w:tcBorders>
              <w:top w:val="single" w:sz="12" w:space="0" w:color="auto"/>
              <w:left w:val="nil"/>
              <w:bottom w:val="single" w:sz="4" w:space="0" w:color="auto"/>
              <w:right w:val="single" w:sz="4" w:space="0" w:color="auto"/>
            </w:tcBorders>
            <w:vAlign w:val="center"/>
          </w:tcPr>
          <w:p w14:paraId="0F68BB79" w14:textId="77777777" w:rsidR="00C02929" w:rsidRDefault="006116D1">
            <w:pPr>
              <w:keepNext/>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项目名称</w:t>
            </w:r>
          </w:p>
        </w:tc>
        <w:tc>
          <w:tcPr>
            <w:tcW w:w="2219" w:type="pct"/>
            <w:tcBorders>
              <w:top w:val="single" w:sz="12" w:space="0" w:color="auto"/>
              <w:left w:val="single" w:sz="4" w:space="0" w:color="auto"/>
              <w:bottom w:val="single" w:sz="4" w:space="0" w:color="auto"/>
              <w:right w:val="single" w:sz="4" w:space="0" w:color="auto"/>
            </w:tcBorders>
            <w:vAlign w:val="center"/>
          </w:tcPr>
          <w:p w14:paraId="3FECD06C" w14:textId="77777777" w:rsidR="00C02929" w:rsidRDefault="006116D1">
            <w:pPr>
              <w:keepNext/>
              <w:autoSpaceDE w:val="0"/>
              <w:autoSpaceDN w:val="0"/>
              <w:adjustRightIn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产品功能和用途</w:t>
            </w:r>
          </w:p>
        </w:tc>
        <w:tc>
          <w:tcPr>
            <w:tcW w:w="2098" w:type="pct"/>
            <w:tcBorders>
              <w:top w:val="single" w:sz="12" w:space="0" w:color="auto"/>
              <w:left w:val="single" w:sz="4" w:space="0" w:color="auto"/>
              <w:bottom w:val="single" w:sz="4" w:space="0" w:color="auto"/>
              <w:right w:val="nil"/>
            </w:tcBorders>
            <w:vAlign w:val="center"/>
          </w:tcPr>
          <w:p w14:paraId="7B04934D" w14:textId="77777777" w:rsidR="00C02929" w:rsidRDefault="006116D1">
            <w:pPr>
              <w:keepNext/>
              <w:autoSpaceDE w:val="0"/>
              <w:autoSpaceDN w:val="0"/>
              <w:adjustRightIn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产品示例图</w:t>
            </w:r>
          </w:p>
        </w:tc>
      </w:tr>
      <w:tr w:rsidR="00C02929" w14:paraId="29C239E5" w14:textId="77777777">
        <w:trPr>
          <w:trHeight w:val="397"/>
        </w:trPr>
        <w:tc>
          <w:tcPr>
            <w:tcW w:w="683" w:type="pct"/>
            <w:tcBorders>
              <w:top w:val="single" w:sz="4" w:space="0" w:color="auto"/>
              <w:left w:val="nil"/>
              <w:bottom w:val="single" w:sz="4" w:space="0" w:color="auto"/>
              <w:right w:val="single" w:sz="4" w:space="0" w:color="auto"/>
            </w:tcBorders>
            <w:vAlign w:val="center"/>
          </w:tcPr>
          <w:p w14:paraId="3A72EA49"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冰箱门壳机器人冲压连线</w:t>
            </w:r>
          </w:p>
        </w:tc>
        <w:tc>
          <w:tcPr>
            <w:tcW w:w="2219" w:type="pct"/>
            <w:tcBorders>
              <w:top w:val="single" w:sz="4" w:space="0" w:color="auto"/>
              <w:left w:val="single" w:sz="4" w:space="0" w:color="auto"/>
              <w:bottom w:val="single" w:sz="4" w:space="0" w:color="auto"/>
              <w:right w:val="single" w:sz="4" w:space="0" w:color="auto"/>
            </w:tcBorders>
            <w:vAlign w:val="center"/>
          </w:tcPr>
          <w:p w14:paraId="6592D14D" w14:textId="77777777" w:rsidR="00C02929" w:rsidRDefault="006116D1">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在冲压领域集成设计及应用，可以实现钣金冲压车间单机床的自动上下料，多机床间即多工序之间的物料自动搬运，包含机器人，机械手，钣金上料拆垛台，冲床模具自动换模设备及系统，下料输送线等，有助于节省人工，提高生产效率，降低安全隐患</w:t>
            </w:r>
          </w:p>
        </w:tc>
        <w:tc>
          <w:tcPr>
            <w:tcW w:w="2098" w:type="pct"/>
            <w:tcBorders>
              <w:top w:val="single" w:sz="4" w:space="0" w:color="auto"/>
              <w:left w:val="single" w:sz="4" w:space="0" w:color="auto"/>
              <w:bottom w:val="single" w:sz="4" w:space="0" w:color="auto"/>
              <w:right w:val="nil"/>
            </w:tcBorders>
            <w:vAlign w:val="center"/>
          </w:tcPr>
          <w:p w14:paraId="4C746E8F" w14:textId="77777777" w:rsidR="00C02929" w:rsidRDefault="006116D1">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31E474BE" wp14:editId="245F60B0">
                  <wp:extent cx="2057400" cy="1936750"/>
                  <wp:effectExtent l="0" t="0" r="0" b="6350"/>
                  <wp:docPr id="18" name="图片 18" descr="8b9cf2d129a71eea0040871107f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b9cf2d129a71eea0040871107f2709"/>
                          <pic:cNvPicPr>
                            <a:picLocks noChangeAspect="1" noChangeArrowheads="1"/>
                          </pic:cNvPicPr>
                        </pic:nvPicPr>
                        <pic:blipFill>
                          <a:blip r:embed="rId12">
                            <a:extLst>
                              <a:ext uri="{28A0092B-C50C-407E-A947-70E740481C1C}">
                                <a14:useLocalDpi xmlns:a14="http://schemas.microsoft.com/office/drawing/2010/main" val="0"/>
                              </a:ext>
                            </a:extLst>
                          </a:blip>
                          <a:srcRect t="29443"/>
                          <a:stretch>
                            <a:fillRect/>
                          </a:stretch>
                        </pic:blipFill>
                        <pic:spPr>
                          <a:xfrm>
                            <a:off x="0" y="0"/>
                            <a:ext cx="2057400" cy="1936750"/>
                          </a:xfrm>
                          <a:prstGeom prst="rect">
                            <a:avLst/>
                          </a:prstGeom>
                          <a:noFill/>
                          <a:ln>
                            <a:noFill/>
                          </a:ln>
                        </pic:spPr>
                      </pic:pic>
                    </a:graphicData>
                  </a:graphic>
                </wp:inline>
              </w:drawing>
            </w:r>
          </w:p>
        </w:tc>
      </w:tr>
      <w:tr w:rsidR="00C02929" w14:paraId="1459476D" w14:textId="77777777">
        <w:trPr>
          <w:trHeight w:val="397"/>
        </w:trPr>
        <w:tc>
          <w:tcPr>
            <w:tcW w:w="683" w:type="pct"/>
            <w:tcBorders>
              <w:top w:val="single" w:sz="4" w:space="0" w:color="auto"/>
              <w:left w:val="nil"/>
              <w:bottom w:val="single" w:sz="4" w:space="0" w:color="auto"/>
              <w:right w:val="single" w:sz="4" w:space="0" w:color="auto"/>
            </w:tcBorders>
            <w:vAlign w:val="center"/>
          </w:tcPr>
          <w:p w14:paraId="1B33C6C8" w14:textId="77777777" w:rsidR="00C02929" w:rsidRDefault="006116D1">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门壳钣金成型线加强铁自动铆接上下料项目</w:t>
            </w:r>
          </w:p>
        </w:tc>
        <w:tc>
          <w:tcPr>
            <w:tcW w:w="2219" w:type="pct"/>
            <w:tcBorders>
              <w:top w:val="single" w:sz="4" w:space="0" w:color="auto"/>
              <w:left w:val="single" w:sz="4" w:space="0" w:color="auto"/>
              <w:bottom w:val="single" w:sz="4" w:space="0" w:color="auto"/>
              <w:right w:val="single" w:sz="4" w:space="0" w:color="auto"/>
            </w:tcBorders>
            <w:vAlign w:val="center"/>
          </w:tcPr>
          <w:p w14:paraId="2C5DB02A" w14:textId="77777777" w:rsidR="00C02929" w:rsidRDefault="006116D1">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配合配套钣金成型线自动上下料的集成设计及应用，由机器人、机械手、供料设备、储料仓、定位台，可以实现加强铁自动供料和铆接、根据信息化配方实现自动切换型号混线柔性生产模式，解决了人工劳动强度大、速度慢，混线生产柔性生产困难等难题</w:t>
            </w:r>
          </w:p>
        </w:tc>
        <w:tc>
          <w:tcPr>
            <w:tcW w:w="2098" w:type="pct"/>
            <w:tcBorders>
              <w:top w:val="single" w:sz="4" w:space="0" w:color="auto"/>
              <w:left w:val="single" w:sz="4" w:space="0" w:color="auto"/>
              <w:bottom w:val="single" w:sz="4" w:space="0" w:color="auto"/>
              <w:right w:val="nil"/>
            </w:tcBorders>
            <w:vAlign w:val="center"/>
          </w:tcPr>
          <w:p w14:paraId="213BF601" w14:textId="77777777" w:rsidR="00C02929" w:rsidRDefault="006116D1">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7A0CF43C" wp14:editId="5E0299C1">
                  <wp:extent cx="2063750" cy="1441450"/>
                  <wp:effectExtent l="0" t="0" r="0" b="6350"/>
                  <wp:docPr id="17" name="图片 17" descr="澳柯玛项目10——周业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澳柯玛项目10——周业荣"/>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63750" cy="1441450"/>
                          </a:xfrm>
                          <a:prstGeom prst="rect">
                            <a:avLst/>
                          </a:prstGeom>
                          <a:noFill/>
                          <a:ln>
                            <a:noFill/>
                          </a:ln>
                        </pic:spPr>
                      </pic:pic>
                    </a:graphicData>
                  </a:graphic>
                </wp:inline>
              </w:drawing>
            </w:r>
          </w:p>
        </w:tc>
      </w:tr>
      <w:tr w:rsidR="00C02929" w14:paraId="13B162FB" w14:textId="77777777">
        <w:trPr>
          <w:trHeight w:val="397"/>
        </w:trPr>
        <w:tc>
          <w:tcPr>
            <w:tcW w:w="683" w:type="pct"/>
            <w:tcBorders>
              <w:top w:val="single" w:sz="4" w:space="0" w:color="auto"/>
              <w:left w:val="nil"/>
              <w:bottom w:val="single" w:sz="4" w:space="0" w:color="auto"/>
              <w:right w:val="single" w:sz="4" w:space="0" w:color="auto"/>
            </w:tcBorders>
            <w:vAlign w:val="center"/>
          </w:tcPr>
          <w:p w14:paraId="4015E9E1" w14:textId="77777777" w:rsidR="00C02929" w:rsidRDefault="006116D1">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lastRenderedPageBreak/>
              <w:t>空调翅片自动取片项目</w:t>
            </w:r>
          </w:p>
        </w:tc>
        <w:tc>
          <w:tcPr>
            <w:tcW w:w="2219" w:type="pct"/>
            <w:tcBorders>
              <w:top w:val="single" w:sz="4" w:space="0" w:color="auto"/>
              <w:left w:val="single" w:sz="4" w:space="0" w:color="auto"/>
              <w:bottom w:val="single" w:sz="4" w:space="0" w:color="auto"/>
              <w:right w:val="single" w:sz="4" w:space="0" w:color="auto"/>
            </w:tcBorders>
            <w:vAlign w:val="center"/>
          </w:tcPr>
          <w:p w14:paraId="23BA28F1" w14:textId="77777777" w:rsidR="00C02929" w:rsidRDefault="006116D1">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在空调两器行业非标自动化领域集成设计及应用，由机器人、机器人伺服平移第七轴，自动调整伺服取料机械手，下料码垛位等组成，结合信息化实现空调冲切冷凝器翅片的自动取放和码垛，根据配方自动调整夹爪和调用不同程序，实现一键换型柔性生产，解决人工劳动强度大，取片容易导致倒伏等质量不良率高等难题，属行业首创</w:t>
            </w:r>
          </w:p>
        </w:tc>
        <w:tc>
          <w:tcPr>
            <w:tcW w:w="2098" w:type="pct"/>
            <w:tcBorders>
              <w:top w:val="single" w:sz="4" w:space="0" w:color="auto"/>
              <w:left w:val="single" w:sz="4" w:space="0" w:color="auto"/>
              <w:bottom w:val="single" w:sz="4" w:space="0" w:color="auto"/>
              <w:right w:val="nil"/>
            </w:tcBorders>
            <w:vAlign w:val="center"/>
          </w:tcPr>
          <w:p w14:paraId="37C174FA" w14:textId="77777777" w:rsidR="00C02929" w:rsidRDefault="006116D1">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24D179F9" wp14:editId="13411EC6">
                  <wp:extent cx="2070100" cy="1549400"/>
                  <wp:effectExtent l="0" t="0" r="6350" b="0"/>
                  <wp:docPr id="16" name="图片 16" descr="IMG_20200704_1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00704_174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070100" cy="1549400"/>
                          </a:xfrm>
                          <a:prstGeom prst="rect">
                            <a:avLst/>
                          </a:prstGeom>
                          <a:noFill/>
                          <a:ln>
                            <a:noFill/>
                          </a:ln>
                        </pic:spPr>
                      </pic:pic>
                    </a:graphicData>
                  </a:graphic>
                </wp:inline>
              </w:drawing>
            </w:r>
          </w:p>
        </w:tc>
      </w:tr>
      <w:tr w:rsidR="00C02929" w14:paraId="3F7E0096" w14:textId="77777777">
        <w:trPr>
          <w:trHeight w:val="397"/>
        </w:trPr>
        <w:tc>
          <w:tcPr>
            <w:tcW w:w="683" w:type="pct"/>
            <w:tcBorders>
              <w:top w:val="single" w:sz="4" w:space="0" w:color="auto"/>
              <w:left w:val="nil"/>
              <w:bottom w:val="single" w:sz="12" w:space="0" w:color="auto"/>
              <w:right w:val="single" w:sz="4" w:space="0" w:color="auto"/>
            </w:tcBorders>
            <w:vAlign w:val="center"/>
          </w:tcPr>
          <w:p w14:paraId="172EE797" w14:textId="77777777" w:rsidR="00C02929" w:rsidRDefault="006116D1">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滚筒洗衣机内筒注塑自动上下料项目</w:t>
            </w:r>
          </w:p>
        </w:tc>
        <w:tc>
          <w:tcPr>
            <w:tcW w:w="2219" w:type="pct"/>
            <w:tcBorders>
              <w:top w:val="single" w:sz="4" w:space="0" w:color="auto"/>
              <w:left w:val="single" w:sz="4" w:space="0" w:color="auto"/>
              <w:bottom w:val="single" w:sz="12" w:space="0" w:color="auto"/>
              <w:right w:val="single" w:sz="4" w:space="0" w:color="auto"/>
            </w:tcBorders>
            <w:vAlign w:val="center"/>
          </w:tcPr>
          <w:p w14:paraId="7D774C5E" w14:textId="77777777" w:rsidR="00C02929" w:rsidRDefault="006116D1">
            <w:pPr>
              <w:autoSpaceDE w:val="0"/>
              <w:autoSpaceDN w:val="0"/>
              <w:adjustRightIn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属于工业机器人在洗衣机内筒注塑成型工位非标自动化的集成设计及应用，由机器人、取料机械手，供料设备、储料仓、定位台，下料注胶头切割专机，下料输送线等设备构成，可以实现滚筒成型镶套件注塑前上料，滚筒成型后下料，胶头切割，下料输送等。根据信息化配方，实现自动切换型号混线柔性生产模式，解决了人工劳动强度大、速度慢，高危险作业、混线生产柔性生产困难等难题，提高生产效率，降低安全隐患</w:t>
            </w:r>
          </w:p>
        </w:tc>
        <w:tc>
          <w:tcPr>
            <w:tcW w:w="2098" w:type="pct"/>
            <w:tcBorders>
              <w:top w:val="single" w:sz="4" w:space="0" w:color="auto"/>
              <w:left w:val="single" w:sz="4" w:space="0" w:color="auto"/>
              <w:bottom w:val="single" w:sz="12" w:space="0" w:color="auto"/>
              <w:right w:val="nil"/>
            </w:tcBorders>
            <w:vAlign w:val="center"/>
          </w:tcPr>
          <w:p w14:paraId="64B99B0C" w14:textId="77777777" w:rsidR="00C02929" w:rsidRDefault="006116D1">
            <w:pPr>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44465930" wp14:editId="59D8564F">
                  <wp:extent cx="2051050" cy="2133600"/>
                  <wp:effectExtent l="0" t="0" r="6350" b="0"/>
                  <wp:docPr id="15" name="图片 15" descr="IMG_20190713_10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190713_1013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051050" cy="2133600"/>
                          </a:xfrm>
                          <a:prstGeom prst="rect">
                            <a:avLst/>
                          </a:prstGeom>
                          <a:noFill/>
                          <a:ln>
                            <a:noFill/>
                          </a:ln>
                        </pic:spPr>
                      </pic:pic>
                    </a:graphicData>
                  </a:graphic>
                </wp:inline>
              </w:drawing>
            </w:r>
          </w:p>
        </w:tc>
      </w:tr>
    </w:tbl>
    <w:p w14:paraId="5FE9638A" w14:textId="77777777" w:rsidR="00C02929" w:rsidRDefault="006116D1" w:rsidP="001F3E46">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（二）智能制造装备</w:t>
      </w:r>
    </w:p>
    <w:p w14:paraId="179C984D"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生产的智能制造装备属于非标自动化设备。北洋天青根据客户提出的设备技术要求，深入了解客户相关产品的生产工艺，制定生产设备详细规划方案，配合电气控制系统，设计制造出满足客户需求的自动化设备及生产线。该生产线可以替代人工重复单调的动作、降低工人劳动强度、降低安全隐患、结合软件信息化实现数字化的智能制造生产设备和多料号混线柔性生产模式，大大提高产品生产质量和生产效率，保证产品的稳定性。</w:t>
      </w:r>
    </w:p>
    <w:p w14:paraId="6D8B7C6A"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智能制造是一个系统工程，需要整体的规划设计，并非单纯地增加数字化和自动化的设备。智能工厂智能制造装备和生产线是一个整体的系统，针对目前工厂对智能制造的需求，结合客户生产工艺的实际需求，给客户提供完整的智能生产线解决方案。</w:t>
      </w:r>
    </w:p>
    <w:p w14:paraId="1B30E26D"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代表性项目如下：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64"/>
        <w:gridCol w:w="3463"/>
        <w:gridCol w:w="3895"/>
      </w:tblGrid>
      <w:tr w:rsidR="00C02929" w14:paraId="0954C2FA" w14:textId="77777777">
        <w:trPr>
          <w:trHeight w:val="397"/>
          <w:tblHeader/>
          <w:jc w:val="center"/>
        </w:trPr>
        <w:tc>
          <w:tcPr>
            <w:tcW w:w="683" w:type="pct"/>
            <w:tcBorders>
              <w:top w:val="single" w:sz="12" w:space="0" w:color="auto"/>
              <w:left w:val="nil"/>
              <w:bottom w:val="single" w:sz="4" w:space="0" w:color="auto"/>
              <w:right w:val="single" w:sz="4" w:space="0" w:color="auto"/>
            </w:tcBorders>
            <w:vAlign w:val="center"/>
          </w:tcPr>
          <w:p w14:paraId="3D6B2313" w14:textId="77777777" w:rsidR="00C02929" w:rsidRDefault="006116D1">
            <w:pPr>
              <w:adjustRightInd w:val="0"/>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lastRenderedPageBreak/>
              <w:t>项目名称</w:t>
            </w:r>
          </w:p>
        </w:tc>
        <w:tc>
          <w:tcPr>
            <w:tcW w:w="2032" w:type="pct"/>
            <w:tcBorders>
              <w:top w:val="single" w:sz="12" w:space="0" w:color="auto"/>
              <w:left w:val="single" w:sz="4" w:space="0" w:color="auto"/>
              <w:bottom w:val="single" w:sz="4" w:space="0" w:color="auto"/>
              <w:right w:val="single" w:sz="4" w:space="0" w:color="auto"/>
            </w:tcBorders>
            <w:vAlign w:val="center"/>
          </w:tcPr>
          <w:p w14:paraId="522D6193" w14:textId="77777777" w:rsidR="00C02929" w:rsidRDefault="006116D1">
            <w:pPr>
              <w:autoSpaceDE w:val="0"/>
              <w:autoSpaceDN w:val="0"/>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产品功能和用途</w:t>
            </w:r>
          </w:p>
        </w:tc>
        <w:tc>
          <w:tcPr>
            <w:tcW w:w="2285" w:type="pct"/>
            <w:tcBorders>
              <w:top w:val="single" w:sz="12" w:space="0" w:color="auto"/>
              <w:left w:val="single" w:sz="4" w:space="0" w:color="auto"/>
              <w:bottom w:val="single" w:sz="4" w:space="0" w:color="auto"/>
              <w:right w:val="nil"/>
            </w:tcBorders>
            <w:vAlign w:val="center"/>
          </w:tcPr>
          <w:p w14:paraId="32051DCB" w14:textId="77777777" w:rsidR="00C02929" w:rsidRDefault="006116D1">
            <w:pPr>
              <w:autoSpaceDE w:val="0"/>
              <w:autoSpaceDN w:val="0"/>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产品示例图</w:t>
            </w:r>
          </w:p>
        </w:tc>
      </w:tr>
      <w:tr w:rsidR="00C02929" w14:paraId="080CEAF8"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13C89636"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机器人及物流信息管理系统项目</w:t>
            </w:r>
          </w:p>
        </w:tc>
        <w:tc>
          <w:tcPr>
            <w:tcW w:w="2032" w:type="pct"/>
            <w:tcBorders>
              <w:top w:val="single" w:sz="4" w:space="0" w:color="auto"/>
              <w:left w:val="single" w:sz="4" w:space="0" w:color="auto"/>
              <w:bottom w:val="single" w:sz="4" w:space="0" w:color="auto"/>
              <w:right w:val="single" w:sz="4" w:space="0" w:color="auto"/>
            </w:tcBorders>
            <w:vAlign w:val="center"/>
          </w:tcPr>
          <w:p w14:paraId="11376199"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整厂生产线，可以实现</w:t>
            </w:r>
            <w:r>
              <w:rPr>
                <w:rFonts w:ascii="Times New Roman" w:hAnsi="Times New Roman" w:cs="Times New Roman" w:hint="eastAsia"/>
                <w:color w:val="000000"/>
                <w:sz w:val="21"/>
                <w:szCs w:val="21"/>
              </w:rPr>
              <w:t>8</w:t>
            </w:r>
            <w:r>
              <w:rPr>
                <w:rFonts w:ascii="Times New Roman" w:hAnsi="Times New Roman" w:cs="Times New Roman" w:hint="eastAsia"/>
                <w:color w:val="000000"/>
                <w:sz w:val="21"/>
                <w:szCs w:val="21"/>
              </w:rPr>
              <w:t>种型号产品同时混线生产，整厂信息化管理，关键工位机器人替代人力，根据信息化参数可控制实现自动调节参数快速换型，自动适应产品外形尺寸，实现整个工厂的信息化管理与生产，提高了生产效率</w:t>
            </w:r>
          </w:p>
        </w:tc>
        <w:tc>
          <w:tcPr>
            <w:tcW w:w="2285" w:type="pct"/>
            <w:tcBorders>
              <w:top w:val="single" w:sz="4" w:space="0" w:color="auto"/>
              <w:left w:val="single" w:sz="4" w:space="0" w:color="auto"/>
              <w:bottom w:val="single" w:sz="4" w:space="0" w:color="auto"/>
              <w:right w:val="nil"/>
            </w:tcBorders>
            <w:vAlign w:val="center"/>
          </w:tcPr>
          <w:p w14:paraId="14A7E51B" w14:textId="77777777" w:rsidR="00C02929" w:rsidRDefault="006116D1">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sz w:val="21"/>
                <w:szCs w:val="21"/>
              </w:rPr>
              <w:drawing>
                <wp:inline distT="0" distB="0" distL="0" distR="0" wp14:anchorId="5B7406AA" wp14:editId="0D308C2A">
                  <wp:extent cx="2273300" cy="1447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73300" cy="1447800"/>
                          </a:xfrm>
                          <a:prstGeom prst="rect">
                            <a:avLst/>
                          </a:prstGeom>
                          <a:noFill/>
                          <a:ln>
                            <a:noFill/>
                          </a:ln>
                        </pic:spPr>
                      </pic:pic>
                    </a:graphicData>
                  </a:graphic>
                </wp:inline>
              </w:drawing>
            </w:r>
          </w:p>
        </w:tc>
      </w:tr>
      <w:tr w:rsidR="00C02929" w14:paraId="169BDDD7"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729EDB5F"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顺德工厂冷柜总一总三线项目</w:t>
            </w:r>
          </w:p>
        </w:tc>
        <w:tc>
          <w:tcPr>
            <w:tcW w:w="2032" w:type="pct"/>
            <w:tcBorders>
              <w:top w:val="single" w:sz="4" w:space="0" w:color="auto"/>
              <w:left w:val="single" w:sz="4" w:space="0" w:color="auto"/>
              <w:bottom w:val="single" w:sz="4" w:space="0" w:color="auto"/>
              <w:right w:val="single" w:sz="4" w:space="0" w:color="auto"/>
            </w:tcBorders>
            <w:vAlign w:val="center"/>
          </w:tcPr>
          <w:p w14:paraId="5352BCF4"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冰箱、冷柜混合总装生产线，含寄存库、提升机、总装生产线以及机器人集成应用，</w:t>
            </w:r>
            <w:r>
              <w:rPr>
                <w:rFonts w:ascii="Times New Roman" w:hAnsi="Times New Roman" w:cs="Times New Roman" w:hint="eastAsia"/>
                <w:color w:val="000000"/>
                <w:sz w:val="21"/>
                <w:szCs w:val="21"/>
              </w:rPr>
              <w:t>可以实现冷柜和冰箱混合生产</w:t>
            </w:r>
          </w:p>
        </w:tc>
        <w:tc>
          <w:tcPr>
            <w:tcW w:w="2285" w:type="pct"/>
            <w:tcBorders>
              <w:top w:val="single" w:sz="4" w:space="0" w:color="auto"/>
              <w:left w:val="single" w:sz="4" w:space="0" w:color="auto"/>
              <w:bottom w:val="single" w:sz="4" w:space="0" w:color="auto"/>
              <w:right w:val="nil"/>
            </w:tcBorders>
            <w:vAlign w:val="center"/>
          </w:tcPr>
          <w:p w14:paraId="2827B6C8" w14:textId="77777777" w:rsidR="00C02929" w:rsidRDefault="006116D1">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1A7DEA06" wp14:editId="6B879595">
                  <wp:extent cx="2127250" cy="163830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27250" cy="1638300"/>
                          </a:xfrm>
                          <a:prstGeom prst="rect">
                            <a:avLst/>
                          </a:prstGeom>
                          <a:noFill/>
                          <a:ln>
                            <a:noFill/>
                          </a:ln>
                        </pic:spPr>
                      </pic:pic>
                    </a:graphicData>
                  </a:graphic>
                </wp:inline>
              </w:drawing>
            </w:r>
          </w:p>
        </w:tc>
      </w:tr>
      <w:tr w:rsidR="00C02929" w14:paraId="18554481"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749A4A02"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导光板自动上下料项目</w:t>
            </w:r>
          </w:p>
        </w:tc>
        <w:tc>
          <w:tcPr>
            <w:tcW w:w="2032" w:type="pct"/>
            <w:tcBorders>
              <w:top w:val="single" w:sz="4" w:space="0" w:color="auto"/>
              <w:left w:val="single" w:sz="4" w:space="0" w:color="auto"/>
              <w:bottom w:val="single" w:sz="4" w:space="0" w:color="auto"/>
              <w:right w:val="single" w:sz="4" w:space="0" w:color="auto"/>
            </w:tcBorders>
            <w:vAlign w:val="center"/>
          </w:tcPr>
          <w:p w14:paraId="5E1624D0"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可以实现电视机导光板物料的自动上下料、自动输送、搬运及扫码</w:t>
            </w:r>
          </w:p>
        </w:tc>
        <w:tc>
          <w:tcPr>
            <w:tcW w:w="2285" w:type="pct"/>
            <w:tcBorders>
              <w:top w:val="single" w:sz="4" w:space="0" w:color="auto"/>
              <w:left w:val="single" w:sz="4" w:space="0" w:color="auto"/>
              <w:bottom w:val="single" w:sz="4" w:space="0" w:color="auto"/>
              <w:right w:val="nil"/>
            </w:tcBorders>
            <w:vAlign w:val="center"/>
          </w:tcPr>
          <w:p w14:paraId="128F2398" w14:textId="77777777" w:rsidR="00C02929" w:rsidRDefault="006116D1">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color w:val="000000"/>
                <w:sz w:val="21"/>
                <w:szCs w:val="21"/>
              </w:rPr>
              <w:drawing>
                <wp:inline distT="0" distB="0" distL="0" distR="0" wp14:anchorId="4B82782E" wp14:editId="67494AB6">
                  <wp:extent cx="2114550" cy="15049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14550" cy="1504950"/>
                          </a:xfrm>
                          <a:prstGeom prst="rect">
                            <a:avLst/>
                          </a:prstGeom>
                          <a:noFill/>
                          <a:ln>
                            <a:noFill/>
                          </a:ln>
                        </pic:spPr>
                      </pic:pic>
                    </a:graphicData>
                  </a:graphic>
                </wp:inline>
              </w:drawing>
            </w:r>
          </w:p>
        </w:tc>
      </w:tr>
      <w:tr w:rsidR="00C02929" w14:paraId="03D3A8A4" w14:textId="77777777">
        <w:trPr>
          <w:trHeight w:val="397"/>
          <w:jc w:val="center"/>
        </w:trPr>
        <w:tc>
          <w:tcPr>
            <w:tcW w:w="683" w:type="pct"/>
            <w:tcBorders>
              <w:top w:val="single" w:sz="4" w:space="0" w:color="auto"/>
              <w:left w:val="nil"/>
              <w:bottom w:val="single" w:sz="4" w:space="0" w:color="auto"/>
              <w:right w:val="single" w:sz="4" w:space="0" w:color="auto"/>
            </w:tcBorders>
            <w:vAlign w:val="center"/>
          </w:tcPr>
          <w:p w14:paraId="1A31CAE1"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抽屉洗碗机总装生产线项目</w:t>
            </w:r>
          </w:p>
        </w:tc>
        <w:tc>
          <w:tcPr>
            <w:tcW w:w="2032" w:type="pct"/>
            <w:tcBorders>
              <w:top w:val="single" w:sz="4" w:space="0" w:color="auto"/>
              <w:left w:val="single" w:sz="4" w:space="0" w:color="auto"/>
              <w:bottom w:val="single" w:sz="4" w:space="0" w:color="auto"/>
              <w:right w:val="single" w:sz="4" w:space="0" w:color="auto"/>
            </w:tcBorders>
            <w:vAlign w:val="center"/>
          </w:tcPr>
          <w:p w14:paraId="0340CE31"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可以实现抽屉式洗碗机的混线生产，多工位性能自动检测，自动包换，自动封箱打包，码垛下线等</w:t>
            </w:r>
          </w:p>
        </w:tc>
        <w:tc>
          <w:tcPr>
            <w:tcW w:w="2285" w:type="pct"/>
            <w:tcBorders>
              <w:top w:val="single" w:sz="4" w:space="0" w:color="auto"/>
              <w:left w:val="single" w:sz="4" w:space="0" w:color="auto"/>
              <w:bottom w:val="single" w:sz="4" w:space="0" w:color="auto"/>
              <w:right w:val="nil"/>
            </w:tcBorders>
            <w:vAlign w:val="center"/>
          </w:tcPr>
          <w:p w14:paraId="6832E6F8" w14:textId="77777777" w:rsidR="00C02929" w:rsidRDefault="006116D1">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sz w:val="21"/>
                <w:szCs w:val="21"/>
              </w:rPr>
              <w:drawing>
                <wp:inline distT="0" distB="0" distL="0" distR="0" wp14:anchorId="01C40555" wp14:editId="580D3FDB">
                  <wp:extent cx="2190750" cy="1644650"/>
                  <wp:effectExtent l="0" t="0" r="0" b="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90750" cy="1644650"/>
                          </a:xfrm>
                          <a:prstGeom prst="rect">
                            <a:avLst/>
                          </a:prstGeom>
                          <a:noFill/>
                          <a:ln>
                            <a:noFill/>
                          </a:ln>
                        </pic:spPr>
                      </pic:pic>
                    </a:graphicData>
                  </a:graphic>
                </wp:inline>
              </w:drawing>
            </w:r>
          </w:p>
        </w:tc>
      </w:tr>
      <w:tr w:rsidR="00C02929" w14:paraId="4A08B2E0" w14:textId="77777777">
        <w:trPr>
          <w:trHeight w:val="397"/>
          <w:jc w:val="center"/>
        </w:trPr>
        <w:tc>
          <w:tcPr>
            <w:tcW w:w="683" w:type="pct"/>
            <w:tcBorders>
              <w:top w:val="single" w:sz="4" w:space="0" w:color="auto"/>
              <w:left w:val="nil"/>
              <w:bottom w:val="single" w:sz="12" w:space="0" w:color="auto"/>
              <w:right w:val="single" w:sz="4" w:space="0" w:color="auto"/>
            </w:tcBorders>
            <w:vAlign w:val="center"/>
          </w:tcPr>
          <w:p w14:paraId="69F95F50" w14:textId="77777777" w:rsidR="00C02929" w:rsidRDefault="006116D1">
            <w:pPr>
              <w:autoSpaceDE w:val="0"/>
              <w:autoSpaceDN w:val="0"/>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装箱码垛线项目</w:t>
            </w:r>
          </w:p>
        </w:tc>
        <w:tc>
          <w:tcPr>
            <w:tcW w:w="2032" w:type="pct"/>
            <w:tcBorders>
              <w:top w:val="single" w:sz="4" w:space="0" w:color="auto"/>
              <w:left w:val="single" w:sz="4" w:space="0" w:color="auto"/>
              <w:bottom w:val="single" w:sz="12" w:space="0" w:color="auto"/>
              <w:right w:val="single" w:sz="4" w:space="0" w:color="auto"/>
            </w:tcBorders>
            <w:vAlign w:val="center"/>
          </w:tcPr>
          <w:p w14:paraId="1ECA61B2" w14:textId="77777777" w:rsidR="00C02929" w:rsidRDefault="006116D1">
            <w:pPr>
              <w:autoSpaceDE w:val="0"/>
              <w:autoSpaceDN w:val="0"/>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包含机器人集成装箱，机器人码垛，封箱打包，信息化扫码识别防差错，以及物流输送等设备。实现产品生产后段包装全自动化信息化生产与管理</w:t>
            </w:r>
          </w:p>
        </w:tc>
        <w:tc>
          <w:tcPr>
            <w:tcW w:w="2285" w:type="pct"/>
            <w:tcBorders>
              <w:top w:val="single" w:sz="4" w:space="0" w:color="auto"/>
              <w:left w:val="single" w:sz="4" w:space="0" w:color="auto"/>
              <w:bottom w:val="single" w:sz="12" w:space="0" w:color="auto"/>
              <w:right w:val="nil"/>
            </w:tcBorders>
            <w:vAlign w:val="center"/>
          </w:tcPr>
          <w:p w14:paraId="5512B724" w14:textId="77777777" w:rsidR="00C02929" w:rsidRDefault="006116D1">
            <w:pPr>
              <w:adjustRightInd w:val="0"/>
              <w:snapToGrid w:val="0"/>
              <w:jc w:val="center"/>
              <w:rPr>
                <w:rFonts w:ascii="Times New Roman" w:hAnsi="Times New Roman" w:cs="Times New Roman"/>
                <w:color w:val="000000"/>
                <w:sz w:val="21"/>
                <w:szCs w:val="21"/>
                <w:lang w:val="en-GB"/>
              </w:rPr>
            </w:pPr>
            <w:r>
              <w:rPr>
                <w:rFonts w:ascii="Times New Roman" w:hAnsi="Times New Roman" w:cs="Times New Roman"/>
                <w:noProof/>
                <w:sz w:val="21"/>
                <w:szCs w:val="21"/>
              </w:rPr>
              <w:drawing>
                <wp:inline distT="0" distB="0" distL="0" distR="0" wp14:anchorId="0F579453" wp14:editId="2DE1DD84">
                  <wp:extent cx="2235200" cy="14287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35200" cy="1428750"/>
                          </a:xfrm>
                          <a:prstGeom prst="rect">
                            <a:avLst/>
                          </a:prstGeom>
                          <a:noFill/>
                          <a:ln>
                            <a:noFill/>
                          </a:ln>
                        </pic:spPr>
                      </pic:pic>
                    </a:graphicData>
                  </a:graphic>
                </wp:inline>
              </w:drawing>
            </w:r>
          </w:p>
        </w:tc>
      </w:tr>
    </w:tbl>
    <w:p w14:paraId="4AC30A33"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（三）测试系统集成</w:t>
      </w:r>
    </w:p>
    <w:p w14:paraId="376B23AA" w14:textId="77777777" w:rsidR="00C02929" w:rsidRDefault="006116D1">
      <w:pPr>
        <w:spacing w:beforeLines="50" w:before="156" w:line="360" w:lineRule="auto"/>
        <w:jc w:val="center"/>
        <w:rPr>
          <w:rFonts w:ascii="Times New Roman" w:hAnsi="Times New Roman" w:cs="Times New Roman"/>
        </w:rPr>
      </w:pPr>
      <w:r>
        <w:rPr>
          <w:rFonts w:ascii="Times New Roman" w:hAnsi="Times New Roman" w:cs="Times New Roman"/>
          <w:noProof/>
          <w:color w:val="000000"/>
        </w:rPr>
        <w:lastRenderedPageBreak/>
        <w:drawing>
          <wp:inline distT="0" distB="0" distL="0" distR="0" wp14:anchorId="4CFBCE9E" wp14:editId="7332700B">
            <wp:extent cx="2381250" cy="1790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381250" cy="1790700"/>
                    </a:xfrm>
                    <a:prstGeom prst="rect">
                      <a:avLst/>
                    </a:prstGeom>
                    <a:noFill/>
                    <a:ln>
                      <a:noFill/>
                    </a:ln>
                  </pic:spPr>
                </pic:pic>
              </a:graphicData>
            </a:graphic>
          </wp:inline>
        </w:drawing>
      </w:r>
      <w:r>
        <w:rPr>
          <w:rFonts w:ascii="Times New Roman" w:hAnsi="Times New Roman" w:cs="Times New Roman"/>
          <w:color w:val="000000"/>
          <w:lang w:val="en-GB"/>
        </w:rPr>
        <w:t xml:space="preserve"> </w:t>
      </w:r>
      <w:r>
        <w:rPr>
          <w:rFonts w:ascii="Times New Roman" w:hAnsi="Times New Roman" w:cs="Times New Roman"/>
          <w:noProof/>
        </w:rPr>
        <w:drawing>
          <wp:inline distT="0" distB="0" distL="0" distR="0" wp14:anchorId="71013E5E" wp14:editId="57C29D66">
            <wp:extent cx="2520950" cy="1790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20950" cy="1790700"/>
                    </a:xfrm>
                    <a:prstGeom prst="rect">
                      <a:avLst/>
                    </a:prstGeom>
                    <a:noFill/>
                    <a:ln>
                      <a:noFill/>
                    </a:ln>
                  </pic:spPr>
                </pic:pic>
              </a:graphicData>
            </a:graphic>
          </wp:inline>
        </w:drawing>
      </w:r>
    </w:p>
    <w:p w14:paraId="24440222"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在测试系统集成领域，</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致力于</w:t>
      </w:r>
      <w:r>
        <w:rPr>
          <w:rFonts w:ascii="Times New Roman" w:hAnsi="Times New Roman" w:cs="Times New Roman" w:hint="eastAsia"/>
          <w:bCs/>
          <w:color w:val="000000"/>
          <w:szCs w:val="21"/>
          <w:lang w:val="en-GB"/>
        </w:rPr>
        <w:t>PCBA</w:t>
      </w:r>
      <w:r>
        <w:rPr>
          <w:rFonts w:ascii="Times New Roman" w:hAnsi="Times New Roman" w:cs="Times New Roman" w:hint="eastAsia"/>
          <w:bCs/>
          <w:color w:val="000000"/>
          <w:szCs w:val="21"/>
          <w:lang w:val="en-GB"/>
        </w:rPr>
        <w:t>自动测试设备的研发，报告期内主要产品为电控板</w:t>
      </w:r>
      <w:r>
        <w:rPr>
          <w:rFonts w:ascii="Times New Roman" w:hAnsi="Times New Roman" w:cs="Times New Roman" w:hint="eastAsia"/>
          <w:bCs/>
          <w:color w:val="000000"/>
          <w:szCs w:val="21"/>
          <w:lang w:val="en-GB"/>
        </w:rPr>
        <w:t>ICT+FCT</w:t>
      </w:r>
      <w:r>
        <w:rPr>
          <w:rFonts w:ascii="Times New Roman" w:hAnsi="Times New Roman" w:cs="Times New Roman" w:hint="eastAsia"/>
          <w:bCs/>
          <w:color w:val="000000"/>
          <w:szCs w:val="21"/>
          <w:lang w:val="en-GB"/>
        </w:rPr>
        <w:t>自动测试线。该产品综合了机器人自动上下料技术、机器人视觉校正技术，高速数字信号采集、模拟信号采集、计算机图像分析技术和数据库技术等，可以替代传统的人眼检测，实现对电控板功能和性能的全自动测试，消除人为因素，保证产品质量的稳定性。</w:t>
      </w:r>
    </w:p>
    <w:p w14:paraId="60128FDE"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（四）机器视觉系统</w:t>
      </w:r>
    </w:p>
    <w:p w14:paraId="4326165C" w14:textId="77777777" w:rsidR="00C02929" w:rsidRDefault="006116D1">
      <w:pPr>
        <w:autoSpaceDE w:val="0"/>
        <w:autoSpaceDN w:val="0"/>
        <w:adjustRightInd w:val="0"/>
        <w:snapToGrid w:val="0"/>
        <w:spacing w:beforeLines="50" w:before="156" w:line="360" w:lineRule="auto"/>
        <w:jc w:val="center"/>
        <w:rPr>
          <w:rFonts w:ascii="Times New Roman" w:hAnsi="Times New Roman" w:cs="Times New Roman"/>
          <w:b/>
          <w:bCs/>
          <w:color w:val="000000"/>
        </w:rPr>
      </w:pPr>
      <w:r>
        <w:rPr>
          <w:rFonts w:ascii="Times New Roman" w:hAnsi="Times New Roman" w:cs="Times New Roman"/>
          <w:noProof/>
        </w:rPr>
        <w:drawing>
          <wp:inline distT="0" distB="0" distL="0" distR="0" wp14:anchorId="601D38A1" wp14:editId="5C126BE0">
            <wp:extent cx="4057650" cy="2419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057650" cy="2419350"/>
                    </a:xfrm>
                    <a:prstGeom prst="rect">
                      <a:avLst/>
                    </a:prstGeom>
                    <a:noFill/>
                    <a:ln>
                      <a:noFill/>
                    </a:ln>
                  </pic:spPr>
                </pic:pic>
              </a:graphicData>
            </a:graphic>
          </wp:inline>
        </w:drawing>
      </w:r>
    </w:p>
    <w:p w14:paraId="273491A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机器视觉即利用机器替代人眼进行测量和判断，机器视觉技术是一门涉及人工智能、计算机科学、图像处理、模式识别等诸多领域的交叉学科，主要用计算机软件来模拟人的视觉功能，从客观事物的图像中提取信息，进行梳理并最终用于实际检测、测量和控制。机器视觉系统主要由图像的获取、图像的处理和分析、输出或显示三部分组成。北洋天青的机器视觉系统目前主要与测试系统相结合，可以实现高精度的机器视觉定位、高速精准条码读取以及针对产品外观尺寸、产品质量等方面的智能化视觉检测，提高生产的柔性和自动化程度。</w:t>
      </w:r>
    </w:p>
    <w:p w14:paraId="26C573E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lastRenderedPageBreak/>
        <w:t>机器视觉自动化设备可以持续性地进行重复性工作，在一些不适合人工作业的危险工作环境或人工视觉难以满足要求的场合下，都可以用机器视觉替代人工视觉。</w:t>
      </w:r>
    </w:p>
    <w:p w14:paraId="7FFC9838"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（五）模具立体库自动换模系统</w:t>
      </w:r>
    </w:p>
    <w:p w14:paraId="18688FBC" w14:textId="77777777" w:rsidR="00C02929" w:rsidRDefault="006116D1">
      <w:pPr>
        <w:autoSpaceDE w:val="0"/>
        <w:autoSpaceDN w:val="0"/>
        <w:adjustRightInd w:val="0"/>
        <w:snapToGrid w:val="0"/>
        <w:spacing w:beforeLines="50" w:before="156" w:line="360" w:lineRule="auto"/>
        <w:jc w:val="center"/>
        <w:rPr>
          <w:rFonts w:ascii="Times New Roman" w:hAnsi="Times New Roman" w:cs="Times New Roman"/>
          <w:b/>
          <w:bCs/>
          <w:color w:val="000000"/>
        </w:rPr>
      </w:pPr>
      <w:r>
        <w:rPr>
          <w:rFonts w:ascii="Times New Roman" w:hAnsi="Times New Roman" w:cs="Times New Roman"/>
          <w:noProof/>
        </w:rPr>
        <w:drawing>
          <wp:inline distT="0" distB="0" distL="0" distR="0" wp14:anchorId="49C16616" wp14:editId="1B76418C">
            <wp:extent cx="4191000" cy="2190750"/>
            <wp:effectExtent l="0" t="0" r="0" b="0"/>
            <wp:docPr id="6" name="图片 6" descr="IMG_20180111_09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0111_0903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91000" cy="2190750"/>
                    </a:xfrm>
                    <a:prstGeom prst="rect">
                      <a:avLst/>
                    </a:prstGeom>
                    <a:noFill/>
                    <a:ln>
                      <a:noFill/>
                    </a:ln>
                  </pic:spPr>
                </pic:pic>
              </a:graphicData>
            </a:graphic>
          </wp:inline>
        </w:drawing>
      </w:r>
    </w:p>
    <w:p w14:paraId="7E5EEEA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模具立体库自动换模系统结合了自动换模技术、立体库技术和信息化技术，该系统主要集成设备有换模车、模具转运台车、旋转台车、推拉机构、过渡台、压机过渡架组件、锁夹模系统、模具立体库及重型堆垛机等。该系统可以完成行业注塑模及冲压模等模具的存放、调度和自动更换，可以根据产品定义相关模具更换配方从而实现一键快速换模功能，解决模具存放与更换难、耗时长、换模困难、效率低等问题，减轻工人劳动强度，提高生产效率。</w:t>
      </w:r>
    </w:p>
    <w:p w14:paraId="1AF6177F"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（六）物流悬挂输送系统</w:t>
      </w:r>
    </w:p>
    <w:p w14:paraId="6DF017CF" w14:textId="77777777" w:rsidR="00C02929" w:rsidRDefault="006116D1">
      <w:pPr>
        <w:autoSpaceDE w:val="0"/>
        <w:autoSpaceDN w:val="0"/>
        <w:adjustRightInd w:val="0"/>
        <w:snapToGrid w:val="0"/>
        <w:spacing w:beforeLines="50" w:before="156" w:line="360" w:lineRule="auto"/>
        <w:jc w:val="center"/>
        <w:rPr>
          <w:rFonts w:ascii="Times New Roman" w:hAnsi="Times New Roman" w:cs="Times New Roman"/>
          <w:b/>
          <w:bCs/>
          <w:color w:val="000000"/>
        </w:rPr>
      </w:pPr>
      <w:r>
        <w:rPr>
          <w:rFonts w:ascii="Times New Roman" w:hAnsi="Times New Roman" w:cs="Times New Roman"/>
          <w:noProof/>
        </w:rPr>
        <w:drawing>
          <wp:inline distT="0" distB="0" distL="0" distR="0" wp14:anchorId="22BD4C63" wp14:editId="5328321A">
            <wp:extent cx="2476500" cy="2063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76500" cy="2063750"/>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4816FBDE" wp14:editId="34C9471F">
            <wp:extent cx="2247900" cy="2063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47900" cy="2063750"/>
                    </a:xfrm>
                    <a:prstGeom prst="rect">
                      <a:avLst/>
                    </a:prstGeom>
                    <a:noFill/>
                    <a:ln>
                      <a:noFill/>
                    </a:ln>
                  </pic:spPr>
                </pic:pic>
              </a:graphicData>
            </a:graphic>
          </wp:inline>
        </w:drawing>
      </w:r>
    </w:p>
    <w:p w14:paraId="2ECE54A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物流悬挂输送系统是高速悬挂输送线与信息化结合的智能配送系统，目前北洋天青主要推动的是一种新型的摩擦杆驱动悬挂输送设备，适合家电业的高速悬</w:t>
      </w:r>
      <w:r>
        <w:rPr>
          <w:rFonts w:ascii="Times New Roman" w:hAnsi="Times New Roman" w:cs="Times New Roman" w:hint="eastAsia"/>
          <w:bCs/>
          <w:color w:val="000000"/>
          <w:szCs w:val="21"/>
          <w:lang w:val="en-GB"/>
        </w:rPr>
        <w:lastRenderedPageBreak/>
        <w:t>挂输送集成应用系统能够解决家电业组装零部件物流搬运困难问题。该系统结合信息化技术，做到物料的分类寄存；自动匹配主线产品调度对应物料，做到智能化调度匹配生产。该系统的应用能够实现智能化互联工厂并解决传统货架或工装车寄存物料导致寄存调度困难、搬运及线边存放混乱、组装寻找匹配困难等问题，从而提高现场生产效率、改善企业生产环境。</w:t>
      </w:r>
    </w:p>
    <w:p w14:paraId="3C91D58B"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北洋天青致力于物流悬挂输送系统中摩擦板自动配送设备的研发及推广应用。目前主要产品为摩擦杆悬挂链，该产品综合了</w:t>
      </w:r>
      <w:r>
        <w:rPr>
          <w:rFonts w:ascii="Times New Roman" w:hAnsi="Times New Roman" w:cs="Times New Roman" w:hint="eastAsia"/>
          <w:bCs/>
          <w:color w:val="000000"/>
          <w:szCs w:val="21"/>
          <w:lang w:val="en-GB"/>
        </w:rPr>
        <w:t>RFID</w:t>
      </w:r>
      <w:r>
        <w:rPr>
          <w:rFonts w:ascii="Times New Roman" w:hAnsi="Times New Roman" w:cs="Times New Roman" w:hint="eastAsia"/>
          <w:bCs/>
          <w:color w:val="000000"/>
          <w:szCs w:val="21"/>
          <w:lang w:val="en-GB"/>
        </w:rPr>
        <w:t>无线射频技术、高洁净度输送技术、高速数字信号采集、物流仓储、高速分拣、计算机</w:t>
      </w:r>
      <w:r>
        <w:rPr>
          <w:rFonts w:ascii="Times New Roman" w:hAnsi="Times New Roman" w:cs="Times New Roman" w:hint="eastAsia"/>
          <w:bCs/>
          <w:color w:val="000000"/>
          <w:szCs w:val="21"/>
          <w:lang w:val="en-GB"/>
        </w:rPr>
        <w:t>WMS</w:t>
      </w:r>
      <w:r>
        <w:rPr>
          <w:rFonts w:ascii="Times New Roman" w:hAnsi="Times New Roman" w:cs="Times New Roman" w:hint="eastAsia"/>
          <w:bCs/>
          <w:color w:val="000000"/>
          <w:szCs w:val="21"/>
          <w:lang w:val="en-GB"/>
        </w:rPr>
        <w:t>和</w:t>
      </w:r>
      <w:r>
        <w:rPr>
          <w:rFonts w:ascii="Times New Roman" w:hAnsi="Times New Roman" w:cs="Times New Roman" w:hint="eastAsia"/>
          <w:bCs/>
          <w:color w:val="000000"/>
          <w:szCs w:val="21"/>
          <w:lang w:val="en-GB"/>
        </w:rPr>
        <w:t>WCS</w:t>
      </w:r>
      <w:r>
        <w:rPr>
          <w:rFonts w:ascii="Times New Roman" w:hAnsi="Times New Roman" w:cs="Times New Roman" w:hint="eastAsia"/>
          <w:bCs/>
          <w:color w:val="000000"/>
          <w:szCs w:val="21"/>
          <w:lang w:val="en-GB"/>
        </w:rPr>
        <w:t>系统等信息化技术，可替代传统的人工搬运、工装车存储、手工分拣等功能，能实现对物料的智能化存储、分拣、输送，能匹配物料信息、实现智能化生产。该产品的应用可消除人为因素，保证产品质量的稳定性，大批量解放劳动力，释放出地面空间。</w:t>
      </w:r>
    </w:p>
    <w:p w14:paraId="41BA17A7"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（七）企业信息化系统</w:t>
      </w:r>
    </w:p>
    <w:p w14:paraId="1B2A399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报告期内，北洋天青自主研发、销售的企业信息化系统主要为</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系统，即制造执行系统。该系统是一套面向制造企业车间执行层的生产信息化管理系统，可以起到计划层和控制层的中间桥梁作用。</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系统以物联网、计划调度技术为核心，通过为客户提供计划排程管理、生产调度管理、生产过程控制、工具设备管理、质量管理、底层数据集成分析、上层数据集成分解等管理模块，实现生产车间制造的智能化和信息化管控，如：生产任务自动生成下达、设备监控、品质信息采集分析等。</w:t>
      </w:r>
    </w:p>
    <w:p w14:paraId="3DEEFF43"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北洋天青根据国际</w:t>
      </w:r>
      <w:r>
        <w:rPr>
          <w:rFonts w:ascii="Times New Roman" w:hAnsi="Times New Roman" w:cs="Times New Roman" w:hint="eastAsia"/>
          <w:bCs/>
          <w:color w:val="000000"/>
          <w:szCs w:val="21"/>
          <w:lang w:val="en-GB"/>
        </w:rPr>
        <w:t>MESA</w:t>
      </w:r>
      <w:r>
        <w:rPr>
          <w:rFonts w:ascii="Times New Roman" w:hAnsi="Times New Roman" w:cs="Times New Roman" w:hint="eastAsia"/>
          <w:bCs/>
          <w:color w:val="000000"/>
          <w:szCs w:val="21"/>
          <w:lang w:val="en-GB"/>
        </w:rPr>
        <w:t>标准组织化的对于</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的功能定义，参考</w:t>
      </w:r>
      <w:r>
        <w:rPr>
          <w:rFonts w:ascii="Times New Roman" w:hAnsi="Times New Roman" w:cs="Times New Roman" w:hint="eastAsia"/>
          <w:bCs/>
          <w:color w:val="000000"/>
          <w:szCs w:val="21"/>
          <w:lang w:val="en-GB"/>
        </w:rPr>
        <w:t>S95</w:t>
      </w:r>
      <w:r>
        <w:rPr>
          <w:rFonts w:ascii="Times New Roman" w:hAnsi="Times New Roman" w:cs="Times New Roman" w:hint="eastAsia"/>
          <w:bCs/>
          <w:color w:val="000000"/>
          <w:szCs w:val="21"/>
          <w:lang w:val="en-GB"/>
        </w:rPr>
        <w:t>和</w:t>
      </w:r>
      <w:r>
        <w:rPr>
          <w:rFonts w:ascii="Times New Roman" w:hAnsi="Times New Roman" w:cs="Times New Roman" w:hint="eastAsia"/>
          <w:bCs/>
          <w:color w:val="000000"/>
          <w:szCs w:val="21"/>
          <w:lang w:val="en-GB"/>
        </w:rPr>
        <w:t>S88</w:t>
      </w:r>
      <w:r>
        <w:rPr>
          <w:rFonts w:ascii="Times New Roman" w:hAnsi="Times New Roman" w:cs="Times New Roman" w:hint="eastAsia"/>
          <w:bCs/>
          <w:color w:val="000000"/>
          <w:szCs w:val="21"/>
          <w:lang w:val="en-GB"/>
        </w:rPr>
        <w:t>标准自主开发流程行业、离散行业的制造执行系统，积累了丰富的</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客制化经验和现场部署实施经验，目前该系统已成功应用在多个行业。</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在产品从工单到制成品的过程中，扮演一个促进生产活动最佳化的资讯传送者。当生产事件发生时，</w:t>
      </w:r>
      <w:r>
        <w:rPr>
          <w:rFonts w:ascii="Times New Roman" w:hAnsi="Times New Roman" w:cs="Times New Roman" w:hint="eastAsia"/>
          <w:bCs/>
          <w:color w:val="000000"/>
          <w:szCs w:val="21"/>
          <w:lang w:val="en-GB"/>
        </w:rPr>
        <w:t>MES</w:t>
      </w:r>
      <w:r>
        <w:rPr>
          <w:rFonts w:ascii="Times New Roman" w:hAnsi="Times New Roman" w:cs="Times New Roman" w:hint="eastAsia"/>
          <w:bCs/>
          <w:color w:val="000000"/>
          <w:szCs w:val="21"/>
          <w:lang w:val="en-GB"/>
        </w:rPr>
        <w:t>借着所收集的即时资讯，做出快速的反应，以减少无附加价值的生产活动，进而提升工厂的生产效率。</w:t>
      </w:r>
    </w:p>
    <w:p w14:paraId="14C37ECA" w14:textId="77777777" w:rsidR="00C02929" w:rsidRDefault="006116D1">
      <w:pPr>
        <w:autoSpaceDE w:val="0"/>
        <w:autoSpaceDN w:val="0"/>
        <w:adjustRightInd w:val="0"/>
        <w:snapToGrid w:val="0"/>
        <w:spacing w:beforeLines="50" w:before="156" w:line="360" w:lineRule="auto"/>
        <w:jc w:val="center"/>
        <w:rPr>
          <w:rFonts w:ascii="Times New Roman" w:hAnsi="Times New Roman" w:cs="Times New Roman"/>
          <w:color w:val="000000"/>
        </w:rPr>
      </w:pPr>
      <w:r>
        <w:rPr>
          <w:rFonts w:ascii="Times New Roman" w:hAnsi="Times New Roman" w:cs="Times New Roman"/>
          <w:noProof/>
        </w:rPr>
        <w:lastRenderedPageBreak/>
        <w:drawing>
          <wp:inline distT="0" distB="0" distL="0" distR="0" wp14:anchorId="28BA3114" wp14:editId="09F98451">
            <wp:extent cx="5105400" cy="1422400"/>
            <wp:effectExtent l="0" t="0" r="0" b="6350"/>
            <wp:docPr id="3" name="图片 3" descr="510519aff40044ff4e29955701ea7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10519aff40044ff4e29955701ea70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05400" cy="1422400"/>
                    </a:xfrm>
                    <a:prstGeom prst="rect">
                      <a:avLst/>
                    </a:prstGeom>
                    <a:noFill/>
                    <a:ln>
                      <a:noFill/>
                    </a:ln>
                  </pic:spPr>
                </pic:pic>
              </a:graphicData>
            </a:graphic>
          </wp:inline>
        </w:drawing>
      </w:r>
    </w:p>
    <w:p w14:paraId="2AE3CFDE"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（八）主营业务流程图</w:t>
      </w:r>
    </w:p>
    <w:p w14:paraId="00AA523E"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的主营产品属于非标自动化设备，定制化要求较高，需要按照客户不同的工艺要求及合同要求分别进行研发、设计、制造和系统集成，因此主要采用“以销定产”的订单生产模式，依据与客户签署合同的具体要求，制定计划并组织生产。</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的业务部门对项目进行筛选及投标，规划部门负责项目技术方案及成本核价，项目管理部负责接入的订单在各设计、采购、生产和安装以及售后等主要环节的管控。北洋天青主营业务流程图如下：</w:t>
      </w:r>
    </w:p>
    <w:p w14:paraId="2121B8CA" w14:textId="77777777" w:rsidR="00C02929" w:rsidRDefault="006116D1">
      <w:pPr>
        <w:spacing w:beforeLines="50" w:before="156"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4455C5CE" wp14:editId="29925A63">
            <wp:extent cx="3073400" cy="8813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073400" cy="8813800"/>
                    </a:xfrm>
                    <a:prstGeom prst="rect">
                      <a:avLst/>
                    </a:prstGeom>
                    <a:noFill/>
                    <a:ln>
                      <a:noFill/>
                    </a:ln>
                  </pic:spPr>
                </pic:pic>
              </a:graphicData>
            </a:graphic>
          </wp:inline>
        </w:drawing>
      </w:r>
    </w:p>
    <w:p w14:paraId="25BAF3EE"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lastRenderedPageBreak/>
        <w:t>三、业务模式</w:t>
      </w:r>
    </w:p>
    <w:p w14:paraId="102CA893"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bookmarkStart w:id="12" w:name="_Hlk49790671"/>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业务属于工业自动化行业，符合《中国制造</w:t>
      </w:r>
      <w:r>
        <w:rPr>
          <w:rFonts w:ascii="Times New Roman" w:hAnsi="Times New Roman" w:cs="Times New Roman" w:hint="eastAsia"/>
          <w:bCs/>
          <w:color w:val="000000"/>
          <w:szCs w:val="21"/>
          <w:lang w:val="en-GB"/>
        </w:rPr>
        <w:t>2025</w:t>
      </w:r>
      <w:r>
        <w:rPr>
          <w:rFonts w:ascii="Times New Roman" w:hAnsi="Times New Roman" w:cs="Times New Roman" w:hint="eastAsia"/>
          <w:bCs/>
          <w:color w:val="000000"/>
          <w:szCs w:val="21"/>
          <w:lang w:val="en-GB"/>
        </w:rPr>
        <w:t>》的政策导向，报告期内主要通过为客户提供工业智能化、信息化的产品及生产线智能化建设、升级和改造与数字化生产线的整体解决方案，并配套完善的售后服务和技术支持，来获取相应的收益和利润。</w:t>
      </w:r>
    </w:p>
    <w:p w14:paraId="1C4BC697"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一直以来</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都注重自身研发能力的提升，拥有独立的研发机构和专业的研发团队，已获得专利</w:t>
      </w:r>
      <w:r>
        <w:rPr>
          <w:rFonts w:ascii="Times New Roman" w:hAnsi="Times New Roman" w:cs="Times New Roman" w:hint="eastAsia"/>
          <w:bCs/>
          <w:color w:val="000000"/>
          <w:szCs w:val="21"/>
          <w:lang w:val="en-GB"/>
        </w:rPr>
        <w:t>3</w:t>
      </w:r>
      <w:r>
        <w:rPr>
          <w:rFonts w:ascii="Times New Roman" w:hAnsi="Times New Roman" w:cs="Times New Roman" w:hint="eastAsia"/>
          <w:bCs/>
          <w:color w:val="000000"/>
          <w:szCs w:val="21"/>
          <w:lang w:val="en-GB"/>
        </w:rPr>
        <w:t>项以及软件著作权</w:t>
      </w:r>
      <w:r>
        <w:rPr>
          <w:rFonts w:ascii="Times New Roman" w:hAnsi="Times New Roman" w:cs="Times New Roman" w:hint="eastAsia"/>
          <w:bCs/>
          <w:color w:val="000000"/>
          <w:szCs w:val="21"/>
          <w:lang w:val="en-GB"/>
        </w:rPr>
        <w:t>8</w:t>
      </w:r>
      <w:r>
        <w:rPr>
          <w:rFonts w:ascii="Times New Roman" w:hAnsi="Times New Roman" w:cs="Times New Roman" w:hint="eastAsia"/>
          <w:bCs/>
          <w:color w:val="000000"/>
          <w:szCs w:val="21"/>
          <w:lang w:val="en-GB"/>
        </w:rPr>
        <w:t>项。</w:t>
      </w:r>
      <w:r>
        <w:rPr>
          <w:rFonts w:ascii="Times New Roman" w:hAnsi="Times New Roman" w:cs="Times New Roman" w:hint="eastAsia"/>
          <w:color w:val="000000"/>
          <w:szCs w:val="21"/>
          <w:lang w:val="en-GB"/>
        </w:rPr>
        <w:t>北洋天青</w:t>
      </w:r>
      <w:r>
        <w:rPr>
          <w:rFonts w:ascii="Times New Roman" w:hAnsi="Times New Roman" w:cs="Times New Roman" w:hint="eastAsia"/>
          <w:bCs/>
          <w:color w:val="000000"/>
          <w:szCs w:val="21"/>
          <w:lang w:val="en-GB"/>
        </w:rPr>
        <w:t>主要面向澳柯玛、海信、海尔等集团公司，以及瑞智（青岛）精密机电有限公司等有自动化、智能化、信息化需求的生产制造型企业，采取直销的销售模式开拓市场，主要通过参与下游客户招标的方式获取业务订单。</w:t>
      </w:r>
    </w:p>
    <w:p w14:paraId="220E4D03"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（一）采购模式</w:t>
      </w:r>
    </w:p>
    <w:p w14:paraId="19AD2620"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采购部依据订单、生产计划以及仓库储存量确定采购进程，编制物料请购单，明确所需采购的物料名称、数量、材质、品牌、规格型号等方面的要求，报总经理审批通过后进行采购。北洋天青制定了合格供应商评审制度，依据采购物资类别及技术条件确定合格供应商。对于重大的采购物资，采购部会联合需求部门、技术部、质量部对供应商进行实地考察并筛选。北洋天青会与选定的合格供应商建立战略合作，同时始终保持拥有两家较为稳定的供应商，以确保货源和价格的稳定。</w:t>
      </w:r>
      <w:bookmarkEnd w:id="12"/>
    </w:p>
    <w:p w14:paraId="229C5409"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bookmarkStart w:id="13" w:name="_Hlk49790710"/>
      <w:r>
        <w:rPr>
          <w:rFonts w:ascii="Times New Roman" w:hAnsi="Times New Roman" w:cs="Times New Roman" w:hint="eastAsia"/>
          <w:b/>
          <w:color w:val="000000"/>
          <w:lang w:bidi="ar"/>
        </w:rPr>
        <w:t>（二）销售模式</w:t>
      </w:r>
    </w:p>
    <w:p w14:paraId="62509427"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采用直销的销售模式开拓市场，由北洋天青营销团队通过网站宣传、参加展会和论坛、自主开发等多种营销渠道寻找并发掘客户，收集客户产品需求信息。北洋天青的产品为按照客户需求进行量身定做的非标自动化设备，因此需要紧密联系下游客户的设备部门和技术改造部门，深度了解客户工艺流程和技术改造诉求后，为客户制定个性化的工业自动化解决方案。北洋天青主要通过参与下游客户的招投标获取订单。</w:t>
      </w:r>
      <w:bookmarkEnd w:id="13"/>
    </w:p>
    <w:p w14:paraId="48508B2D"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bookmarkStart w:id="14" w:name="_Hlk49790724"/>
      <w:r>
        <w:rPr>
          <w:rFonts w:ascii="Times New Roman" w:hAnsi="Times New Roman" w:cs="Times New Roman" w:hint="eastAsia"/>
          <w:b/>
          <w:color w:val="000000"/>
          <w:lang w:bidi="ar"/>
        </w:rPr>
        <w:t>（三）结算模式</w:t>
      </w:r>
    </w:p>
    <w:p w14:paraId="54F807D3" w14:textId="27E5F822"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lastRenderedPageBreak/>
        <w:t>北洋天青主要按电子银承，电汇等方式进行结算，按照合同约定的结算时间和比例进行结算，主要采用</w:t>
      </w:r>
      <w:r>
        <w:rPr>
          <w:rFonts w:ascii="Times New Roman" w:hAnsi="Times New Roman" w:cs="Times New Roman"/>
          <w:color w:val="000000"/>
          <w:szCs w:val="21"/>
          <w:lang w:val="en-GB"/>
        </w:rPr>
        <w:t>3-3-3-1</w:t>
      </w:r>
      <w:r>
        <w:rPr>
          <w:rFonts w:ascii="Times New Roman" w:hAnsi="Times New Roman" w:cs="Times New Roman" w:hint="eastAsia"/>
          <w:color w:val="000000"/>
          <w:szCs w:val="21"/>
          <w:lang w:val="en-GB"/>
        </w:rPr>
        <w:t>进行销售合同结算，即</w:t>
      </w:r>
      <w:r>
        <w:rPr>
          <w:rFonts w:ascii="Times New Roman" w:hAnsi="Times New Roman" w:cs="Times New Roman"/>
          <w:color w:val="000000"/>
          <w:szCs w:val="21"/>
          <w:lang w:val="en-GB"/>
        </w:rPr>
        <w:t>30%</w:t>
      </w:r>
      <w:r>
        <w:rPr>
          <w:rFonts w:ascii="Times New Roman" w:hAnsi="Times New Roman" w:cs="Times New Roman" w:hint="eastAsia"/>
          <w:color w:val="000000"/>
          <w:szCs w:val="21"/>
          <w:lang w:val="en-GB"/>
        </w:rPr>
        <w:t>预付款，</w:t>
      </w:r>
      <w:r>
        <w:rPr>
          <w:rFonts w:ascii="Times New Roman" w:hAnsi="Times New Roman" w:cs="Times New Roman"/>
          <w:color w:val="000000"/>
          <w:szCs w:val="21"/>
          <w:lang w:val="en-GB"/>
        </w:rPr>
        <w:t>30%</w:t>
      </w:r>
      <w:r>
        <w:rPr>
          <w:rFonts w:ascii="Times New Roman" w:hAnsi="Times New Roman" w:cs="Times New Roman" w:hint="eastAsia"/>
          <w:color w:val="000000"/>
          <w:szCs w:val="21"/>
          <w:lang w:val="en-GB"/>
        </w:rPr>
        <w:t>发货款，</w:t>
      </w:r>
      <w:r>
        <w:rPr>
          <w:rFonts w:ascii="Times New Roman" w:hAnsi="Times New Roman" w:cs="Times New Roman"/>
          <w:color w:val="000000"/>
          <w:szCs w:val="21"/>
          <w:lang w:val="en-GB"/>
        </w:rPr>
        <w:t>30%</w:t>
      </w:r>
      <w:r>
        <w:rPr>
          <w:rFonts w:ascii="Times New Roman" w:hAnsi="Times New Roman" w:cs="Times New Roman" w:hint="eastAsia"/>
          <w:color w:val="000000"/>
          <w:szCs w:val="21"/>
          <w:lang w:val="en-GB"/>
        </w:rPr>
        <w:t>验收款及</w:t>
      </w:r>
      <w:r>
        <w:rPr>
          <w:rFonts w:ascii="Times New Roman" w:hAnsi="Times New Roman" w:cs="Times New Roman"/>
          <w:color w:val="000000"/>
          <w:szCs w:val="21"/>
          <w:lang w:val="en-GB"/>
        </w:rPr>
        <w:t>10%</w:t>
      </w:r>
      <w:r>
        <w:rPr>
          <w:rFonts w:ascii="Times New Roman" w:hAnsi="Times New Roman" w:cs="Times New Roman" w:hint="eastAsia"/>
          <w:color w:val="000000"/>
          <w:szCs w:val="21"/>
          <w:lang w:val="en-GB"/>
        </w:rPr>
        <w:t>质保款，与供应商之间主要采用月结或者季度结算模式，一般签订背靠背的付款和质保合同。</w:t>
      </w:r>
      <w:bookmarkEnd w:id="14"/>
    </w:p>
    <w:p w14:paraId="4A51189F"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bookmarkStart w:id="15" w:name="_Hlk49790732"/>
      <w:r>
        <w:rPr>
          <w:rFonts w:ascii="Times New Roman" w:hAnsi="Times New Roman" w:cs="Times New Roman" w:hint="eastAsia"/>
          <w:b/>
          <w:color w:val="000000"/>
          <w:lang w:bidi="ar"/>
        </w:rPr>
        <w:t>（四）生产模式</w:t>
      </w:r>
    </w:p>
    <w:p w14:paraId="242A65FA"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北洋天青的生产部门根据接入的订单情况，及项目经理排定的一级项目计划中的生产相关节点，制定本部门的生产实施二级计划来进行项目的排产、组装和现场安装，质量部负责在各主要环节把控产品质量与检测</w:t>
      </w:r>
      <w:bookmarkEnd w:id="15"/>
      <w:r>
        <w:rPr>
          <w:rFonts w:ascii="Times New Roman" w:hAnsi="Times New Roman" w:cs="Times New Roman" w:hint="eastAsia"/>
          <w:color w:val="000000"/>
          <w:szCs w:val="21"/>
          <w:lang w:val="en-GB"/>
        </w:rPr>
        <w:t>。</w:t>
      </w:r>
    </w:p>
    <w:p w14:paraId="0996F5F9"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（五）研发模式</w:t>
      </w:r>
    </w:p>
    <w:p w14:paraId="7F67163D"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北洋天青拥有独立的研发机构和研发团队，采取自主研发的模式。北洋天青研发的项目主要基于业务规划部提供的市场调研信息和客户信息。北洋天青已获得专利</w:t>
      </w:r>
      <w:r>
        <w:rPr>
          <w:rFonts w:ascii="Times New Roman" w:hAnsi="Times New Roman" w:cs="Times New Roman"/>
          <w:color w:val="000000"/>
          <w:szCs w:val="21"/>
          <w:lang w:val="en-GB"/>
        </w:rPr>
        <w:t>3</w:t>
      </w:r>
      <w:r>
        <w:rPr>
          <w:rFonts w:ascii="Times New Roman" w:hAnsi="Times New Roman" w:cs="Times New Roman" w:hint="eastAsia"/>
          <w:color w:val="000000"/>
          <w:szCs w:val="21"/>
          <w:lang w:val="en-GB"/>
        </w:rPr>
        <w:t>项以及软件著作权</w:t>
      </w:r>
      <w:r>
        <w:rPr>
          <w:rFonts w:ascii="Times New Roman" w:hAnsi="Times New Roman" w:cs="Times New Roman"/>
          <w:color w:val="000000"/>
          <w:szCs w:val="21"/>
          <w:lang w:val="en-GB"/>
        </w:rPr>
        <w:t>8</w:t>
      </w:r>
      <w:r>
        <w:rPr>
          <w:rFonts w:ascii="Times New Roman" w:hAnsi="Times New Roman" w:cs="Times New Roman" w:hint="eastAsia"/>
          <w:color w:val="000000"/>
          <w:szCs w:val="21"/>
          <w:lang w:val="en-GB"/>
        </w:rPr>
        <w:t>项，同时正在申请的专利有</w:t>
      </w:r>
      <w:r>
        <w:rPr>
          <w:rFonts w:ascii="Times New Roman" w:hAnsi="Times New Roman" w:cs="Times New Roman"/>
          <w:color w:val="000000"/>
          <w:szCs w:val="21"/>
          <w:lang w:val="en-GB"/>
        </w:rPr>
        <w:t>20</w:t>
      </w:r>
      <w:r>
        <w:rPr>
          <w:rFonts w:ascii="Times New Roman" w:hAnsi="Times New Roman" w:cs="Times New Roman" w:hint="eastAsia"/>
          <w:color w:val="000000"/>
          <w:szCs w:val="21"/>
          <w:lang w:val="en-GB"/>
        </w:rPr>
        <w:t>项。</w:t>
      </w:r>
    </w:p>
    <w:p w14:paraId="30CD189F"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47366C58" w14:textId="77777777" w:rsidR="00C02929" w:rsidRDefault="006116D1">
      <w:pPr>
        <w:pStyle w:val="affffd"/>
        <w:spacing w:before="156"/>
        <w:ind w:firstLine="480"/>
        <w:rPr>
          <w:bCs/>
          <w:lang w:val="en-GB"/>
        </w:rPr>
      </w:pPr>
      <w:r>
        <w:rPr>
          <w:rFonts w:hint="eastAsia"/>
        </w:rPr>
        <w:t>上述内容已在“第四节</w:t>
      </w:r>
      <w:r>
        <w:t xml:space="preserve"> </w:t>
      </w:r>
      <w:r>
        <w:rPr>
          <w:rFonts w:hint="eastAsia"/>
        </w:rPr>
        <w:t>交易标的基本情况”之“五、主营业务发展情况”中补充披露。</w:t>
      </w:r>
    </w:p>
    <w:p w14:paraId="0DE74AFB" w14:textId="77777777" w:rsidR="00C02929" w:rsidRDefault="006116D1">
      <w:pPr>
        <w:spacing w:beforeLines="50" w:before="156" w:line="360" w:lineRule="auto"/>
        <w:ind w:firstLineChars="200" w:firstLine="482"/>
        <w:jc w:val="both"/>
        <w:outlineLvl w:val="1"/>
        <w:rPr>
          <w:rFonts w:ascii="Times New Roman" w:hAnsi="Times New Roman" w:cs="Times New Roman"/>
          <w:b/>
          <w:color w:val="000000"/>
          <w:szCs w:val="21"/>
        </w:rPr>
      </w:pPr>
      <w:r>
        <w:rPr>
          <w:rFonts w:ascii="Times New Roman" w:hAnsi="Times New Roman" w:cs="Times New Roman" w:hint="eastAsia"/>
          <w:b/>
          <w:color w:val="000000"/>
          <w:szCs w:val="21"/>
        </w:rPr>
        <w:t>2</w:t>
      </w:r>
      <w:r>
        <w:rPr>
          <w:rFonts w:ascii="Times New Roman" w:hAnsi="Times New Roman" w:cs="Times New Roman" w:hint="eastAsia"/>
          <w:b/>
          <w:color w:val="000000"/>
          <w:szCs w:val="21"/>
        </w:rPr>
        <w:t>）结合北洋天青与主要客户合作期限、合同主要内容、续期条件，新客户拓展情况及相关约定等，补充披露北洋天青与主要客户合作的稳定性及可持续性，是否存在流失现有客户或无法拓展新客户的风险，对其经营稳定性和持续盈利能力的影响及应对措施。</w:t>
      </w:r>
    </w:p>
    <w:p w14:paraId="7D343EF2"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一、北洋天青与主要客户的合作情况</w:t>
      </w:r>
    </w:p>
    <w:p w14:paraId="585FB9DB"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（一）报告期内标的公司前五大客户的销售收入情况及占当期营业收入比例如下：</w:t>
      </w:r>
    </w:p>
    <w:p w14:paraId="6B69EEC8"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4"/>
        <w:gridCol w:w="3545"/>
        <w:gridCol w:w="1844"/>
        <w:gridCol w:w="2459"/>
      </w:tblGrid>
      <w:tr w:rsidR="00C02929" w14:paraId="4DD0299E" w14:textId="77777777">
        <w:trPr>
          <w:trHeight w:val="397"/>
          <w:tblHeader/>
        </w:trPr>
        <w:tc>
          <w:tcPr>
            <w:tcW w:w="395" w:type="pct"/>
            <w:shd w:val="clear" w:color="auto" w:fill="auto"/>
            <w:vAlign w:val="center"/>
          </w:tcPr>
          <w:p w14:paraId="59FA61E5" w14:textId="77777777" w:rsidR="00C02929" w:rsidRDefault="006116D1">
            <w:pPr>
              <w:keepNext/>
              <w:adjustRightInd w:val="0"/>
              <w:snapToGrid w:val="0"/>
              <w:rPr>
                <w:rFonts w:ascii="Times New Roman" w:hAnsi="Times New Roman" w:cs="Times New Roman"/>
                <w:b/>
                <w:sz w:val="21"/>
                <w:szCs w:val="21"/>
              </w:rPr>
            </w:pPr>
            <w:r>
              <w:rPr>
                <w:rFonts w:ascii="Times New Roman" w:hAnsi="Times New Roman" w:cs="Times New Roman" w:hint="eastAsia"/>
                <w:b/>
                <w:sz w:val="21"/>
                <w:szCs w:val="21"/>
              </w:rPr>
              <w:t>序号</w:t>
            </w:r>
          </w:p>
        </w:tc>
        <w:tc>
          <w:tcPr>
            <w:tcW w:w="2080" w:type="pct"/>
            <w:shd w:val="clear" w:color="auto" w:fill="auto"/>
            <w:vAlign w:val="center"/>
          </w:tcPr>
          <w:p w14:paraId="758A761D" w14:textId="77777777" w:rsidR="00C02929" w:rsidRDefault="006116D1">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公司名称</w:t>
            </w:r>
          </w:p>
        </w:tc>
        <w:tc>
          <w:tcPr>
            <w:tcW w:w="1082" w:type="pct"/>
            <w:shd w:val="clear" w:color="auto" w:fill="auto"/>
            <w:vAlign w:val="center"/>
          </w:tcPr>
          <w:p w14:paraId="5BE23443" w14:textId="77777777" w:rsidR="00C02929" w:rsidRDefault="006116D1">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营业收入</w:t>
            </w:r>
          </w:p>
        </w:tc>
        <w:tc>
          <w:tcPr>
            <w:tcW w:w="1443" w:type="pct"/>
            <w:shd w:val="clear" w:color="auto" w:fill="auto"/>
            <w:vAlign w:val="center"/>
          </w:tcPr>
          <w:p w14:paraId="0FFBE6C1" w14:textId="77777777" w:rsidR="00C02929" w:rsidRDefault="006116D1">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占当期营业收入的比重</w:t>
            </w:r>
          </w:p>
        </w:tc>
      </w:tr>
      <w:tr w:rsidR="00C02929" w14:paraId="4205E73A" w14:textId="77777777">
        <w:trPr>
          <w:trHeight w:val="397"/>
        </w:trPr>
        <w:tc>
          <w:tcPr>
            <w:tcW w:w="5000" w:type="pct"/>
            <w:gridSpan w:val="4"/>
            <w:shd w:val="clear" w:color="auto" w:fill="auto"/>
            <w:vAlign w:val="center"/>
          </w:tcPr>
          <w:p w14:paraId="45D97262"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2020</w:t>
            </w:r>
            <w:r>
              <w:rPr>
                <w:rFonts w:ascii="Times New Roman" w:hAnsi="Times New Roman" w:cs="Times New Roman" w:hint="eastAsia"/>
                <w:b/>
                <w:sz w:val="21"/>
                <w:szCs w:val="21"/>
              </w:rPr>
              <w:t>年度</w:t>
            </w:r>
          </w:p>
        </w:tc>
      </w:tr>
      <w:tr w:rsidR="00C02929" w14:paraId="46E38AA6" w14:textId="77777777">
        <w:trPr>
          <w:trHeight w:val="397"/>
        </w:trPr>
        <w:tc>
          <w:tcPr>
            <w:tcW w:w="395" w:type="pct"/>
            <w:shd w:val="clear" w:color="auto" w:fill="auto"/>
            <w:vAlign w:val="center"/>
          </w:tcPr>
          <w:p w14:paraId="77847CC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t>1</w:t>
            </w:r>
          </w:p>
        </w:tc>
        <w:tc>
          <w:tcPr>
            <w:tcW w:w="2080" w:type="pct"/>
            <w:shd w:val="clear" w:color="auto" w:fill="auto"/>
            <w:vAlign w:val="center"/>
          </w:tcPr>
          <w:p w14:paraId="30B4B16B"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082" w:type="pct"/>
            <w:shd w:val="clear" w:color="auto" w:fill="auto"/>
            <w:vAlign w:val="center"/>
          </w:tcPr>
          <w:p w14:paraId="1F0733E9"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10,005.29</w:t>
            </w:r>
          </w:p>
        </w:tc>
        <w:tc>
          <w:tcPr>
            <w:tcW w:w="1443" w:type="pct"/>
            <w:shd w:val="clear" w:color="auto" w:fill="auto"/>
            <w:vAlign w:val="center"/>
          </w:tcPr>
          <w:p w14:paraId="725F238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66.45%</w:t>
            </w:r>
          </w:p>
        </w:tc>
      </w:tr>
      <w:tr w:rsidR="00C02929" w14:paraId="104EEC67" w14:textId="77777777">
        <w:trPr>
          <w:trHeight w:val="397"/>
        </w:trPr>
        <w:tc>
          <w:tcPr>
            <w:tcW w:w="395" w:type="pct"/>
            <w:shd w:val="clear" w:color="auto" w:fill="auto"/>
            <w:vAlign w:val="center"/>
          </w:tcPr>
          <w:p w14:paraId="224AE596"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t>2</w:t>
            </w:r>
          </w:p>
        </w:tc>
        <w:tc>
          <w:tcPr>
            <w:tcW w:w="2080" w:type="pct"/>
            <w:shd w:val="clear" w:color="auto" w:fill="auto"/>
            <w:vAlign w:val="center"/>
          </w:tcPr>
          <w:p w14:paraId="2E5678D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澳柯玛股份有限公司</w:t>
            </w:r>
          </w:p>
        </w:tc>
        <w:tc>
          <w:tcPr>
            <w:tcW w:w="1082" w:type="pct"/>
            <w:shd w:val="clear" w:color="auto" w:fill="auto"/>
            <w:vAlign w:val="center"/>
          </w:tcPr>
          <w:p w14:paraId="4665D526"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4,717.70</w:t>
            </w:r>
          </w:p>
        </w:tc>
        <w:tc>
          <w:tcPr>
            <w:tcW w:w="1443" w:type="pct"/>
            <w:shd w:val="clear" w:color="auto" w:fill="auto"/>
            <w:vAlign w:val="center"/>
          </w:tcPr>
          <w:p w14:paraId="4BAEE9D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31.33%</w:t>
            </w:r>
          </w:p>
        </w:tc>
      </w:tr>
      <w:tr w:rsidR="00C02929" w14:paraId="53E76EA5" w14:textId="77777777">
        <w:trPr>
          <w:trHeight w:val="397"/>
        </w:trPr>
        <w:tc>
          <w:tcPr>
            <w:tcW w:w="395" w:type="pct"/>
            <w:shd w:val="clear" w:color="auto" w:fill="auto"/>
            <w:vAlign w:val="center"/>
          </w:tcPr>
          <w:p w14:paraId="3ECFDD78"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lastRenderedPageBreak/>
              <w:t>3</w:t>
            </w:r>
          </w:p>
        </w:tc>
        <w:tc>
          <w:tcPr>
            <w:tcW w:w="2080" w:type="pct"/>
            <w:shd w:val="clear" w:color="auto" w:fill="auto"/>
            <w:vAlign w:val="center"/>
          </w:tcPr>
          <w:p w14:paraId="47702B5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海信集团有限公司</w:t>
            </w:r>
          </w:p>
        </w:tc>
        <w:tc>
          <w:tcPr>
            <w:tcW w:w="1082" w:type="pct"/>
            <w:shd w:val="clear" w:color="auto" w:fill="auto"/>
            <w:vAlign w:val="center"/>
          </w:tcPr>
          <w:p w14:paraId="353AC3C1"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312.39</w:t>
            </w:r>
          </w:p>
        </w:tc>
        <w:tc>
          <w:tcPr>
            <w:tcW w:w="1443" w:type="pct"/>
            <w:shd w:val="clear" w:color="auto" w:fill="auto"/>
            <w:vAlign w:val="center"/>
          </w:tcPr>
          <w:p w14:paraId="2A748A39"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2.07%</w:t>
            </w:r>
          </w:p>
        </w:tc>
      </w:tr>
      <w:tr w:rsidR="00C02929" w14:paraId="35C9C93E" w14:textId="77777777">
        <w:trPr>
          <w:trHeight w:val="397"/>
        </w:trPr>
        <w:tc>
          <w:tcPr>
            <w:tcW w:w="395" w:type="pct"/>
            <w:shd w:val="clear" w:color="auto" w:fill="auto"/>
            <w:vAlign w:val="center"/>
          </w:tcPr>
          <w:p w14:paraId="708C83C9"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color w:val="000000"/>
                <w:sz w:val="21"/>
                <w:szCs w:val="21"/>
              </w:rPr>
              <w:t>4</w:t>
            </w:r>
          </w:p>
        </w:tc>
        <w:tc>
          <w:tcPr>
            <w:tcW w:w="2080" w:type="pct"/>
            <w:shd w:val="clear" w:color="auto" w:fill="auto"/>
            <w:vAlign w:val="center"/>
          </w:tcPr>
          <w:p w14:paraId="59A899AC"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青岛饮料集团有限公司</w:t>
            </w:r>
          </w:p>
        </w:tc>
        <w:tc>
          <w:tcPr>
            <w:tcW w:w="1082" w:type="pct"/>
            <w:shd w:val="clear" w:color="auto" w:fill="auto"/>
            <w:vAlign w:val="center"/>
          </w:tcPr>
          <w:p w14:paraId="341C4BCE"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13.00</w:t>
            </w:r>
          </w:p>
        </w:tc>
        <w:tc>
          <w:tcPr>
            <w:tcW w:w="1443" w:type="pct"/>
            <w:shd w:val="clear" w:color="auto" w:fill="auto"/>
            <w:vAlign w:val="center"/>
          </w:tcPr>
          <w:p w14:paraId="3C94DC0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0.09%</w:t>
            </w:r>
          </w:p>
        </w:tc>
      </w:tr>
      <w:tr w:rsidR="00C02929" w14:paraId="3F93CF39" w14:textId="77777777">
        <w:trPr>
          <w:trHeight w:val="397"/>
        </w:trPr>
        <w:tc>
          <w:tcPr>
            <w:tcW w:w="395" w:type="pct"/>
            <w:shd w:val="clear" w:color="auto" w:fill="auto"/>
            <w:vAlign w:val="center"/>
          </w:tcPr>
          <w:p w14:paraId="193A1B0E"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2080" w:type="pct"/>
            <w:shd w:val="clear" w:color="auto" w:fill="auto"/>
            <w:vAlign w:val="center"/>
          </w:tcPr>
          <w:p w14:paraId="652C9F28"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上海安丽锘云计算技术有限公司</w:t>
            </w:r>
          </w:p>
        </w:tc>
        <w:tc>
          <w:tcPr>
            <w:tcW w:w="1082" w:type="pct"/>
            <w:shd w:val="clear" w:color="auto" w:fill="auto"/>
            <w:vAlign w:val="center"/>
          </w:tcPr>
          <w:p w14:paraId="7BE2AEC6"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7.78</w:t>
            </w:r>
          </w:p>
        </w:tc>
        <w:tc>
          <w:tcPr>
            <w:tcW w:w="1443" w:type="pct"/>
            <w:shd w:val="clear" w:color="auto" w:fill="auto"/>
            <w:vAlign w:val="center"/>
          </w:tcPr>
          <w:p w14:paraId="4257DBB0"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0.05%</w:t>
            </w:r>
          </w:p>
        </w:tc>
      </w:tr>
      <w:tr w:rsidR="00C02929" w14:paraId="5C2BA3E5" w14:textId="77777777">
        <w:trPr>
          <w:trHeight w:val="397"/>
        </w:trPr>
        <w:tc>
          <w:tcPr>
            <w:tcW w:w="2475" w:type="pct"/>
            <w:gridSpan w:val="2"/>
            <w:shd w:val="clear" w:color="auto" w:fill="auto"/>
            <w:vAlign w:val="center"/>
          </w:tcPr>
          <w:p w14:paraId="248180D8"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1082" w:type="pct"/>
            <w:shd w:val="clear" w:color="auto" w:fill="auto"/>
            <w:vAlign w:val="center"/>
          </w:tcPr>
          <w:p w14:paraId="1738AEB8"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15,056.17</w:t>
            </w:r>
          </w:p>
        </w:tc>
        <w:tc>
          <w:tcPr>
            <w:tcW w:w="1443" w:type="pct"/>
            <w:shd w:val="clear" w:color="auto" w:fill="auto"/>
            <w:vAlign w:val="center"/>
          </w:tcPr>
          <w:p w14:paraId="749390E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r w:rsidR="00C02929" w14:paraId="30C1C0D6" w14:textId="77777777">
        <w:trPr>
          <w:trHeight w:val="397"/>
        </w:trPr>
        <w:tc>
          <w:tcPr>
            <w:tcW w:w="5000" w:type="pct"/>
            <w:gridSpan w:val="4"/>
            <w:shd w:val="clear" w:color="auto" w:fill="auto"/>
            <w:vAlign w:val="center"/>
          </w:tcPr>
          <w:p w14:paraId="113B7344"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2019</w:t>
            </w:r>
            <w:r>
              <w:rPr>
                <w:rFonts w:ascii="Times New Roman" w:hAnsi="Times New Roman" w:cs="Times New Roman" w:hint="eastAsia"/>
                <w:b/>
                <w:sz w:val="21"/>
                <w:szCs w:val="21"/>
              </w:rPr>
              <w:t>年度</w:t>
            </w:r>
          </w:p>
        </w:tc>
      </w:tr>
      <w:tr w:rsidR="00C02929" w14:paraId="7D12BE8C" w14:textId="77777777">
        <w:trPr>
          <w:trHeight w:val="397"/>
        </w:trPr>
        <w:tc>
          <w:tcPr>
            <w:tcW w:w="395" w:type="pct"/>
            <w:shd w:val="clear" w:color="auto" w:fill="auto"/>
            <w:vAlign w:val="center"/>
          </w:tcPr>
          <w:p w14:paraId="140F900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080" w:type="pct"/>
            <w:shd w:val="clear" w:color="auto" w:fill="auto"/>
            <w:vAlign w:val="center"/>
          </w:tcPr>
          <w:p w14:paraId="3414746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082" w:type="pct"/>
            <w:shd w:val="clear" w:color="auto" w:fill="auto"/>
            <w:vAlign w:val="center"/>
          </w:tcPr>
          <w:p w14:paraId="0FC20E1A"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8,931.94</w:t>
            </w:r>
          </w:p>
        </w:tc>
        <w:tc>
          <w:tcPr>
            <w:tcW w:w="1443" w:type="pct"/>
            <w:shd w:val="clear" w:color="auto" w:fill="auto"/>
            <w:vAlign w:val="center"/>
          </w:tcPr>
          <w:p w14:paraId="22A3B2E5"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86.50%</w:t>
            </w:r>
          </w:p>
        </w:tc>
      </w:tr>
      <w:tr w:rsidR="00C02929" w14:paraId="7E6F45E1" w14:textId="77777777">
        <w:trPr>
          <w:trHeight w:val="397"/>
        </w:trPr>
        <w:tc>
          <w:tcPr>
            <w:tcW w:w="395" w:type="pct"/>
            <w:shd w:val="clear" w:color="auto" w:fill="auto"/>
            <w:vAlign w:val="center"/>
          </w:tcPr>
          <w:p w14:paraId="53250C6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080" w:type="pct"/>
            <w:shd w:val="clear" w:color="auto" w:fill="auto"/>
            <w:vAlign w:val="center"/>
          </w:tcPr>
          <w:p w14:paraId="4F58A11B"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澳柯玛股份有限公司</w:t>
            </w:r>
          </w:p>
        </w:tc>
        <w:tc>
          <w:tcPr>
            <w:tcW w:w="1082" w:type="pct"/>
            <w:shd w:val="clear" w:color="auto" w:fill="auto"/>
            <w:vAlign w:val="center"/>
          </w:tcPr>
          <w:p w14:paraId="162967AC"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1,260.91</w:t>
            </w:r>
          </w:p>
        </w:tc>
        <w:tc>
          <w:tcPr>
            <w:tcW w:w="1443" w:type="pct"/>
            <w:shd w:val="clear" w:color="auto" w:fill="auto"/>
            <w:vAlign w:val="center"/>
          </w:tcPr>
          <w:p w14:paraId="4D7AE350"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12.21%</w:t>
            </w:r>
          </w:p>
        </w:tc>
      </w:tr>
      <w:tr w:rsidR="00C02929" w14:paraId="022D1127" w14:textId="77777777">
        <w:trPr>
          <w:trHeight w:val="397"/>
        </w:trPr>
        <w:tc>
          <w:tcPr>
            <w:tcW w:w="395" w:type="pct"/>
            <w:shd w:val="clear" w:color="auto" w:fill="auto"/>
            <w:vAlign w:val="center"/>
          </w:tcPr>
          <w:p w14:paraId="0DD8D66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080" w:type="pct"/>
            <w:shd w:val="clear" w:color="auto" w:fill="auto"/>
            <w:vAlign w:val="center"/>
          </w:tcPr>
          <w:p w14:paraId="52A7000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海信集团有限公司</w:t>
            </w:r>
          </w:p>
        </w:tc>
        <w:tc>
          <w:tcPr>
            <w:tcW w:w="1082" w:type="pct"/>
            <w:shd w:val="clear" w:color="auto" w:fill="auto"/>
            <w:vAlign w:val="center"/>
          </w:tcPr>
          <w:p w14:paraId="6BB89349"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56.47</w:t>
            </w:r>
          </w:p>
        </w:tc>
        <w:tc>
          <w:tcPr>
            <w:tcW w:w="1443" w:type="pct"/>
            <w:shd w:val="clear" w:color="auto" w:fill="auto"/>
            <w:vAlign w:val="center"/>
          </w:tcPr>
          <w:p w14:paraId="22F73EB3"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0.55%</w:t>
            </w:r>
          </w:p>
        </w:tc>
      </w:tr>
      <w:tr w:rsidR="00C02929" w14:paraId="7E22750F" w14:textId="77777777">
        <w:trPr>
          <w:trHeight w:val="397"/>
        </w:trPr>
        <w:tc>
          <w:tcPr>
            <w:tcW w:w="395" w:type="pct"/>
            <w:shd w:val="clear" w:color="auto" w:fill="auto"/>
            <w:vAlign w:val="center"/>
          </w:tcPr>
          <w:p w14:paraId="15F7BA8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080" w:type="pct"/>
            <w:shd w:val="clear" w:color="auto" w:fill="auto"/>
            <w:vAlign w:val="center"/>
          </w:tcPr>
          <w:p w14:paraId="5BBB406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瑞智（青岛）精密机电有限公司</w:t>
            </w:r>
          </w:p>
        </w:tc>
        <w:tc>
          <w:tcPr>
            <w:tcW w:w="1082" w:type="pct"/>
            <w:shd w:val="clear" w:color="auto" w:fill="auto"/>
            <w:vAlign w:val="center"/>
          </w:tcPr>
          <w:p w14:paraId="39A1C5B2"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41.30</w:t>
            </w:r>
          </w:p>
        </w:tc>
        <w:tc>
          <w:tcPr>
            <w:tcW w:w="1443" w:type="pct"/>
            <w:shd w:val="clear" w:color="auto" w:fill="auto"/>
            <w:vAlign w:val="center"/>
          </w:tcPr>
          <w:p w14:paraId="0E2A0C31"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0.40%</w:t>
            </w:r>
          </w:p>
        </w:tc>
      </w:tr>
      <w:tr w:rsidR="00C02929" w14:paraId="306E2CBE" w14:textId="77777777">
        <w:trPr>
          <w:trHeight w:val="397"/>
        </w:trPr>
        <w:tc>
          <w:tcPr>
            <w:tcW w:w="395" w:type="pct"/>
            <w:shd w:val="clear" w:color="auto" w:fill="auto"/>
            <w:vAlign w:val="center"/>
          </w:tcPr>
          <w:p w14:paraId="0AF1C8AC"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080" w:type="pct"/>
            <w:shd w:val="clear" w:color="auto" w:fill="auto"/>
            <w:vAlign w:val="center"/>
          </w:tcPr>
          <w:p w14:paraId="78AC2AA6"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青岛饮料集团有限公司</w:t>
            </w:r>
          </w:p>
        </w:tc>
        <w:tc>
          <w:tcPr>
            <w:tcW w:w="1082" w:type="pct"/>
            <w:shd w:val="clear" w:color="auto" w:fill="auto"/>
            <w:vAlign w:val="center"/>
          </w:tcPr>
          <w:p w14:paraId="7FED1D09"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28.89</w:t>
            </w:r>
          </w:p>
        </w:tc>
        <w:tc>
          <w:tcPr>
            <w:tcW w:w="1443" w:type="pct"/>
            <w:shd w:val="clear" w:color="auto" w:fill="auto"/>
            <w:vAlign w:val="center"/>
          </w:tcPr>
          <w:p w14:paraId="467FD07D" w14:textId="77777777" w:rsidR="00C02929" w:rsidRDefault="006116D1">
            <w:pPr>
              <w:adjustRightInd w:val="0"/>
              <w:snapToGrid w:val="0"/>
              <w:jc w:val="right"/>
              <w:textAlignment w:val="bottom"/>
              <w:rPr>
                <w:rFonts w:ascii="Times New Roman" w:hAnsi="Times New Roman" w:cs="Times New Roman"/>
                <w:color w:val="000000"/>
                <w:sz w:val="21"/>
                <w:szCs w:val="21"/>
              </w:rPr>
            </w:pPr>
            <w:r>
              <w:rPr>
                <w:rFonts w:ascii="Times New Roman" w:hAnsi="Times New Roman" w:cs="Times New Roman"/>
                <w:color w:val="000000"/>
                <w:sz w:val="21"/>
                <w:szCs w:val="21"/>
              </w:rPr>
              <w:t>0.28%</w:t>
            </w:r>
          </w:p>
        </w:tc>
      </w:tr>
      <w:tr w:rsidR="00C02929" w14:paraId="5A1198D9" w14:textId="77777777">
        <w:trPr>
          <w:trHeight w:val="397"/>
        </w:trPr>
        <w:tc>
          <w:tcPr>
            <w:tcW w:w="2475" w:type="pct"/>
            <w:gridSpan w:val="2"/>
            <w:shd w:val="clear" w:color="auto" w:fill="auto"/>
            <w:vAlign w:val="center"/>
          </w:tcPr>
          <w:p w14:paraId="0DB74CFE"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1082" w:type="pct"/>
            <w:shd w:val="clear" w:color="auto" w:fill="auto"/>
            <w:vAlign w:val="center"/>
          </w:tcPr>
          <w:p w14:paraId="4C116931" w14:textId="77777777" w:rsidR="00C02929" w:rsidRDefault="006116D1">
            <w:pPr>
              <w:adjustRightInd w:val="0"/>
              <w:snapToGrid w:val="0"/>
              <w:jc w:val="right"/>
              <w:textAlignment w:val="bottom"/>
              <w:rPr>
                <w:rFonts w:ascii="Times New Roman" w:hAnsi="Times New Roman" w:cs="Times New Roman"/>
                <w:b/>
                <w:bCs/>
                <w:color w:val="000000"/>
                <w:sz w:val="21"/>
                <w:szCs w:val="21"/>
              </w:rPr>
            </w:pPr>
            <w:r>
              <w:rPr>
                <w:rFonts w:ascii="Times New Roman" w:hAnsi="Times New Roman" w:cs="Times New Roman"/>
                <w:b/>
                <w:bCs/>
                <w:color w:val="000000"/>
                <w:sz w:val="21"/>
                <w:szCs w:val="21"/>
              </w:rPr>
              <w:t>10,319.51</w:t>
            </w:r>
          </w:p>
        </w:tc>
        <w:tc>
          <w:tcPr>
            <w:tcW w:w="1443" w:type="pct"/>
            <w:shd w:val="clear" w:color="auto" w:fill="auto"/>
            <w:vAlign w:val="center"/>
          </w:tcPr>
          <w:p w14:paraId="52FD4A20" w14:textId="77777777" w:rsidR="00C02929" w:rsidRDefault="006116D1">
            <w:pPr>
              <w:adjustRightInd w:val="0"/>
              <w:snapToGrid w:val="0"/>
              <w:jc w:val="right"/>
              <w:textAlignment w:val="bottom"/>
              <w:rPr>
                <w:rFonts w:ascii="Times New Roman" w:hAnsi="Times New Roman" w:cs="Times New Roman"/>
                <w:b/>
                <w:bCs/>
                <w:color w:val="000000"/>
                <w:sz w:val="21"/>
                <w:szCs w:val="21"/>
              </w:rPr>
            </w:pPr>
            <w:r>
              <w:rPr>
                <w:rFonts w:ascii="Times New Roman" w:hAnsi="Times New Roman" w:cs="Times New Roman"/>
                <w:b/>
                <w:bCs/>
                <w:color w:val="000000"/>
                <w:sz w:val="21"/>
                <w:szCs w:val="21"/>
              </w:rPr>
              <w:t>99.94%</w:t>
            </w:r>
          </w:p>
        </w:tc>
      </w:tr>
      <w:tr w:rsidR="00C02929" w14:paraId="5333BAF1" w14:textId="77777777">
        <w:trPr>
          <w:trHeight w:val="397"/>
        </w:trPr>
        <w:tc>
          <w:tcPr>
            <w:tcW w:w="5000" w:type="pct"/>
            <w:gridSpan w:val="4"/>
            <w:shd w:val="clear" w:color="auto" w:fill="auto"/>
            <w:vAlign w:val="center"/>
          </w:tcPr>
          <w:p w14:paraId="702193E5"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2018</w:t>
            </w:r>
            <w:r>
              <w:rPr>
                <w:rFonts w:ascii="Times New Roman" w:hAnsi="Times New Roman" w:cs="Times New Roman" w:hint="eastAsia"/>
                <w:b/>
                <w:sz w:val="21"/>
                <w:szCs w:val="21"/>
              </w:rPr>
              <w:t>年度</w:t>
            </w:r>
          </w:p>
        </w:tc>
      </w:tr>
      <w:tr w:rsidR="00C02929" w14:paraId="00F5AD10" w14:textId="77777777">
        <w:trPr>
          <w:trHeight w:val="397"/>
        </w:trPr>
        <w:tc>
          <w:tcPr>
            <w:tcW w:w="395" w:type="pct"/>
            <w:shd w:val="clear" w:color="auto" w:fill="auto"/>
            <w:vAlign w:val="center"/>
          </w:tcPr>
          <w:p w14:paraId="0297880C"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080" w:type="pct"/>
            <w:shd w:val="clear" w:color="auto" w:fill="auto"/>
            <w:vAlign w:val="center"/>
          </w:tcPr>
          <w:p w14:paraId="0A4AD55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082" w:type="pct"/>
            <w:shd w:val="clear" w:color="auto" w:fill="auto"/>
            <w:vAlign w:val="center"/>
          </w:tcPr>
          <w:p w14:paraId="73E6CE5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4,092.54</w:t>
            </w:r>
          </w:p>
        </w:tc>
        <w:tc>
          <w:tcPr>
            <w:tcW w:w="1443" w:type="pct"/>
            <w:shd w:val="clear" w:color="auto" w:fill="auto"/>
            <w:vAlign w:val="center"/>
          </w:tcPr>
          <w:p w14:paraId="78877DE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67.02%</w:t>
            </w:r>
          </w:p>
        </w:tc>
      </w:tr>
      <w:tr w:rsidR="00C02929" w14:paraId="1143B5B2" w14:textId="77777777">
        <w:trPr>
          <w:trHeight w:val="397"/>
        </w:trPr>
        <w:tc>
          <w:tcPr>
            <w:tcW w:w="395" w:type="pct"/>
            <w:shd w:val="clear" w:color="auto" w:fill="auto"/>
            <w:vAlign w:val="center"/>
          </w:tcPr>
          <w:p w14:paraId="6BFCDD7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080" w:type="pct"/>
            <w:shd w:val="clear" w:color="auto" w:fill="auto"/>
            <w:vAlign w:val="center"/>
          </w:tcPr>
          <w:p w14:paraId="5EC8B68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澳柯玛股份有限公司</w:t>
            </w:r>
          </w:p>
        </w:tc>
        <w:tc>
          <w:tcPr>
            <w:tcW w:w="1082" w:type="pct"/>
            <w:shd w:val="clear" w:color="auto" w:fill="auto"/>
            <w:vAlign w:val="center"/>
          </w:tcPr>
          <w:p w14:paraId="550E78E9"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1,395.72</w:t>
            </w:r>
          </w:p>
        </w:tc>
        <w:tc>
          <w:tcPr>
            <w:tcW w:w="1443" w:type="pct"/>
            <w:shd w:val="clear" w:color="auto" w:fill="auto"/>
            <w:vAlign w:val="center"/>
          </w:tcPr>
          <w:p w14:paraId="27415AC3"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22.86%</w:t>
            </w:r>
          </w:p>
        </w:tc>
      </w:tr>
      <w:tr w:rsidR="00C02929" w14:paraId="582EF6B1" w14:textId="77777777">
        <w:trPr>
          <w:trHeight w:val="397"/>
        </w:trPr>
        <w:tc>
          <w:tcPr>
            <w:tcW w:w="395" w:type="pct"/>
            <w:shd w:val="clear" w:color="auto" w:fill="auto"/>
            <w:vAlign w:val="center"/>
          </w:tcPr>
          <w:p w14:paraId="6D9E32B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080" w:type="pct"/>
            <w:shd w:val="clear" w:color="auto" w:fill="auto"/>
            <w:vAlign w:val="center"/>
          </w:tcPr>
          <w:p w14:paraId="690DB55B"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海信集团有限公司</w:t>
            </w:r>
          </w:p>
        </w:tc>
        <w:tc>
          <w:tcPr>
            <w:tcW w:w="1082" w:type="pct"/>
            <w:shd w:val="clear" w:color="auto" w:fill="auto"/>
            <w:vAlign w:val="center"/>
          </w:tcPr>
          <w:p w14:paraId="4DF35A8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424.48</w:t>
            </w:r>
          </w:p>
        </w:tc>
        <w:tc>
          <w:tcPr>
            <w:tcW w:w="1443" w:type="pct"/>
            <w:shd w:val="clear" w:color="auto" w:fill="auto"/>
            <w:vAlign w:val="center"/>
          </w:tcPr>
          <w:p w14:paraId="0BE480D4"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6.95%</w:t>
            </w:r>
          </w:p>
        </w:tc>
      </w:tr>
      <w:tr w:rsidR="00C02929" w14:paraId="196243E7" w14:textId="77777777">
        <w:trPr>
          <w:trHeight w:val="397"/>
        </w:trPr>
        <w:tc>
          <w:tcPr>
            <w:tcW w:w="395" w:type="pct"/>
            <w:shd w:val="clear" w:color="auto" w:fill="auto"/>
            <w:vAlign w:val="center"/>
          </w:tcPr>
          <w:p w14:paraId="1CBACE8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080" w:type="pct"/>
            <w:shd w:val="clear" w:color="auto" w:fill="auto"/>
            <w:vAlign w:val="center"/>
          </w:tcPr>
          <w:p w14:paraId="4592C06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青岛饮料集团有限公司</w:t>
            </w:r>
          </w:p>
        </w:tc>
        <w:tc>
          <w:tcPr>
            <w:tcW w:w="1082" w:type="pct"/>
            <w:shd w:val="clear" w:color="auto" w:fill="auto"/>
            <w:vAlign w:val="center"/>
          </w:tcPr>
          <w:p w14:paraId="29ED0132"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153.22</w:t>
            </w:r>
          </w:p>
        </w:tc>
        <w:tc>
          <w:tcPr>
            <w:tcW w:w="1443" w:type="pct"/>
            <w:shd w:val="clear" w:color="auto" w:fill="auto"/>
            <w:vAlign w:val="center"/>
          </w:tcPr>
          <w:p w14:paraId="0453AEB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2.51%</w:t>
            </w:r>
          </w:p>
        </w:tc>
      </w:tr>
      <w:tr w:rsidR="00C02929" w14:paraId="0DC9583E" w14:textId="77777777">
        <w:trPr>
          <w:trHeight w:val="397"/>
        </w:trPr>
        <w:tc>
          <w:tcPr>
            <w:tcW w:w="395" w:type="pct"/>
            <w:shd w:val="clear" w:color="auto" w:fill="auto"/>
            <w:vAlign w:val="center"/>
          </w:tcPr>
          <w:p w14:paraId="69D3A8D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080" w:type="pct"/>
            <w:shd w:val="clear" w:color="auto" w:fill="auto"/>
            <w:vAlign w:val="center"/>
          </w:tcPr>
          <w:p w14:paraId="78013B96"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软控股份有限公司</w:t>
            </w:r>
          </w:p>
        </w:tc>
        <w:tc>
          <w:tcPr>
            <w:tcW w:w="1082" w:type="pct"/>
            <w:shd w:val="clear" w:color="auto" w:fill="auto"/>
            <w:vAlign w:val="center"/>
          </w:tcPr>
          <w:p w14:paraId="6257D08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18.87</w:t>
            </w:r>
          </w:p>
        </w:tc>
        <w:tc>
          <w:tcPr>
            <w:tcW w:w="1443" w:type="pct"/>
            <w:shd w:val="clear" w:color="auto" w:fill="auto"/>
            <w:vAlign w:val="center"/>
          </w:tcPr>
          <w:p w14:paraId="5DE74ED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0.31%</w:t>
            </w:r>
          </w:p>
        </w:tc>
      </w:tr>
      <w:tr w:rsidR="00C02929" w14:paraId="32ED9806" w14:textId="77777777">
        <w:trPr>
          <w:trHeight w:val="397"/>
        </w:trPr>
        <w:tc>
          <w:tcPr>
            <w:tcW w:w="2475" w:type="pct"/>
            <w:gridSpan w:val="2"/>
            <w:shd w:val="clear" w:color="auto" w:fill="auto"/>
            <w:vAlign w:val="center"/>
          </w:tcPr>
          <w:p w14:paraId="004B01D8"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1082" w:type="pct"/>
            <w:shd w:val="clear" w:color="auto" w:fill="auto"/>
            <w:vAlign w:val="center"/>
          </w:tcPr>
          <w:p w14:paraId="58925B3D" w14:textId="77777777" w:rsidR="00C02929" w:rsidRDefault="006116D1">
            <w:pPr>
              <w:adjustRightInd w:val="0"/>
              <w:snapToGrid w:val="0"/>
              <w:jc w:val="right"/>
              <w:textAlignment w:val="bottom"/>
              <w:rPr>
                <w:rFonts w:ascii="Times New Roman" w:hAnsi="Times New Roman" w:cs="Times New Roman"/>
                <w:b/>
                <w:bCs/>
                <w:color w:val="000000"/>
                <w:sz w:val="21"/>
                <w:szCs w:val="21"/>
              </w:rPr>
            </w:pPr>
            <w:r>
              <w:rPr>
                <w:rFonts w:ascii="Times New Roman" w:hAnsi="Times New Roman" w:cs="Times New Roman"/>
                <w:b/>
                <w:bCs/>
                <w:color w:val="000000"/>
                <w:sz w:val="21"/>
                <w:szCs w:val="21"/>
              </w:rPr>
              <w:t>6,084.83</w:t>
            </w:r>
          </w:p>
        </w:tc>
        <w:tc>
          <w:tcPr>
            <w:tcW w:w="1443" w:type="pct"/>
            <w:shd w:val="clear" w:color="auto" w:fill="auto"/>
            <w:vAlign w:val="center"/>
          </w:tcPr>
          <w:p w14:paraId="01C30D9B"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sz w:val="21"/>
                <w:szCs w:val="21"/>
              </w:rPr>
              <w:t>99.65%</w:t>
            </w:r>
          </w:p>
        </w:tc>
      </w:tr>
    </w:tbl>
    <w:p w14:paraId="5FEDF82B" w14:textId="77777777" w:rsidR="00C02929" w:rsidRDefault="006116D1">
      <w:pPr>
        <w:pStyle w:val="affffd"/>
        <w:adjustRightInd w:val="0"/>
        <w:snapToGrid w:val="0"/>
        <w:spacing w:beforeLines="0" w:line="240" w:lineRule="auto"/>
        <w:ind w:firstLineChars="0" w:firstLine="0"/>
        <w:rPr>
          <w:sz w:val="21"/>
          <w:szCs w:val="18"/>
        </w:rPr>
      </w:pPr>
      <w:r>
        <w:rPr>
          <w:rFonts w:hint="eastAsia"/>
          <w:sz w:val="21"/>
          <w:szCs w:val="18"/>
        </w:rPr>
        <w:t>注：上表中对于受同一实际控制人控制的销售客户，合并计算销售额。</w:t>
      </w:r>
    </w:p>
    <w:p w14:paraId="4756803C"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报告期内，北洋天青前五大客户主要集中于家电行业，其中包括洗衣机、冰箱、冷柜、洗碗机，机器人等，客户群体与北洋天青的主营业务相符。</w:t>
      </w:r>
      <w:r>
        <w:rPr>
          <w:rFonts w:ascii="Times New Roman" w:hAnsi="Times New Roman" w:cs="Times New Roman" w:hint="eastAsia"/>
        </w:rPr>
        <w:t>2018</w:t>
      </w:r>
      <w:r>
        <w:rPr>
          <w:rFonts w:ascii="Times New Roman" w:hAnsi="Times New Roman" w:cs="Times New Roman" w:hint="eastAsia"/>
        </w:rPr>
        <w:t>年、</w:t>
      </w:r>
      <w:r>
        <w:rPr>
          <w:rFonts w:ascii="Times New Roman" w:hAnsi="Times New Roman" w:cs="Times New Roman" w:hint="eastAsia"/>
        </w:rPr>
        <w:t>2019</w:t>
      </w:r>
      <w:r>
        <w:rPr>
          <w:rFonts w:ascii="Times New Roman" w:hAnsi="Times New Roman" w:cs="Times New Roman" w:hint="eastAsia"/>
        </w:rPr>
        <w:t>年和</w:t>
      </w:r>
      <w:r>
        <w:rPr>
          <w:rFonts w:ascii="Times New Roman" w:hAnsi="Times New Roman" w:cs="Times New Roman" w:hint="eastAsia"/>
        </w:rPr>
        <w:t>2020</w:t>
      </w:r>
      <w:r>
        <w:rPr>
          <w:rFonts w:ascii="Times New Roman" w:hAnsi="Times New Roman" w:cs="Times New Roman" w:hint="eastAsia"/>
        </w:rPr>
        <w:t>年，北洋天青前五大客户的营业收入占当期营业收入的比重分别为</w:t>
      </w:r>
      <w:r>
        <w:rPr>
          <w:rFonts w:ascii="Times New Roman" w:hAnsi="Times New Roman" w:cs="Times New Roman" w:hint="eastAsia"/>
        </w:rPr>
        <w:t>99.65%</w:t>
      </w:r>
      <w:r>
        <w:rPr>
          <w:rFonts w:ascii="Times New Roman" w:hAnsi="Times New Roman" w:cs="Times New Roman" w:hint="eastAsia"/>
        </w:rPr>
        <w:t>、</w:t>
      </w:r>
      <w:r>
        <w:rPr>
          <w:rFonts w:ascii="Times New Roman" w:hAnsi="Times New Roman" w:cs="Times New Roman" w:hint="eastAsia"/>
        </w:rPr>
        <w:t>99.94%</w:t>
      </w:r>
      <w:r>
        <w:rPr>
          <w:rFonts w:ascii="Times New Roman" w:hAnsi="Times New Roman" w:cs="Times New Roman" w:hint="eastAsia"/>
        </w:rPr>
        <w:t>、</w:t>
      </w:r>
      <w:r>
        <w:rPr>
          <w:rFonts w:ascii="Times New Roman" w:hAnsi="Times New Roman" w:cs="Times New Roman" w:hint="eastAsia"/>
        </w:rPr>
        <w:t>100%</w:t>
      </w:r>
      <w:r>
        <w:rPr>
          <w:rFonts w:ascii="Times New Roman" w:hAnsi="Times New Roman" w:cs="Times New Roman" w:hint="eastAsia"/>
        </w:rPr>
        <w:t>，客户相对集中，主要是受我国家电行业品牌集中度高、家电生产厂商所在区域比较集中等因素影响。</w:t>
      </w:r>
    </w:p>
    <w:p w14:paraId="5C8245E0"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（二）主要合同内容</w:t>
      </w:r>
    </w:p>
    <w:p w14:paraId="0CBF988A"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2020</w:t>
      </w:r>
      <w:r>
        <w:rPr>
          <w:rFonts w:ascii="Times New Roman" w:hAnsi="Times New Roman" w:cs="Times New Roman" w:hint="eastAsia"/>
          <w:bCs/>
        </w:rPr>
        <w:t>年</w:t>
      </w:r>
      <w:r>
        <w:rPr>
          <w:rFonts w:ascii="Times New Roman" w:hAnsi="Times New Roman" w:cs="Times New Roman" w:hint="eastAsia"/>
          <w:bCs/>
        </w:rPr>
        <w:t>8</w:t>
      </w:r>
      <w:r>
        <w:rPr>
          <w:rFonts w:ascii="Times New Roman" w:hAnsi="Times New Roman" w:cs="Times New Roman" w:hint="eastAsia"/>
          <w:bCs/>
        </w:rPr>
        <w:t>月，北洋天青与澳柯玛股份有限公司制造分公司签署了《澳柯玛智慧冷链制造项目合作协议》，负责澳柯玛“智慧冷链智能制造项目”，满足《</w:t>
      </w:r>
      <w:r>
        <w:rPr>
          <w:rFonts w:ascii="Times New Roman" w:hAnsi="Times New Roman" w:cs="Times New Roman" w:hint="eastAsia"/>
          <w:bCs/>
        </w:rPr>
        <w:t>2019</w:t>
      </w:r>
      <w:r>
        <w:rPr>
          <w:rFonts w:ascii="Times New Roman" w:hAnsi="Times New Roman" w:cs="Times New Roman" w:hint="eastAsia"/>
          <w:bCs/>
        </w:rPr>
        <w:t>年技术改造专项中央预算内投资项目》中“智能化改造及质量提升工程—智能化工厂”的要求，保证澳柯玛申报的上述项目顺利验收。</w:t>
      </w:r>
    </w:p>
    <w:p w14:paraId="2D4BAAC5"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lastRenderedPageBreak/>
        <w:t>截至本核查意见出具日，标的公司已与澳柯玛股份有限公司制造分公司签订“智慧冷链智能制造项目”总装一期《工业互联网平台、信息化系统及自动化物流线等设备采购合同》及其补充协议。同时澳柯玛“智慧冷链智能制造项目”总装二期</w:t>
      </w:r>
      <w:r>
        <w:rPr>
          <w:rFonts w:ascii="Times New Roman" w:hAnsi="Times New Roman" w:cs="Times New Roman"/>
          <w:bCs/>
        </w:rPr>
        <w:t>2021</w:t>
      </w:r>
      <w:r>
        <w:rPr>
          <w:rFonts w:ascii="Times New Roman" w:hAnsi="Times New Roman" w:cs="Times New Roman" w:hint="eastAsia"/>
          <w:bCs/>
        </w:rPr>
        <w:t>年和</w:t>
      </w:r>
      <w:r>
        <w:rPr>
          <w:rFonts w:ascii="Times New Roman" w:hAnsi="Times New Roman" w:cs="Times New Roman" w:hint="eastAsia"/>
          <w:bCs/>
        </w:rPr>
        <w:t>2</w:t>
      </w:r>
      <w:r>
        <w:rPr>
          <w:rFonts w:ascii="Times New Roman" w:hAnsi="Times New Roman" w:cs="Times New Roman"/>
          <w:bCs/>
        </w:rPr>
        <w:t>022</w:t>
      </w:r>
      <w:r>
        <w:rPr>
          <w:rFonts w:ascii="Times New Roman" w:hAnsi="Times New Roman" w:cs="Times New Roman" w:hint="eastAsia"/>
          <w:bCs/>
        </w:rPr>
        <w:t>年预计还将签署合计金额为</w:t>
      </w:r>
      <w:r>
        <w:rPr>
          <w:rFonts w:ascii="Times New Roman" w:hAnsi="Times New Roman" w:cs="Times New Roman" w:hint="eastAsia"/>
          <w:bCs/>
        </w:rPr>
        <w:t>2.3</w:t>
      </w:r>
      <w:r>
        <w:rPr>
          <w:rFonts w:ascii="Times New Roman" w:hAnsi="Times New Roman" w:cs="Times New Roman" w:hint="eastAsia"/>
          <w:bCs/>
        </w:rPr>
        <w:t>亿元的合同。上述项目预计于</w:t>
      </w:r>
      <w:r>
        <w:rPr>
          <w:rFonts w:ascii="Times New Roman" w:hAnsi="Times New Roman" w:cs="Times New Roman" w:hint="eastAsia"/>
          <w:bCs/>
        </w:rPr>
        <w:t>2021</w:t>
      </w:r>
      <w:r>
        <w:rPr>
          <w:rFonts w:ascii="Times New Roman" w:hAnsi="Times New Roman" w:cs="Times New Roman" w:hint="eastAsia"/>
          <w:bCs/>
        </w:rPr>
        <w:t>年及</w:t>
      </w:r>
      <w:r>
        <w:rPr>
          <w:rFonts w:ascii="Times New Roman" w:hAnsi="Times New Roman" w:cs="Times New Roman" w:hint="eastAsia"/>
          <w:bCs/>
        </w:rPr>
        <w:t>2022</w:t>
      </w:r>
      <w:r>
        <w:rPr>
          <w:rFonts w:ascii="Times New Roman" w:hAnsi="Times New Roman" w:cs="Times New Roman" w:hint="eastAsia"/>
          <w:bCs/>
        </w:rPr>
        <w:t>年完工验收形成收入。</w:t>
      </w:r>
    </w:p>
    <w:p w14:paraId="4AE309BA"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（三）与主要客户的合作方式及稳定性</w:t>
      </w:r>
    </w:p>
    <w:p w14:paraId="02F90D53"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采取“订单式生产”的业务模式，按照客户需求量身定做的非标自动化设备和信息化项目，为客户制定个性化的工业自动化解决方案。标的公司的产品与技术获得了行业内外的广泛认可。标的公司凭借过硬的产品质量和健全的售后服务体系，已成功与海尔、澳柯玛、海信等集团公司中的众多子公司，以及瑞智（青岛）精密机电有限公司等家电行业配套公司等优质下游客户建立了合作关系，实现了产品的销售。</w:t>
      </w:r>
    </w:p>
    <w:p w14:paraId="2780DA15"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已经与海尔、海信、澳柯玛集团合作五年左右，业务覆盖冰箱、洗衣机、洗碗机、电热水器等各类家电，为上述客户提供上百单服务。近年来，北洋天青来自于上述三家主要客户的收入逐年快速上升。标的公司凭借过硬的产品质量和健全的售后服务体系，与主要客户形成良好的合作关系，订单获取较为稳定。</w:t>
      </w:r>
    </w:p>
    <w:p w14:paraId="153B2290"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标的公司提供的产品主要为非标自动化设备，客户对供应商的选定有着严格的标准和程序，企业需要深度掌握客户的技术改造需求，研究客户产品加工工艺，一旦合作关系确立，将不会轻易变更。</w:t>
      </w:r>
    </w:p>
    <w:p w14:paraId="18A9AB02"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二、新客户的拓展情况</w:t>
      </w:r>
    </w:p>
    <w:p w14:paraId="40122426"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rPr>
        <w:t>北洋天青在维护现有家电行业龙头客户的同时，也与其他行业内企业建立了联系，推广各类自动化、信息化技术，努力开发行业内其他客户。</w:t>
      </w:r>
      <w:r>
        <w:rPr>
          <w:rFonts w:ascii="Times New Roman" w:hAnsi="Times New Roman" w:cs="Times New Roman" w:hint="eastAsia"/>
          <w:bCs/>
          <w:color w:val="000000"/>
          <w:szCs w:val="21"/>
        </w:rPr>
        <w:t>北洋天青</w:t>
      </w:r>
      <w:r>
        <w:rPr>
          <w:rFonts w:ascii="Times New Roman" w:hAnsi="Times New Roman" w:cs="Times New Roman" w:hint="eastAsia"/>
          <w:bCs/>
        </w:rPr>
        <w:t>在深耕家电行业的同时，也在积极拓展其他行业。</w:t>
      </w:r>
    </w:p>
    <w:p w14:paraId="13019708" w14:textId="3C6D0565"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在食品饮料领域，标的公司以现有技术及软件为基础，已经为崂山矿泉水集团提供了相应的自动化、企业信息化服务；与</w:t>
      </w:r>
      <w:r>
        <w:rPr>
          <w:rFonts w:ascii="Times New Roman" w:hAnsi="Times New Roman" w:cs="Times New Roman" w:hint="eastAsia"/>
        </w:rPr>
        <w:t>青岛万福集团就</w:t>
      </w:r>
      <w:r>
        <w:rPr>
          <w:rFonts w:ascii="Times New Roman" w:hAnsi="Times New Roman" w:cs="Times New Roman" w:hint="eastAsia"/>
          <w:bCs/>
        </w:rPr>
        <w:t>仓储物流技术等业务进行初步探讨。</w:t>
      </w:r>
    </w:p>
    <w:p w14:paraId="3F0BBD7C"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lastRenderedPageBreak/>
        <w:t>在</w:t>
      </w:r>
      <w:r>
        <w:rPr>
          <w:rFonts w:ascii="Times New Roman" w:hAnsi="Times New Roman" w:cs="Times New Roman" w:hint="eastAsia"/>
          <w:bCs/>
        </w:rPr>
        <w:t>3C</w:t>
      </w:r>
      <w:r>
        <w:rPr>
          <w:rFonts w:ascii="Times New Roman" w:hAnsi="Times New Roman" w:cs="Times New Roman" w:hint="eastAsia"/>
          <w:bCs/>
        </w:rPr>
        <w:t>领域，北洋天青主要以现有的物流悬挂输送系统为切入的技术基础，以液晶显示器模组生产为主推市场，拟开发机器人视觉追踪应用技术，柔性部件组装技术、以及任意曲面屏组装技术，并引入行业内有资深自动化行业经验的高水平技术及管理人才，积极拓展</w:t>
      </w:r>
      <w:r>
        <w:rPr>
          <w:rFonts w:ascii="Times New Roman" w:hAnsi="Times New Roman" w:cs="Times New Roman" w:hint="eastAsia"/>
          <w:bCs/>
        </w:rPr>
        <w:t>3C</w:t>
      </w:r>
      <w:r>
        <w:rPr>
          <w:rFonts w:ascii="Times New Roman" w:hAnsi="Times New Roman" w:cs="Times New Roman" w:hint="eastAsia"/>
          <w:bCs/>
        </w:rPr>
        <w:t>领域自动化市场。</w:t>
      </w:r>
    </w:p>
    <w:p w14:paraId="40712500"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在其他行业，北洋天青积极拓展现有技术及产品可以支持的其他行业智能化、自动化应用。目前标的公司已与</w:t>
      </w:r>
      <w:r>
        <w:rPr>
          <w:rFonts w:ascii="Times New Roman" w:hAnsi="Times New Roman" w:cs="Times New Roman" w:hint="eastAsia"/>
        </w:rPr>
        <w:t>青岛海湾化学集团就智能工厂整体规划、</w:t>
      </w:r>
      <w:r>
        <w:rPr>
          <w:rFonts w:ascii="Times New Roman" w:hAnsi="Times New Roman" w:cs="Times New Roman" w:hint="eastAsia"/>
          <w:bCs/>
        </w:rPr>
        <w:t>企业信息化等业务展开初步接触。</w:t>
      </w:r>
    </w:p>
    <w:p w14:paraId="4FA53A81"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三、北洋天青经营稳定，具有持续盈利能力。</w:t>
      </w:r>
    </w:p>
    <w:p w14:paraId="10C247F9" w14:textId="77777777" w:rsidR="00C02929" w:rsidRDefault="006116D1">
      <w:pPr>
        <w:spacing w:beforeLines="50" w:before="156" w:line="360" w:lineRule="auto"/>
        <w:ind w:firstLineChars="200" w:firstLine="480"/>
        <w:jc w:val="both"/>
        <w:rPr>
          <w:rFonts w:ascii="Times New Roman" w:hAnsi="Times New Roman" w:cs="Times New Roman"/>
          <w:b/>
          <w:bCs/>
          <w:color w:val="000000"/>
        </w:rPr>
      </w:pPr>
      <w:r>
        <w:rPr>
          <w:rFonts w:ascii="Times New Roman" w:hAnsi="Times New Roman" w:cs="Times New Roman" w:hint="eastAsia"/>
        </w:rPr>
        <w:t>北洋天青已经与海尔、海信、澳柯玛集团合作五年左右，业务覆盖冰箱、洗衣机、洗碗机、电热水器等各类家电，为上述客户提供上百单服务，与主要客户形成良好的合作关系，订单获取较为稳定。北洋天青在维护现有家电行业龙头客户的同时，</w:t>
      </w:r>
      <w:r>
        <w:rPr>
          <w:rFonts w:ascii="Times New Roman" w:hAnsi="Times New Roman" w:cs="Times New Roman" w:hint="eastAsia"/>
          <w:bCs/>
        </w:rPr>
        <w:t>也在积极拓展家电行业其他客户和</w:t>
      </w:r>
      <w:r>
        <w:rPr>
          <w:rFonts w:ascii="Times New Roman" w:hAnsi="Times New Roman" w:cs="Times New Roman" w:hint="eastAsia"/>
          <w:bCs/>
        </w:rPr>
        <w:t>3C</w:t>
      </w:r>
      <w:r>
        <w:rPr>
          <w:rFonts w:ascii="Times New Roman" w:hAnsi="Times New Roman" w:cs="Times New Roman" w:hint="eastAsia"/>
          <w:bCs/>
        </w:rPr>
        <w:t>、食品饮料及化工等其他行业客户，不存在流失现有客户或无法拓展新客户的风险。北洋天青通过维护现有客户及努力开发新客户，保障了其经营稳定，具有持续盈利能力。</w:t>
      </w:r>
    </w:p>
    <w:p w14:paraId="084FDE86"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7B185D98" w14:textId="77777777" w:rsidR="00C02929" w:rsidRDefault="006116D1">
      <w:pPr>
        <w:pStyle w:val="affffd"/>
        <w:spacing w:before="156"/>
        <w:ind w:firstLine="480"/>
      </w:pPr>
      <w:r>
        <w:rPr>
          <w:rFonts w:hint="eastAsia"/>
        </w:rPr>
        <w:t>上述内容已在“第四节</w:t>
      </w:r>
      <w:r>
        <w:t xml:space="preserve"> </w:t>
      </w:r>
      <w:r>
        <w:rPr>
          <w:rFonts w:hint="eastAsia"/>
        </w:rPr>
        <w:t>交易标的基本情况”之“五、主营业务发展情况”之“（三）业务模式”、“第九节</w:t>
      </w:r>
      <w:r>
        <w:t xml:space="preserve"> </w:t>
      </w:r>
      <w:r>
        <w:rPr>
          <w:rFonts w:hint="eastAsia"/>
        </w:rPr>
        <w:t>管理层讨论与分析”之“二、标的公司行业特点和行业定位”之“（七）标的公司的竞争优势”和“第九节</w:t>
      </w:r>
      <w:r>
        <w:t xml:space="preserve"> </w:t>
      </w:r>
      <w:r>
        <w:rPr>
          <w:rFonts w:hint="eastAsia"/>
        </w:rPr>
        <w:t>管理层讨论与分析”之“三、标的公司报告期财务状况和经营成果的讨论分析”之“（二）盈利能力分析”中补充披露。</w:t>
      </w:r>
    </w:p>
    <w:p w14:paraId="70CB82C8"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五、独立财务顾问核查意见</w:t>
      </w:r>
    </w:p>
    <w:p w14:paraId="4A652885" w14:textId="77777777" w:rsidR="00C02929" w:rsidRDefault="006116D1">
      <w:pPr>
        <w:pStyle w:val="affffd"/>
        <w:spacing w:before="156"/>
        <w:ind w:firstLine="480"/>
      </w:pPr>
      <w:r>
        <w:rPr>
          <w:rFonts w:hint="eastAsia"/>
          <w:lang w:val="zh-CN"/>
        </w:rPr>
        <w:t>经核查，独立财务顾问结合北洋天青与主要客户合作情况、主要合同内容、新客户拓展情况分析，北洋天青与主要客户合作具有稳定性及可持续性，不存在流失现有客户或无法拓展新客户的风险，标的公司经营具有稳定性和持续盈利能力。</w:t>
      </w:r>
    </w:p>
    <w:p w14:paraId="25D04584" w14:textId="77777777" w:rsidR="00C02929" w:rsidRDefault="006116D1">
      <w:pPr>
        <w:spacing w:beforeLines="50" w:before="156" w:line="360" w:lineRule="auto"/>
        <w:ind w:firstLineChars="200" w:firstLine="482"/>
        <w:jc w:val="both"/>
        <w:outlineLvl w:val="1"/>
        <w:rPr>
          <w:rFonts w:ascii="Times New Roman" w:hAnsi="Times New Roman" w:cs="Times New Roman"/>
          <w:b/>
          <w:color w:val="000000"/>
          <w:szCs w:val="21"/>
        </w:rPr>
      </w:pPr>
      <w:r>
        <w:rPr>
          <w:rFonts w:ascii="Times New Roman" w:hAnsi="Times New Roman" w:cs="Times New Roman" w:hint="eastAsia"/>
          <w:b/>
          <w:color w:val="000000"/>
          <w:szCs w:val="21"/>
        </w:rPr>
        <w:lastRenderedPageBreak/>
        <w:t>3</w:t>
      </w:r>
      <w:r>
        <w:rPr>
          <w:rFonts w:ascii="Times New Roman" w:hAnsi="Times New Roman" w:cs="Times New Roman" w:hint="eastAsia"/>
          <w:b/>
          <w:color w:val="000000"/>
          <w:szCs w:val="21"/>
        </w:rPr>
        <w:t>）结合北洋天青和主要竞争对手在业务规模、市场占有率、核心技术上的差异及行业内竞争态势，补充披露北洋天青核心竞争力，有无被替代风险及应对措施。请独立财务顾问核查并发表明确意见。</w:t>
      </w:r>
    </w:p>
    <w:p w14:paraId="4207B291" w14:textId="77777777" w:rsidR="00C02929" w:rsidRDefault="006116D1">
      <w:pPr>
        <w:pStyle w:val="affffd"/>
        <w:spacing w:before="156"/>
        <w:ind w:firstLine="480"/>
        <w:rPr>
          <w:bCs/>
          <w:lang w:val="en-GB"/>
        </w:rPr>
      </w:pPr>
      <w:r>
        <w:rPr>
          <w:rFonts w:hint="eastAsia"/>
          <w:bCs/>
          <w:lang w:val="en-GB"/>
        </w:rPr>
        <w:t>由于我国工业自动化发展起步较晚，核心技术创新能力薄弱。跨国工业自动化企业凭借其质量、资金及技术优势，牢牢占据着高端市场。随着我国自动化行业近年的发展，一批具有较强自主创新能力的优秀企业已经出现，并且凭借产品创新、响应速度及个性化服务，正逐步形成较强的市场竞争力。</w:t>
      </w:r>
    </w:p>
    <w:p w14:paraId="3C5A47CE" w14:textId="77777777" w:rsidR="00C02929" w:rsidRDefault="006116D1">
      <w:pPr>
        <w:pStyle w:val="affffd"/>
        <w:spacing w:before="156"/>
        <w:ind w:firstLine="480"/>
        <w:rPr>
          <w:bCs/>
          <w:lang w:val="en-GB"/>
        </w:rPr>
      </w:pPr>
      <w:r>
        <w:rPr>
          <w:rFonts w:hint="eastAsia"/>
          <w:bCs/>
          <w:lang w:val="en-GB"/>
        </w:rPr>
        <w:t>与国内企业相比，国外企业在技术、品牌及资金方面具有较大优势，但在成本、服务及响应速度方面存在一定劣势，因此国外企业加快了本土化进程，通过建立独资或合资企业，逐步缩小了成本、响应速度、服务等方面与国内企业的差距。</w:t>
      </w:r>
    </w:p>
    <w:p w14:paraId="6E818F96" w14:textId="77777777" w:rsidR="00C02929" w:rsidRDefault="006116D1">
      <w:pPr>
        <w:spacing w:beforeLines="50" w:before="156" w:line="360" w:lineRule="auto"/>
        <w:ind w:firstLineChars="200" w:firstLine="480"/>
        <w:jc w:val="both"/>
        <w:rPr>
          <w:rFonts w:ascii="Times New Roman" w:hAnsi="Times New Roman" w:cs="Times New Roman"/>
          <w:b/>
          <w:color w:val="000000"/>
          <w:szCs w:val="21"/>
        </w:rPr>
      </w:pPr>
      <w:r>
        <w:rPr>
          <w:rFonts w:ascii="Times New Roman" w:hAnsi="Times New Roman" w:cs="Times New Roman" w:hint="eastAsia"/>
          <w:bCs/>
        </w:rPr>
        <w:t>在非标自动化领域，研发设计需考虑客户的生产线、生产工艺、生产环境等因素，并根据客户定制要求进行零部件、模块的选配和组合，因此对行业内厂商的配套设计能力、项目执行经验、客户服务能力的要求较高</w:t>
      </w:r>
      <w:r>
        <w:rPr>
          <w:rFonts w:ascii="Times New Roman" w:hAnsi="Times New Roman" w:cs="Times New Roman" w:hint="eastAsia"/>
          <w:bCs/>
          <w:color w:val="000000"/>
          <w:lang w:val="en-GB"/>
        </w:rPr>
        <w:t>。</w:t>
      </w:r>
    </w:p>
    <w:p w14:paraId="7B6E60F4"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一、主要竞争对手</w:t>
      </w:r>
    </w:p>
    <w:p w14:paraId="548A6D65"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公司所处行业内有多家竞争公司，国内行业内主要企业有广东拓斯达科技股份有限公司、杭州永创智能设备股份有限公司、快克智能装备股份有限公司、</w:t>
      </w:r>
      <w:r>
        <w:rPr>
          <w:rFonts w:ascii="Times New Roman" w:hAnsi="Times New Roman" w:cs="Times New Roman" w:hint="eastAsia"/>
          <w:color w:val="000000"/>
        </w:rPr>
        <w:t>沈阳新松机器人自动化股份有限公司、南京埃斯顿自动化股份有限公司</w:t>
      </w:r>
      <w:r>
        <w:rPr>
          <w:rFonts w:ascii="Times New Roman" w:hAnsi="Times New Roman" w:cs="Times New Roman" w:hint="eastAsia"/>
          <w:bCs/>
          <w:color w:val="000000"/>
          <w:lang w:val="en-GB"/>
        </w:rPr>
        <w:t>等。</w:t>
      </w:r>
    </w:p>
    <w:p w14:paraId="5D93A62A"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w:t>
      </w:r>
      <w:r>
        <w:rPr>
          <w:rFonts w:ascii="Times New Roman" w:hAnsi="Times New Roman" w:cs="Times New Roman" w:hint="eastAsia"/>
          <w:b/>
          <w:color w:val="000000"/>
        </w:rPr>
        <w:t>一</w:t>
      </w:r>
      <w:r>
        <w:rPr>
          <w:rFonts w:ascii="Times New Roman" w:hAnsi="Times New Roman" w:cs="Times New Roman" w:hint="eastAsia"/>
          <w:b/>
          <w:color w:val="000000"/>
          <w:lang w:val="en-GB"/>
        </w:rPr>
        <w:t>）广东拓斯达科技股份有限公司（证券代码：</w:t>
      </w:r>
      <w:r>
        <w:rPr>
          <w:rFonts w:ascii="Times New Roman" w:hAnsi="Times New Roman" w:cs="Times New Roman"/>
          <w:b/>
          <w:color w:val="000000"/>
          <w:lang w:val="en-GB"/>
        </w:rPr>
        <w:t>300607</w:t>
      </w:r>
      <w:r>
        <w:rPr>
          <w:rFonts w:ascii="Times New Roman" w:hAnsi="Times New Roman" w:cs="Times New Roman" w:hint="eastAsia"/>
          <w:b/>
          <w:color w:val="000000"/>
          <w:lang w:val="en-GB"/>
        </w:rPr>
        <w:t>）</w:t>
      </w:r>
    </w:p>
    <w:p w14:paraId="045A775F"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拓斯达成立于</w:t>
      </w:r>
      <w:r>
        <w:rPr>
          <w:rFonts w:ascii="Times New Roman" w:hAnsi="Times New Roman" w:cs="Times New Roman" w:hint="eastAsia"/>
          <w:bCs/>
          <w:color w:val="000000"/>
          <w:lang w:val="en-GB"/>
        </w:rPr>
        <w:t>2007</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6</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1</w:t>
      </w:r>
      <w:r>
        <w:rPr>
          <w:rFonts w:ascii="Times New Roman" w:hAnsi="Times New Roman" w:cs="Times New Roman" w:hint="eastAsia"/>
          <w:bCs/>
          <w:color w:val="000000"/>
          <w:lang w:val="en-GB"/>
        </w:rPr>
        <w:t>日，</w:t>
      </w:r>
      <w:r>
        <w:rPr>
          <w:rFonts w:ascii="Times New Roman" w:hAnsi="Times New Roman" w:cs="Times New Roman" w:hint="eastAsia"/>
          <w:bCs/>
          <w:color w:val="000000"/>
          <w:lang w:val="en-GB"/>
        </w:rPr>
        <w:t>2017</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2</w:t>
      </w:r>
      <w:r>
        <w:rPr>
          <w:rFonts w:ascii="Times New Roman" w:hAnsi="Times New Roman" w:cs="Times New Roman" w:hint="eastAsia"/>
          <w:bCs/>
          <w:color w:val="000000"/>
          <w:lang w:val="en-GB"/>
        </w:rPr>
        <w:t>月在深交所创业板上市，是一家专业为下游制造业客户提供工业自动化整体解决方案及相关设备的高新技术企业。拓斯达的主要产品及服务包括机械手及配套方案、多关节机器人应用方案、注塑机辅机设备、注塑自动化供料及水电气系统等四大系列，广泛应用于</w:t>
      </w:r>
      <w:r>
        <w:rPr>
          <w:rFonts w:ascii="Times New Roman" w:hAnsi="Times New Roman" w:cs="Times New Roman" w:hint="eastAsia"/>
          <w:bCs/>
          <w:color w:val="000000"/>
          <w:lang w:val="en-GB"/>
        </w:rPr>
        <w:t>3C</w:t>
      </w:r>
      <w:r>
        <w:rPr>
          <w:rFonts w:ascii="Times New Roman" w:hAnsi="Times New Roman" w:cs="Times New Roman" w:hint="eastAsia"/>
          <w:bCs/>
          <w:color w:val="000000"/>
          <w:lang w:val="en-GB"/>
        </w:rPr>
        <w:t>（计算机、通讯和消费电子）、家用电器、汽车零部件、医疗器械等众多领域。经过多年发展，拓斯达凭借自身先进的技术研发能力、快速的客户响应能力及丰富的行业个性化应用经验，正逐渐成为国内工业自动化相关领域的领跑者。</w:t>
      </w:r>
    </w:p>
    <w:p w14:paraId="1DA23062"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w:t>
      </w:r>
      <w:r>
        <w:rPr>
          <w:rFonts w:ascii="Times New Roman" w:hAnsi="Times New Roman" w:cs="Times New Roman" w:hint="eastAsia"/>
          <w:b/>
          <w:color w:val="000000"/>
        </w:rPr>
        <w:t>二</w:t>
      </w:r>
      <w:r>
        <w:rPr>
          <w:rFonts w:ascii="Times New Roman" w:hAnsi="Times New Roman" w:cs="Times New Roman" w:hint="eastAsia"/>
          <w:b/>
          <w:color w:val="000000"/>
          <w:lang w:val="en-GB"/>
        </w:rPr>
        <w:t>）杭州永创智能设备股份有限公司（股票代码：</w:t>
      </w:r>
      <w:r>
        <w:rPr>
          <w:rFonts w:ascii="Times New Roman" w:hAnsi="Times New Roman" w:cs="Times New Roman"/>
          <w:b/>
          <w:color w:val="000000"/>
          <w:lang w:val="en-GB"/>
        </w:rPr>
        <w:t>603901</w:t>
      </w:r>
      <w:r>
        <w:rPr>
          <w:rFonts w:ascii="Times New Roman" w:hAnsi="Times New Roman" w:cs="Times New Roman" w:hint="eastAsia"/>
          <w:b/>
          <w:color w:val="000000"/>
          <w:lang w:val="en-GB"/>
        </w:rPr>
        <w:t>）</w:t>
      </w:r>
    </w:p>
    <w:p w14:paraId="7226F445"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lastRenderedPageBreak/>
        <w:t>永创智能成立于</w:t>
      </w:r>
      <w:r>
        <w:rPr>
          <w:rFonts w:ascii="Times New Roman" w:hAnsi="Times New Roman" w:cs="Times New Roman" w:hint="eastAsia"/>
          <w:bCs/>
          <w:color w:val="000000"/>
          <w:lang w:val="en-GB"/>
        </w:rPr>
        <w:t>2002</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11</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7</w:t>
      </w:r>
      <w:r>
        <w:rPr>
          <w:rFonts w:ascii="Times New Roman" w:hAnsi="Times New Roman" w:cs="Times New Roman" w:hint="eastAsia"/>
          <w:bCs/>
          <w:color w:val="000000"/>
          <w:lang w:val="en-GB"/>
        </w:rPr>
        <w:t>日，</w:t>
      </w:r>
      <w:r>
        <w:rPr>
          <w:rFonts w:ascii="Times New Roman" w:hAnsi="Times New Roman" w:cs="Times New Roman" w:hint="eastAsia"/>
          <w:bCs/>
          <w:color w:val="000000"/>
          <w:lang w:val="en-GB"/>
        </w:rPr>
        <w:t>2015</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5</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29</w:t>
      </w:r>
      <w:r>
        <w:rPr>
          <w:rFonts w:ascii="Times New Roman" w:hAnsi="Times New Roman" w:cs="Times New Roman" w:hint="eastAsia"/>
          <w:bCs/>
          <w:color w:val="000000"/>
          <w:lang w:val="en-GB"/>
        </w:rPr>
        <w:t>日于上交所主板上市，永创智能是全国智能包装装备系统领域的行业知名企业，国内大型整套包装生产线解决方案提供商，为客户提供离散</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混合型智能包装系统。</w:t>
      </w:r>
    </w:p>
    <w:p w14:paraId="5B75DEA5"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w:t>
      </w:r>
      <w:r>
        <w:rPr>
          <w:rFonts w:ascii="Times New Roman" w:hAnsi="Times New Roman" w:cs="Times New Roman" w:hint="eastAsia"/>
          <w:b/>
          <w:color w:val="000000"/>
        </w:rPr>
        <w:t>三</w:t>
      </w:r>
      <w:r>
        <w:rPr>
          <w:rFonts w:ascii="Times New Roman" w:hAnsi="Times New Roman" w:cs="Times New Roman" w:hint="eastAsia"/>
          <w:b/>
          <w:color w:val="000000"/>
          <w:lang w:val="en-GB"/>
        </w:rPr>
        <w:t>）快克智能装备股份有限公司（股票代码：</w:t>
      </w:r>
      <w:r>
        <w:rPr>
          <w:rFonts w:ascii="Times New Roman" w:hAnsi="Times New Roman" w:cs="Times New Roman"/>
          <w:b/>
          <w:color w:val="000000"/>
          <w:lang w:val="en-GB"/>
        </w:rPr>
        <w:t>603203</w:t>
      </w:r>
      <w:r>
        <w:rPr>
          <w:rFonts w:ascii="Times New Roman" w:hAnsi="Times New Roman" w:cs="Times New Roman" w:hint="eastAsia"/>
          <w:b/>
          <w:color w:val="000000"/>
          <w:lang w:val="en-GB"/>
        </w:rPr>
        <w:t>）</w:t>
      </w:r>
    </w:p>
    <w:p w14:paraId="53EB4937"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快克股份成立于</w:t>
      </w:r>
      <w:r>
        <w:rPr>
          <w:rFonts w:ascii="Times New Roman" w:hAnsi="Times New Roman" w:cs="Times New Roman" w:hint="eastAsia"/>
          <w:bCs/>
          <w:color w:val="000000"/>
          <w:lang w:val="en-GB"/>
        </w:rPr>
        <w:t>2006</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6</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28</w:t>
      </w:r>
      <w:r>
        <w:rPr>
          <w:rFonts w:ascii="Times New Roman" w:hAnsi="Times New Roman" w:cs="Times New Roman" w:hint="eastAsia"/>
          <w:bCs/>
          <w:color w:val="000000"/>
          <w:lang w:val="en-GB"/>
        </w:rPr>
        <w:t>日，</w:t>
      </w:r>
      <w:r>
        <w:rPr>
          <w:rFonts w:ascii="Times New Roman" w:hAnsi="Times New Roman" w:cs="Times New Roman" w:hint="eastAsia"/>
          <w:bCs/>
          <w:color w:val="000000"/>
          <w:lang w:val="en-GB"/>
        </w:rPr>
        <w:t>2016</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11</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8</w:t>
      </w:r>
      <w:r>
        <w:rPr>
          <w:rFonts w:ascii="Times New Roman" w:hAnsi="Times New Roman" w:cs="Times New Roman" w:hint="eastAsia"/>
          <w:bCs/>
          <w:color w:val="000000"/>
          <w:lang w:val="en-GB"/>
        </w:rPr>
        <w:t>日于上交所主板上市。主营业务为以锡焊技术为核心的电子装联专用设备的研发、生产和销售，提供的产品和服务包括锡焊工具和机器人、装联作业的关联性设备以及柔性自动化生产线。</w:t>
      </w:r>
    </w:p>
    <w:p w14:paraId="0464A4B1"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（四）沈阳新松机器人自动化股份有限公司（股票代码：</w:t>
      </w:r>
      <w:r>
        <w:rPr>
          <w:rFonts w:ascii="Times New Roman" w:hAnsi="Times New Roman" w:cs="Times New Roman"/>
          <w:b/>
        </w:rPr>
        <w:t>300024</w:t>
      </w:r>
      <w:r>
        <w:rPr>
          <w:rFonts w:ascii="Times New Roman" w:hAnsi="Times New Roman" w:cs="Times New Roman" w:hint="eastAsia"/>
          <w:b/>
        </w:rPr>
        <w:t>）</w:t>
      </w:r>
    </w:p>
    <w:p w14:paraId="240EC862"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沈阳新松机器人自动化股份有限公司成立于</w:t>
      </w:r>
      <w:r>
        <w:rPr>
          <w:rFonts w:ascii="Times New Roman" w:hAnsi="Times New Roman" w:cs="Times New Roman"/>
          <w:bCs/>
          <w:color w:val="000000"/>
          <w:lang w:val="en-GB"/>
        </w:rPr>
        <w:t>2000</w:t>
      </w:r>
      <w:r>
        <w:rPr>
          <w:rFonts w:ascii="Times New Roman" w:hAnsi="Times New Roman" w:cs="Times New Roman" w:hint="eastAsia"/>
          <w:bCs/>
          <w:color w:val="000000"/>
          <w:lang w:val="en-GB"/>
        </w:rPr>
        <w:t>年</w:t>
      </w:r>
      <w:r>
        <w:rPr>
          <w:rFonts w:ascii="Times New Roman" w:hAnsi="Times New Roman" w:cs="Times New Roman"/>
          <w:bCs/>
          <w:color w:val="000000"/>
          <w:lang w:val="en-GB"/>
        </w:rPr>
        <w:t>4</w:t>
      </w:r>
      <w:r>
        <w:rPr>
          <w:rFonts w:ascii="Times New Roman" w:hAnsi="Times New Roman" w:cs="Times New Roman" w:hint="eastAsia"/>
          <w:bCs/>
          <w:color w:val="000000"/>
          <w:lang w:val="en-GB"/>
        </w:rPr>
        <w:t>月</w:t>
      </w:r>
      <w:r>
        <w:rPr>
          <w:rFonts w:ascii="Times New Roman" w:hAnsi="Times New Roman" w:cs="Times New Roman"/>
          <w:bCs/>
          <w:color w:val="000000"/>
          <w:lang w:val="en-GB"/>
        </w:rPr>
        <w:t>30</w:t>
      </w:r>
      <w:r>
        <w:rPr>
          <w:rFonts w:ascii="Times New Roman" w:hAnsi="Times New Roman" w:cs="Times New Roman" w:hint="eastAsia"/>
          <w:bCs/>
          <w:color w:val="000000"/>
          <w:lang w:val="en-GB"/>
        </w:rPr>
        <w:t>日，</w:t>
      </w:r>
      <w:r>
        <w:rPr>
          <w:rFonts w:ascii="Times New Roman" w:hAnsi="Times New Roman" w:cs="Times New Roman"/>
          <w:bCs/>
          <w:color w:val="000000"/>
          <w:lang w:val="en-GB"/>
        </w:rPr>
        <w:t>2009</w:t>
      </w:r>
      <w:r>
        <w:rPr>
          <w:rFonts w:ascii="Times New Roman" w:hAnsi="Times New Roman" w:cs="Times New Roman" w:hint="eastAsia"/>
          <w:bCs/>
          <w:color w:val="000000"/>
          <w:lang w:val="en-GB"/>
        </w:rPr>
        <w:t>年</w:t>
      </w:r>
      <w:r>
        <w:rPr>
          <w:rFonts w:ascii="Times New Roman" w:hAnsi="Times New Roman" w:cs="Times New Roman"/>
          <w:bCs/>
          <w:color w:val="000000"/>
          <w:lang w:val="en-GB"/>
        </w:rPr>
        <w:t>10</w:t>
      </w:r>
      <w:r>
        <w:rPr>
          <w:rFonts w:ascii="Times New Roman" w:hAnsi="Times New Roman" w:cs="Times New Roman" w:hint="eastAsia"/>
          <w:bCs/>
          <w:color w:val="000000"/>
          <w:lang w:val="en-GB"/>
        </w:rPr>
        <w:t>月</w:t>
      </w:r>
      <w:r>
        <w:rPr>
          <w:rFonts w:ascii="Times New Roman" w:hAnsi="Times New Roman" w:cs="Times New Roman"/>
          <w:bCs/>
          <w:color w:val="000000"/>
          <w:lang w:val="en-GB"/>
        </w:rPr>
        <w:t>30</w:t>
      </w:r>
      <w:r>
        <w:rPr>
          <w:rFonts w:ascii="Times New Roman" w:hAnsi="Times New Roman" w:cs="Times New Roman" w:hint="eastAsia"/>
          <w:bCs/>
          <w:color w:val="000000"/>
          <w:lang w:val="en-GB"/>
        </w:rPr>
        <w:t>日于深交所创业板上市。公司的机器人产品线涵盖工业机器人、洁净</w:t>
      </w:r>
      <w:r>
        <w:rPr>
          <w:rFonts w:ascii="Times New Roman" w:hAnsi="Times New Roman" w:cs="Times New Roman"/>
          <w:bCs/>
          <w:color w:val="000000"/>
          <w:lang w:val="en-GB"/>
        </w:rPr>
        <w:t>(</w:t>
      </w:r>
      <w:r>
        <w:rPr>
          <w:rFonts w:ascii="Times New Roman" w:hAnsi="Times New Roman" w:cs="Times New Roman" w:hint="eastAsia"/>
          <w:bCs/>
          <w:color w:val="000000"/>
          <w:lang w:val="en-GB"/>
        </w:rPr>
        <w:t>真空</w:t>
      </w:r>
      <w:r>
        <w:rPr>
          <w:rFonts w:ascii="Times New Roman" w:hAnsi="Times New Roman" w:cs="Times New Roman"/>
          <w:bCs/>
          <w:color w:val="000000"/>
          <w:lang w:val="en-GB"/>
        </w:rPr>
        <w:t>)</w:t>
      </w:r>
      <w:r>
        <w:rPr>
          <w:rFonts w:ascii="Times New Roman" w:hAnsi="Times New Roman" w:cs="Times New Roman" w:hint="eastAsia"/>
          <w:bCs/>
          <w:color w:val="000000"/>
          <w:lang w:val="en-GB"/>
        </w:rPr>
        <w:t>机器人、移动机器人、特种机器人及智能服务机器人五大系列。在高端智能装备方面涉及智能物流、自动化成套装备、洁净装备、激光技术装备、轨道交通、节能环保装备、能源装备、特种装备等产业。</w:t>
      </w:r>
    </w:p>
    <w:p w14:paraId="662A2646"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（五）南京埃斯顿自动化股份有限公司（股票代码：</w:t>
      </w:r>
      <w:r>
        <w:rPr>
          <w:rFonts w:ascii="Times New Roman" w:hAnsi="Times New Roman" w:cs="Times New Roman"/>
          <w:b/>
        </w:rPr>
        <w:t>002747</w:t>
      </w:r>
      <w:r>
        <w:rPr>
          <w:rFonts w:ascii="Times New Roman" w:hAnsi="Times New Roman" w:cs="Times New Roman" w:hint="eastAsia"/>
          <w:b/>
        </w:rPr>
        <w:t>）</w:t>
      </w:r>
    </w:p>
    <w:p w14:paraId="7A0B40FD"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南京埃斯顿自动化股份有限公司成立于</w:t>
      </w:r>
      <w:r>
        <w:rPr>
          <w:rFonts w:ascii="Times New Roman" w:hAnsi="Times New Roman" w:cs="Times New Roman"/>
          <w:bCs/>
          <w:color w:val="000000"/>
          <w:lang w:val="en-GB"/>
        </w:rPr>
        <w:t>2002</w:t>
      </w:r>
      <w:r>
        <w:rPr>
          <w:rFonts w:ascii="Times New Roman" w:hAnsi="Times New Roman" w:cs="Times New Roman" w:hint="eastAsia"/>
          <w:bCs/>
          <w:color w:val="000000"/>
          <w:lang w:val="en-GB"/>
        </w:rPr>
        <w:t>年</w:t>
      </w:r>
      <w:r>
        <w:rPr>
          <w:rFonts w:ascii="Times New Roman" w:hAnsi="Times New Roman" w:cs="Times New Roman"/>
          <w:bCs/>
          <w:color w:val="000000"/>
          <w:lang w:val="en-GB"/>
        </w:rPr>
        <w:t>2</w:t>
      </w:r>
      <w:r>
        <w:rPr>
          <w:rFonts w:ascii="Times New Roman" w:hAnsi="Times New Roman" w:cs="Times New Roman" w:hint="eastAsia"/>
          <w:bCs/>
          <w:color w:val="000000"/>
          <w:lang w:val="en-GB"/>
        </w:rPr>
        <w:t>月</w:t>
      </w:r>
      <w:r>
        <w:rPr>
          <w:rFonts w:ascii="Times New Roman" w:hAnsi="Times New Roman" w:cs="Times New Roman"/>
          <w:bCs/>
          <w:color w:val="000000"/>
          <w:lang w:val="en-GB"/>
        </w:rPr>
        <w:t>26</w:t>
      </w:r>
      <w:r>
        <w:rPr>
          <w:rFonts w:ascii="Times New Roman" w:hAnsi="Times New Roman" w:cs="Times New Roman" w:hint="eastAsia"/>
          <w:bCs/>
          <w:color w:val="000000"/>
          <w:lang w:val="en-GB"/>
        </w:rPr>
        <w:t>日，</w:t>
      </w:r>
      <w:r>
        <w:rPr>
          <w:rFonts w:ascii="Times New Roman" w:hAnsi="Times New Roman" w:cs="Times New Roman"/>
          <w:bCs/>
          <w:color w:val="000000"/>
          <w:lang w:val="en-GB"/>
        </w:rPr>
        <w:t>2015</w:t>
      </w:r>
      <w:r>
        <w:rPr>
          <w:rFonts w:ascii="Times New Roman" w:hAnsi="Times New Roman" w:cs="Times New Roman" w:hint="eastAsia"/>
          <w:bCs/>
          <w:color w:val="000000"/>
          <w:lang w:val="en-GB"/>
        </w:rPr>
        <w:t>年</w:t>
      </w:r>
      <w:r>
        <w:rPr>
          <w:rFonts w:ascii="Times New Roman" w:hAnsi="Times New Roman" w:cs="Times New Roman"/>
          <w:bCs/>
          <w:color w:val="000000"/>
          <w:lang w:val="en-GB"/>
        </w:rPr>
        <w:t>3</w:t>
      </w:r>
      <w:r>
        <w:rPr>
          <w:rFonts w:ascii="Times New Roman" w:hAnsi="Times New Roman" w:cs="Times New Roman" w:hint="eastAsia"/>
          <w:bCs/>
          <w:color w:val="000000"/>
          <w:lang w:val="en-GB"/>
        </w:rPr>
        <w:t>月</w:t>
      </w:r>
      <w:r>
        <w:rPr>
          <w:rFonts w:ascii="Times New Roman" w:hAnsi="Times New Roman" w:cs="Times New Roman"/>
          <w:bCs/>
          <w:color w:val="000000"/>
          <w:lang w:val="en-GB"/>
        </w:rPr>
        <w:t>20</w:t>
      </w:r>
      <w:r>
        <w:rPr>
          <w:rFonts w:ascii="Times New Roman" w:hAnsi="Times New Roman" w:cs="Times New Roman" w:hint="eastAsia"/>
          <w:bCs/>
          <w:color w:val="000000"/>
          <w:lang w:val="en-GB"/>
        </w:rPr>
        <w:t>日于深交所中小板上市，埃斯顿业务主要分为两个核心业务模块：一是自动化核心部件及运动控制系统，二是工业机器人及智能制造系统。</w:t>
      </w:r>
    </w:p>
    <w:p w14:paraId="1CC929E4"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上述企业在</w:t>
      </w:r>
      <w:r>
        <w:rPr>
          <w:rFonts w:ascii="Times New Roman" w:hAnsi="Times New Roman" w:cs="Times New Roman"/>
          <w:bCs/>
          <w:color w:val="000000"/>
          <w:lang w:val="en-GB"/>
        </w:rPr>
        <w:t>3C</w:t>
      </w:r>
      <w:r>
        <w:rPr>
          <w:rFonts w:ascii="Times New Roman" w:hAnsi="Times New Roman" w:cs="Times New Roman" w:hint="eastAsia"/>
          <w:bCs/>
          <w:color w:val="000000"/>
          <w:lang w:val="en-GB"/>
        </w:rPr>
        <w:t>、液晶显示器、汽车和工程机械、工业机器人及其集成应用、电力电机等领域具有较强的技术实力和很高的市场占有率，但与标的公司目前家电行业业务市场竞争交集较少。</w:t>
      </w:r>
    </w:p>
    <w:p w14:paraId="6C58CC98"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二、北洋天青核心竞争力</w:t>
      </w:r>
    </w:p>
    <w:p w14:paraId="25ADC8F9" w14:textId="77777777" w:rsidR="00C02929" w:rsidRDefault="006116D1">
      <w:pPr>
        <w:spacing w:beforeLines="50" w:before="156" w:line="360" w:lineRule="auto"/>
        <w:ind w:firstLineChars="200" w:firstLine="480"/>
        <w:jc w:val="both"/>
        <w:rPr>
          <w:rFonts w:ascii="Times New Roman" w:hAnsi="Times New Roman" w:cs="Times New Roman"/>
          <w:bCs/>
        </w:rPr>
      </w:pPr>
      <w:bookmarkStart w:id="16" w:name="_Hlk59719982"/>
      <w:r>
        <w:rPr>
          <w:rFonts w:ascii="Times New Roman" w:hAnsi="Times New Roman" w:cs="Times New Roman" w:hint="eastAsia"/>
          <w:bCs/>
        </w:rPr>
        <w:t>北洋天青深耕家电行业，主要从事生产线智能化、信息化建设、升级和改造业务。标的公司专注于智能工厂的整体方案设计，是家电行业自动化服务商中少有的具有整厂整线设计开发能力的信息化、智能化的生产线柔性解决方案服务商。形成了包括工业机器人本体及系统集成、智能制造装备、机器视觉、测试系统集</w:t>
      </w:r>
      <w:r>
        <w:rPr>
          <w:rFonts w:ascii="Times New Roman" w:hAnsi="Times New Roman" w:cs="Times New Roman" w:hint="eastAsia"/>
          <w:bCs/>
        </w:rPr>
        <w:lastRenderedPageBreak/>
        <w:t>成、模具立体库自动换模系统、物流悬挂输送系统和企业信息化七大业务板块的产品线。</w:t>
      </w:r>
    </w:p>
    <w:p w14:paraId="1703C5B6"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标的公司每个业务板块可独立运作，为下游制造业客户提供工业智能化和信息化的产品，也可以相互配合、智能集成，为客户提供生产线智能化建设、升级和改造以及数字化生产车间的整体解决方案。标的公司依托软件信息化技术和业务板块的深度融合，让各板块设备具备数字化和智能化的功能，以满足客户生产的定制化智能化需求。</w:t>
      </w:r>
    </w:p>
    <w:p w14:paraId="06C49503"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北洋天青的核心竞争力在于依托产品线的综合集成能力，其可以通过机器人系统集成、智能装备、自动测试系统等为客户建立家电行业整体生产线的自动化、智能化加工、装配、检测等系统，且拥有开发</w:t>
      </w:r>
      <w:r>
        <w:rPr>
          <w:rFonts w:ascii="Times New Roman" w:hAnsi="Times New Roman" w:cs="Times New Roman" w:hint="eastAsia"/>
          <w:bCs/>
        </w:rPr>
        <w:t>MES</w:t>
      </w:r>
      <w:r>
        <w:rPr>
          <w:rFonts w:ascii="Times New Roman" w:hAnsi="Times New Roman" w:cs="Times New Roman" w:hint="eastAsia"/>
          <w:bCs/>
        </w:rPr>
        <w:t>、</w:t>
      </w:r>
      <w:r>
        <w:rPr>
          <w:rFonts w:ascii="Times New Roman" w:hAnsi="Times New Roman" w:cs="Times New Roman" w:hint="eastAsia"/>
          <w:bCs/>
        </w:rPr>
        <w:t>SCADA</w:t>
      </w:r>
      <w:r>
        <w:rPr>
          <w:rFonts w:ascii="Times New Roman" w:hAnsi="Times New Roman" w:cs="Times New Roman" w:hint="eastAsia"/>
          <w:bCs/>
        </w:rPr>
        <w:t>、</w:t>
      </w:r>
      <w:r>
        <w:rPr>
          <w:rFonts w:ascii="Times New Roman" w:hAnsi="Times New Roman" w:cs="Times New Roman" w:hint="eastAsia"/>
          <w:bCs/>
        </w:rPr>
        <w:t>WMS</w:t>
      </w:r>
      <w:r>
        <w:rPr>
          <w:rFonts w:ascii="Times New Roman" w:hAnsi="Times New Roman" w:cs="Times New Roman" w:hint="eastAsia"/>
          <w:bCs/>
        </w:rPr>
        <w:t>、</w:t>
      </w:r>
      <w:r>
        <w:rPr>
          <w:rFonts w:ascii="Times New Roman" w:hAnsi="Times New Roman" w:cs="Times New Roman" w:hint="eastAsia"/>
          <w:bCs/>
        </w:rPr>
        <w:t>WMC</w:t>
      </w:r>
      <w:r>
        <w:rPr>
          <w:rFonts w:ascii="Times New Roman" w:hAnsi="Times New Roman" w:cs="Times New Roman" w:hint="eastAsia"/>
          <w:bCs/>
        </w:rPr>
        <w:t>系统等工业信息化软件的能力，帮助客户实现在生产制造环节中数据信息的实时采集、整合和集成以及自动化设备之间的互联，为客户提供自动化、智能化生产线的整体解决方案。</w:t>
      </w:r>
    </w:p>
    <w:p w14:paraId="3E9548EA"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（一）技术优势</w:t>
      </w:r>
    </w:p>
    <w:p w14:paraId="001B1506"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作为技术密集型和人才密集型的工业自动化行业内的企业，凭借强大的自主研发能力，成为了工业自动化领域的优秀企业。标的公司与天津大学、华中科技大学等高等院校合作，一直以来都注重自身研发能力的提升和研发团队的建立。为保证研发创新能力的可持续性，标的公司组建了拥有丰富专业理论知识和技术研发经验的研发团队。</w:t>
      </w:r>
    </w:p>
    <w:p w14:paraId="2A023CC1"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截至本核查意见出具日，标的公司已获得专利</w:t>
      </w:r>
      <w:r>
        <w:rPr>
          <w:rFonts w:ascii="Times New Roman" w:hAnsi="Times New Roman" w:cs="Times New Roman"/>
          <w:bCs/>
          <w:color w:val="000000"/>
        </w:rPr>
        <w:t>3</w:t>
      </w:r>
      <w:r>
        <w:rPr>
          <w:rFonts w:ascii="Times New Roman" w:hAnsi="Times New Roman" w:cs="Times New Roman" w:hint="eastAsia"/>
          <w:bCs/>
          <w:color w:val="000000"/>
          <w:lang w:val="en-GB"/>
        </w:rPr>
        <w:t>项以及软件著作权</w:t>
      </w:r>
      <w:r>
        <w:rPr>
          <w:rFonts w:ascii="Times New Roman" w:hAnsi="Times New Roman" w:cs="Times New Roman" w:hint="eastAsia"/>
          <w:bCs/>
          <w:color w:val="000000"/>
          <w:lang w:val="en-GB"/>
        </w:rPr>
        <w:t>8</w:t>
      </w:r>
      <w:r>
        <w:rPr>
          <w:rFonts w:ascii="Times New Roman" w:hAnsi="Times New Roman" w:cs="Times New Roman" w:hint="eastAsia"/>
          <w:bCs/>
          <w:color w:val="000000"/>
          <w:lang w:val="en-GB"/>
        </w:rPr>
        <w:t>项，同时有</w:t>
      </w:r>
      <w:r>
        <w:rPr>
          <w:rFonts w:ascii="Times New Roman" w:hAnsi="Times New Roman" w:cs="Times New Roman"/>
          <w:bCs/>
          <w:color w:val="000000"/>
        </w:rPr>
        <w:t>20</w:t>
      </w:r>
      <w:r>
        <w:rPr>
          <w:rFonts w:ascii="Times New Roman" w:hAnsi="Times New Roman" w:cs="Times New Roman" w:hint="eastAsia"/>
          <w:bCs/>
          <w:color w:val="000000"/>
          <w:lang w:val="en-GB"/>
        </w:rPr>
        <w:t>项专利已获得受理通知书。标的公司主导的《工业机器人主体设计与制造》的项目，获得“青岛市科学技术奖”。北洋天青建立了工业机器人本体及系统集成、智能制造装备、机器视觉、测试系统集成、模具立体库自动换模系统、物流悬挂输送系统和企业信息化七大业务板块的产品线，满足不同需求的多元化产品体系，针对不同行业的需求，整合运动控制、影像处理、工业机器人、空中物流等技术，配合软件系统开发为客户提供最具竞争力的产品和服务。</w:t>
      </w:r>
    </w:p>
    <w:p w14:paraId="32E18D16"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lastRenderedPageBreak/>
        <w:t>2018</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11</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30</w:t>
      </w:r>
      <w:r>
        <w:rPr>
          <w:rFonts w:ascii="Times New Roman" w:hAnsi="Times New Roman" w:cs="Times New Roman" w:hint="eastAsia"/>
          <w:bCs/>
          <w:color w:val="000000"/>
          <w:lang w:val="en-GB"/>
        </w:rPr>
        <w:t>日，北洋天青获得高新技术企业复审认定，连续多年成为高新技术企业；标的公司自主研发设计的家电行业机器人智能化总装线被评为“青岛市专精特新产品”。</w:t>
      </w:r>
    </w:p>
    <w:p w14:paraId="11EE461C" w14:textId="77777777" w:rsidR="00C02929" w:rsidRDefault="006116D1">
      <w:pPr>
        <w:pStyle w:val="affffd"/>
        <w:spacing w:before="156"/>
        <w:ind w:firstLine="482"/>
        <w:rPr>
          <w:b/>
          <w:bCs/>
        </w:rPr>
      </w:pPr>
      <w:r>
        <w:rPr>
          <w:b/>
          <w:bCs/>
        </w:rPr>
        <w:t>1</w:t>
      </w:r>
      <w:r>
        <w:rPr>
          <w:rFonts w:hint="eastAsia"/>
          <w:b/>
          <w:bCs/>
        </w:rPr>
        <w:t>、截至本核查意见出具日，标的公司拥有的专利技术情况如下：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7"/>
        <w:gridCol w:w="789"/>
        <w:gridCol w:w="1098"/>
        <w:gridCol w:w="2011"/>
        <w:gridCol w:w="1699"/>
        <w:gridCol w:w="1196"/>
        <w:gridCol w:w="682"/>
        <w:gridCol w:w="620"/>
      </w:tblGrid>
      <w:tr w:rsidR="00C02929" w14:paraId="597A25D1" w14:textId="77777777">
        <w:trPr>
          <w:tblHeader/>
          <w:jc w:val="center"/>
        </w:trPr>
        <w:tc>
          <w:tcPr>
            <w:tcW w:w="257" w:type="pct"/>
            <w:shd w:val="clear" w:color="auto" w:fill="auto"/>
            <w:vAlign w:val="center"/>
          </w:tcPr>
          <w:p w14:paraId="7D044DBA"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序号</w:t>
            </w:r>
          </w:p>
        </w:tc>
        <w:tc>
          <w:tcPr>
            <w:tcW w:w="511" w:type="pct"/>
            <w:shd w:val="clear" w:color="auto" w:fill="auto"/>
            <w:vAlign w:val="center"/>
          </w:tcPr>
          <w:p w14:paraId="2926C332"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专利类型</w:t>
            </w:r>
          </w:p>
        </w:tc>
        <w:tc>
          <w:tcPr>
            <w:tcW w:w="671" w:type="pct"/>
            <w:shd w:val="clear" w:color="auto" w:fill="auto"/>
            <w:vAlign w:val="center"/>
          </w:tcPr>
          <w:p w14:paraId="4F1B1AEC"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专利名称</w:t>
            </w:r>
          </w:p>
        </w:tc>
        <w:tc>
          <w:tcPr>
            <w:tcW w:w="1207" w:type="pct"/>
            <w:shd w:val="clear" w:color="auto" w:fill="auto"/>
            <w:vAlign w:val="center"/>
          </w:tcPr>
          <w:p w14:paraId="5DE4ADB1"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专利号</w:t>
            </w:r>
          </w:p>
        </w:tc>
        <w:tc>
          <w:tcPr>
            <w:tcW w:w="1024" w:type="pct"/>
            <w:shd w:val="clear" w:color="auto" w:fill="auto"/>
            <w:vAlign w:val="center"/>
          </w:tcPr>
          <w:p w14:paraId="28E856F7"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专利权人</w:t>
            </w:r>
          </w:p>
        </w:tc>
        <w:tc>
          <w:tcPr>
            <w:tcW w:w="512" w:type="pct"/>
            <w:shd w:val="clear" w:color="auto" w:fill="auto"/>
            <w:vAlign w:val="center"/>
          </w:tcPr>
          <w:p w14:paraId="745CF847"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申请日</w:t>
            </w:r>
          </w:p>
        </w:tc>
        <w:tc>
          <w:tcPr>
            <w:tcW w:w="427" w:type="pct"/>
            <w:shd w:val="clear" w:color="auto" w:fill="auto"/>
            <w:vAlign w:val="center"/>
          </w:tcPr>
          <w:p w14:paraId="2DAD9EA0"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取得方式</w:t>
            </w:r>
          </w:p>
        </w:tc>
        <w:tc>
          <w:tcPr>
            <w:tcW w:w="391" w:type="pct"/>
            <w:shd w:val="clear" w:color="auto" w:fill="auto"/>
            <w:vAlign w:val="center"/>
          </w:tcPr>
          <w:p w14:paraId="78AB2A13"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是否存在纠纷</w:t>
            </w:r>
          </w:p>
        </w:tc>
      </w:tr>
      <w:tr w:rsidR="00C02929" w14:paraId="37F81AA8" w14:textId="77777777">
        <w:trPr>
          <w:trHeight w:val="848"/>
          <w:jc w:val="center"/>
        </w:trPr>
        <w:tc>
          <w:tcPr>
            <w:tcW w:w="257" w:type="pct"/>
            <w:shd w:val="clear" w:color="auto" w:fill="auto"/>
            <w:vAlign w:val="center"/>
          </w:tcPr>
          <w:p w14:paraId="3E09BA2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511" w:type="pct"/>
            <w:shd w:val="clear" w:color="auto" w:fill="auto"/>
            <w:vAlign w:val="center"/>
          </w:tcPr>
          <w:p w14:paraId="1636AA2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实用新型专利</w:t>
            </w:r>
          </w:p>
        </w:tc>
        <w:tc>
          <w:tcPr>
            <w:tcW w:w="671" w:type="pct"/>
            <w:shd w:val="clear" w:color="auto" w:fill="auto"/>
            <w:vAlign w:val="center"/>
          </w:tcPr>
          <w:p w14:paraId="4A2B7BE7" w14:textId="77777777" w:rsidR="00C02929" w:rsidRDefault="006116D1">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干衣机内筒涂胶设备及干衣机内筒生产线</w:t>
            </w:r>
          </w:p>
        </w:tc>
        <w:tc>
          <w:tcPr>
            <w:tcW w:w="1207" w:type="pct"/>
            <w:shd w:val="clear" w:color="auto" w:fill="auto"/>
            <w:vAlign w:val="center"/>
          </w:tcPr>
          <w:p w14:paraId="013D3AEB"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ZL201820861063.X</w:t>
            </w:r>
          </w:p>
        </w:tc>
        <w:tc>
          <w:tcPr>
            <w:tcW w:w="1024" w:type="pct"/>
            <w:shd w:val="clear" w:color="auto" w:fill="auto"/>
            <w:vAlign w:val="center"/>
          </w:tcPr>
          <w:p w14:paraId="2509EF5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512" w:type="pct"/>
            <w:shd w:val="clear" w:color="auto" w:fill="auto"/>
            <w:vAlign w:val="center"/>
          </w:tcPr>
          <w:p w14:paraId="093079CA"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2018-05-30</w:t>
            </w:r>
          </w:p>
        </w:tc>
        <w:tc>
          <w:tcPr>
            <w:tcW w:w="427" w:type="pct"/>
            <w:shd w:val="clear" w:color="auto" w:fill="auto"/>
            <w:vAlign w:val="center"/>
          </w:tcPr>
          <w:p w14:paraId="23BCDF7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391" w:type="pct"/>
            <w:shd w:val="clear" w:color="auto" w:fill="auto"/>
            <w:vAlign w:val="center"/>
          </w:tcPr>
          <w:p w14:paraId="1FD48B7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C02929" w14:paraId="71672C1C" w14:textId="77777777">
        <w:trPr>
          <w:trHeight w:val="848"/>
          <w:jc w:val="center"/>
        </w:trPr>
        <w:tc>
          <w:tcPr>
            <w:tcW w:w="257" w:type="pct"/>
            <w:shd w:val="clear" w:color="auto" w:fill="auto"/>
            <w:vAlign w:val="center"/>
          </w:tcPr>
          <w:p w14:paraId="442371D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511" w:type="pct"/>
            <w:shd w:val="clear" w:color="auto" w:fill="auto"/>
            <w:vAlign w:val="center"/>
          </w:tcPr>
          <w:p w14:paraId="1ED410B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实用新型专利</w:t>
            </w:r>
          </w:p>
        </w:tc>
        <w:tc>
          <w:tcPr>
            <w:tcW w:w="671" w:type="pct"/>
            <w:shd w:val="clear" w:color="auto" w:fill="auto"/>
            <w:vAlign w:val="center"/>
          </w:tcPr>
          <w:p w14:paraId="4892FA40" w14:textId="77777777" w:rsidR="00C02929" w:rsidRDefault="006116D1">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干衣机门体涂胶设备及其干衣机门体生产线</w:t>
            </w:r>
          </w:p>
        </w:tc>
        <w:tc>
          <w:tcPr>
            <w:tcW w:w="1207" w:type="pct"/>
            <w:shd w:val="clear" w:color="auto" w:fill="auto"/>
            <w:vAlign w:val="center"/>
          </w:tcPr>
          <w:p w14:paraId="4997500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ZL201820822040.8</w:t>
            </w:r>
          </w:p>
        </w:tc>
        <w:tc>
          <w:tcPr>
            <w:tcW w:w="1024" w:type="pct"/>
            <w:shd w:val="clear" w:color="auto" w:fill="auto"/>
            <w:vAlign w:val="center"/>
          </w:tcPr>
          <w:p w14:paraId="4CE6E4A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512" w:type="pct"/>
            <w:shd w:val="clear" w:color="auto" w:fill="auto"/>
            <w:vAlign w:val="center"/>
          </w:tcPr>
          <w:p w14:paraId="50DEC404"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2018-05-30</w:t>
            </w:r>
          </w:p>
        </w:tc>
        <w:tc>
          <w:tcPr>
            <w:tcW w:w="427" w:type="pct"/>
            <w:shd w:val="clear" w:color="auto" w:fill="auto"/>
            <w:vAlign w:val="center"/>
          </w:tcPr>
          <w:p w14:paraId="0D12B62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391" w:type="pct"/>
            <w:shd w:val="clear" w:color="auto" w:fill="auto"/>
            <w:vAlign w:val="center"/>
          </w:tcPr>
          <w:p w14:paraId="21E1E05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C02929" w14:paraId="270D0AC0" w14:textId="77777777">
        <w:trPr>
          <w:trHeight w:val="848"/>
          <w:jc w:val="center"/>
        </w:trPr>
        <w:tc>
          <w:tcPr>
            <w:tcW w:w="257" w:type="pct"/>
            <w:shd w:val="clear" w:color="auto" w:fill="auto"/>
            <w:vAlign w:val="center"/>
          </w:tcPr>
          <w:p w14:paraId="1E14203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511" w:type="pct"/>
            <w:shd w:val="clear" w:color="auto" w:fill="auto"/>
            <w:vAlign w:val="center"/>
          </w:tcPr>
          <w:p w14:paraId="0524A32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发明专利</w:t>
            </w:r>
          </w:p>
        </w:tc>
        <w:tc>
          <w:tcPr>
            <w:tcW w:w="671" w:type="pct"/>
            <w:shd w:val="clear" w:color="auto" w:fill="auto"/>
            <w:vAlign w:val="center"/>
          </w:tcPr>
          <w:p w14:paraId="699368A7" w14:textId="77777777" w:rsidR="00C02929" w:rsidRDefault="006116D1">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一种进出水管打胶装置及其打胶方法</w:t>
            </w:r>
          </w:p>
        </w:tc>
        <w:tc>
          <w:tcPr>
            <w:tcW w:w="1207" w:type="pct"/>
            <w:shd w:val="clear" w:color="auto" w:fill="auto"/>
            <w:vAlign w:val="center"/>
          </w:tcPr>
          <w:p w14:paraId="5722C0EF" w14:textId="31CD5573" w:rsidR="00C02929" w:rsidRDefault="00F527CA">
            <w:pPr>
              <w:adjustRightInd w:val="0"/>
              <w:snapToGrid w:val="0"/>
              <w:jc w:val="center"/>
              <w:rPr>
                <w:rFonts w:ascii="Times New Roman" w:hAnsi="Times New Roman" w:cs="Times New Roman"/>
                <w:sz w:val="21"/>
                <w:szCs w:val="21"/>
              </w:rPr>
            </w:pPr>
            <w:r w:rsidRPr="00F527CA">
              <w:rPr>
                <w:rFonts w:ascii="Times New Roman" w:hAnsi="Times New Roman" w:cs="Times New Roman"/>
                <w:sz w:val="21"/>
                <w:szCs w:val="21"/>
              </w:rPr>
              <w:t>ZL201910459969.8</w:t>
            </w:r>
          </w:p>
        </w:tc>
        <w:tc>
          <w:tcPr>
            <w:tcW w:w="1024" w:type="pct"/>
            <w:shd w:val="clear" w:color="auto" w:fill="auto"/>
            <w:vAlign w:val="center"/>
          </w:tcPr>
          <w:p w14:paraId="6B506ABC" w14:textId="77777777" w:rsidR="00C02929" w:rsidRDefault="006116D1">
            <w:pPr>
              <w:adjustRightInd w:val="0"/>
              <w:snapToGrid w:val="0"/>
              <w:ind w:leftChars="-41" w:left="-98"/>
              <w:jc w:val="center"/>
              <w:rPr>
                <w:rFonts w:ascii="Times New Roman" w:hAnsi="Times New Roman" w:cs="Times New Roman"/>
                <w:sz w:val="21"/>
                <w:szCs w:val="21"/>
              </w:rPr>
            </w:pPr>
            <w:r>
              <w:rPr>
                <w:rFonts w:ascii="Times New Roman" w:hAnsi="Times New Roman" w:cs="Times New Roman" w:hint="eastAsia"/>
                <w:sz w:val="21"/>
                <w:szCs w:val="21"/>
              </w:rPr>
              <w:t>北洋天青、青岛海尔智慧电器设备有限公司</w:t>
            </w:r>
          </w:p>
        </w:tc>
        <w:tc>
          <w:tcPr>
            <w:tcW w:w="512" w:type="pct"/>
            <w:shd w:val="clear" w:color="auto" w:fill="auto"/>
            <w:vAlign w:val="center"/>
          </w:tcPr>
          <w:p w14:paraId="071BAD4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2019-05-30</w:t>
            </w:r>
          </w:p>
        </w:tc>
        <w:tc>
          <w:tcPr>
            <w:tcW w:w="427" w:type="pct"/>
            <w:shd w:val="clear" w:color="auto" w:fill="auto"/>
            <w:vAlign w:val="center"/>
          </w:tcPr>
          <w:p w14:paraId="4BD43851"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391" w:type="pct"/>
            <w:shd w:val="clear" w:color="auto" w:fill="auto"/>
            <w:vAlign w:val="center"/>
          </w:tcPr>
          <w:p w14:paraId="278150F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bl>
    <w:p w14:paraId="3A621F7F" w14:textId="77777777" w:rsidR="00C02929" w:rsidRDefault="006116D1">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2</w:t>
      </w:r>
      <w:r>
        <w:rPr>
          <w:rFonts w:ascii="Times New Roman" w:hAnsi="Times New Roman" w:cs="Times New Roman" w:hint="eastAsia"/>
          <w:b/>
        </w:rPr>
        <w:t>、截至本核查意见出具日，北洋天青拥有软件著作权</w:t>
      </w:r>
      <w:r>
        <w:rPr>
          <w:rFonts w:ascii="Times New Roman" w:hAnsi="Times New Roman" w:cs="Times New Roman" w:hint="eastAsia"/>
          <w:b/>
        </w:rPr>
        <w:t>8</w:t>
      </w:r>
      <w:r>
        <w:rPr>
          <w:rFonts w:ascii="Times New Roman" w:hAnsi="Times New Roman" w:cs="Times New Roman" w:hint="eastAsia"/>
          <w:b/>
        </w:rPr>
        <w:t>项，具体情况如下表所示：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8"/>
        <w:gridCol w:w="2255"/>
        <w:gridCol w:w="1525"/>
        <w:gridCol w:w="747"/>
        <w:gridCol w:w="741"/>
        <w:gridCol w:w="724"/>
        <w:gridCol w:w="718"/>
        <w:gridCol w:w="718"/>
        <w:gridCol w:w="656"/>
      </w:tblGrid>
      <w:tr w:rsidR="00C02929" w14:paraId="499754FA" w14:textId="77777777">
        <w:trPr>
          <w:trHeight w:val="397"/>
          <w:tblHeader/>
          <w:jc w:val="center"/>
        </w:trPr>
        <w:tc>
          <w:tcPr>
            <w:tcW w:w="257" w:type="pct"/>
            <w:vAlign w:val="center"/>
          </w:tcPr>
          <w:p w14:paraId="615F2A5E" w14:textId="77777777" w:rsidR="00C02929" w:rsidRDefault="006116D1">
            <w:pPr>
              <w:adjustRightInd w:val="0"/>
              <w:snapToGrid w:val="0"/>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序号</w:t>
            </w:r>
          </w:p>
        </w:tc>
        <w:tc>
          <w:tcPr>
            <w:tcW w:w="1323" w:type="pct"/>
            <w:vAlign w:val="center"/>
          </w:tcPr>
          <w:p w14:paraId="1AE9532F"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软件名称</w:t>
            </w:r>
          </w:p>
        </w:tc>
        <w:tc>
          <w:tcPr>
            <w:tcW w:w="895" w:type="pct"/>
            <w:vAlign w:val="center"/>
          </w:tcPr>
          <w:p w14:paraId="0428EF4B"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登记号</w:t>
            </w:r>
          </w:p>
        </w:tc>
        <w:tc>
          <w:tcPr>
            <w:tcW w:w="438" w:type="pct"/>
            <w:vAlign w:val="center"/>
          </w:tcPr>
          <w:p w14:paraId="3170D315"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著作权人</w:t>
            </w:r>
          </w:p>
        </w:tc>
        <w:tc>
          <w:tcPr>
            <w:tcW w:w="435" w:type="pct"/>
            <w:vAlign w:val="center"/>
          </w:tcPr>
          <w:p w14:paraId="505EA75E"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开发完成日期</w:t>
            </w:r>
          </w:p>
        </w:tc>
        <w:tc>
          <w:tcPr>
            <w:tcW w:w="425" w:type="pct"/>
            <w:vAlign w:val="center"/>
          </w:tcPr>
          <w:p w14:paraId="5A4799B6"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首次发表日期</w:t>
            </w:r>
          </w:p>
        </w:tc>
        <w:tc>
          <w:tcPr>
            <w:tcW w:w="421" w:type="pct"/>
            <w:vAlign w:val="center"/>
          </w:tcPr>
          <w:p w14:paraId="07E0CFC9"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取得方式</w:t>
            </w:r>
          </w:p>
        </w:tc>
        <w:tc>
          <w:tcPr>
            <w:tcW w:w="421" w:type="pct"/>
            <w:vAlign w:val="center"/>
          </w:tcPr>
          <w:p w14:paraId="568FFE60"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权利范围</w:t>
            </w:r>
          </w:p>
        </w:tc>
        <w:tc>
          <w:tcPr>
            <w:tcW w:w="386" w:type="pct"/>
            <w:vAlign w:val="center"/>
          </w:tcPr>
          <w:p w14:paraId="6D1E9718"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sz w:val="21"/>
                <w:szCs w:val="21"/>
              </w:rPr>
              <w:t>是否存在纠纷</w:t>
            </w:r>
          </w:p>
        </w:tc>
      </w:tr>
      <w:tr w:rsidR="00C02929" w14:paraId="60CBDC0C" w14:textId="77777777">
        <w:trPr>
          <w:trHeight w:val="397"/>
          <w:jc w:val="center"/>
        </w:trPr>
        <w:tc>
          <w:tcPr>
            <w:tcW w:w="257" w:type="pct"/>
            <w:vAlign w:val="center"/>
          </w:tcPr>
          <w:p w14:paraId="4DA3CBF8" w14:textId="77777777" w:rsidR="00C02929" w:rsidRDefault="006116D1">
            <w:pPr>
              <w:adjustRightInd w:val="0"/>
              <w:snapToGrid w:val="0"/>
              <w:spacing w:before="156" w:after="156"/>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323" w:type="pct"/>
            <w:vAlign w:val="center"/>
          </w:tcPr>
          <w:p w14:paraId="1FD4B812"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自动化立库管理系统</w:t>
            </w:r>
            <w:r>
              <w:rPr>
                <w:rFonts w:ascii="Times New Roman" w:hAnsi="Times New Roman" w:cs="Times New Roman" w:hint="eastAsia"/>
                <w:sz w:val="21"/>
                <w:szCs w:val="21"/>
              </w:rPr>
              <w:t>V1.0</w:t>
            </w:r>
          </w:p>
        </w:tc>
        <w:tc>
          <w:tcPr>
            <w:tcW w:w="895" w:type="pct"/>
            <w:vAlign w:val="center"/>
          </w:tcPr>
          <w:p w14:paraId="3EA64F40"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2016SR168396</w:t>
            </w:r>
          </w:p>
        </w:tc>
        <w:tc>
          <w:tcPr>
            <w:tcW w:w="438" w:type="pct"/>
            <w:vAlign w:val="center"/>
          </w:tcPr>
          <w:p w14:paraId="0D3B1362"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北洋天青</w:t>
            </w:r>
          </w:p>
        </w:tc>
        <w:tc>
          <w:tcPr>
            <w:tcW w:w="435" w:type="pct"/>
            <w:vAlign w:val="center"/>
          </w:tcPr>
          <w:p w14:paraId="2E6354DE"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2015-11-10</w:t>
            </w:r>
          </w:p>
        </w:tc>
        <w:tc>
          <w:tcPr>
            <w:tcW w:w="425" w:type="pct"/>
            <w:vAlign w:val="center"/>
          </w:tcPr>
          <w:p w14:paraId="33BBA051"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2016-01-15</w:t>
            </w:r>
          </w:p>
        </w:tc>
        <w:tc>
          <w:tcPr>
            <w:tcW w:w="421" w:type="pct"/>
            <w:vAlign w:val="center"/>
          </w:tcPr>
          <w:p w14:paraId="40020AD5"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原始取得</w:t>
            </w:r>
          </w:p>
        </w:tc>
        <w:tc>
          <w:tcPr>
            <w:tcW w:w="421" w:type="pct"/>
            <w:vAlign w:val="center"/>
          </w:tcPr>
          <w:p w14:paraId="29666B31"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全部权利</w:t>
            </w:r>
          </w:p>
        </w:tc>
        <w:tc>
          <w:tcPr>
            <w:tcW w:w="386" w:type="pct"/>
            <w:vAlign w:val="center"/>
          </w:tcPr>
          <w:p w14:paraId="592AFA29"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否</w:t>
            </w:r>
          </w:p>
        </w:tc>
      </w:tr>
      <w:tr w:rsidR="00C02929" w14:paraId="7A4D9BB0" w14:textId="77777777">
        <w:trPr>
          <w:trHeight w:val="397"/>
          <w:jc w:val="center"/>
        </w:trPr>
        <w:tc>
          <w:tcPr>
            <w:tcW w:w="257" w:type="pct"/>
            <w:vAlign w:val="center"/>
          </w:tcPr>
          <w:p w14:paraId="07C59A72" w14:textId="77777777" w:rsidR="00C02929" w:rsidRDefault="006116D1">
            <w:pPr>
              <w:adjustRightInd w:val="0"/>
              <w:snapToGrid w:val="0"/>
              <w:spacing w:before="156" w:after="156"/>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323" w:type="pct"/>
            <w:vAlign w:val="center"/>
          </w:tcPr>
          <w:p w14:paraId="42C2B1F9"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自动化物流调度控制系统</w:t>
            </w:r>
            <w:r>
              <w:rPr>
                <w:rFonts w:ascii="Times New Roman" w:hAnsi="Times New Roman" w:cs="Times New Roman" w:hint="eastAsia"/>
                <w:sz w:val="21"/>
                <w:szCs w:val="21"/>
              </w:rPr>
              <w:t>V1.0</w:t>
            </w:r>
          </w:p>
        </w:tc>
        <w:tc>
          <w:tcPr>
            <w:tcW w:w="895" w:type="pct"/>
            <w:vAlign w:val="center"/>
          </w:tcPr>
          <w:p w14:paraId="42327DE4"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2016SR168352</w:t>
            </w:r>
          </w:p>
        </w:tc>
        <w:tc>
          <w:tcPr>
            <w:tcW w:w="438" w:type="pct"/>
            <w:vAlign w:val="center"/>
          </w:tcPr>
          <w:p w14:paraId="261464E7"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北洋天青</w:t>
            </w:r>
          </w:p>
        </w:tc>
        <w:tc>
          <w:tcPr>
            <w:tcW w:w="435" w:type="pct"/>
            <w:vAlign w:val="center"/>
          </w:tcPr>
          <w:p w14:paraId="776FB9EC"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2015-11-10</w:t>
            </w:r>
          </w:p>
        </w:tc>
        <w:tc>
          <w:tcPr>
            <w:tcW w:w="425" w:type="pct"/>
            <w:vAlign w:val="center"/>
          </w:tcPr>
          <w:p w14:paraId="143C81EE"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2016-01-15</w:t>
            </w:r>
          </w:p>
        </w:tc>
        <w:tc>
          <w:tcPr>
            <w:tcW w:w="421" w:type="pct"/>
            <w:vAlign w:val="center"/>
          </w:tcPr>
          <w:p w14:paraId="70515037"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原始取得</w:t>
            </w:r>
          </w:p>
        </w:tc>
        <w:tc>
          <w:tcPr>
            <w:tcW w:w="421" w:type="pct"/>
            <w:vAlign w:val="center"/>
          </w:tcPr>
          <w:p w14:paraId="7A7F3621"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全部权利</w:t>
            </w:r>
          </w:p>
        </w:tc>
        <w:tc>
          <w:tcPr>
            <w:tcW w:w="386" w:type="pct"/>
            <w:vAlign w:val="center"/>
          </w:tcPr>
          <w:p w14:paraId="7D4C7C68"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否</w:t>
            </w:r>
          </w:p>
        </w:tc>
      </w:tr>
      <w:tr w:rsidR="00C02929" w14:paraId="6B88BD3B" w14:textId="77777777">
        <w:trPr>
          <w:trHeight w:val="397"/>
          <w:jc w:val="center"/>
        </w:trPr>
        <w:tc>
          <w:tcPr>
            <w:tcW w:w="257" w:type="pct"/>
            <w:vAlign w:val="center"/>
          </w:tcPr>
          <w:p w14:paraId="0E5A9D29" w14:textId="77777777" w:rsidR="00C02929" w:rsidRDefault="006116D1">
            <w:pPr>
              <w:adjustRightInd w:val="0"/>
              <w:snapToGrid w:val="0"/>
              <w:spacing w:before="156" w:after="156"/>
              <w:jc w:val="center"/>
              <w:rPr>
                <w:rFonts w:ascii="Times New Roman" w:hAnsi="Times New Roman" w:cs="Times New Roman"/>
                <w:color w:val="000000"/>
                <w:sz w:val="21"/>
                <w:szCs w:val="21"/>
              </w:rPr>
            </w:pPr>
            <w:r>
              <w:rPr>
                <w:rFonts w:ascii="Times New Roman" w:hAnsi="Times New Roman" w:cs="Times New Roman"/>
                <w:sz w:val="21"/>
                <w:szCs w:val="21"/>
              </w:rPr>
              <w:t>3</w:t>
            </w:r>
          </w:p>
        </w:tc>
        <w:tc>
          <w:tcPr>
            <w:tcW w:w="1323" w:type="pct"/>
            <w:vAlign w:val="center"/>
          </w:tcPr>
          <w:p w14:paraId="454BE8DD"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自动化物流智能终端管理系统</w:t>
            </w:r>
            <w:r>
              <w:rPr>
                <w:rFonts w:ascii="Times New Roman" w:hAnsi="Times New Roman" w:cs="Times New Roman" w:hint="eastAsia"/>
                <w:sz w:val="21"/>
                <w:szCs w:val="21"/>
              </w:rPr>
              <w:t>V1.0</w:t>
            </w:r>
          </w:p>
        </w:tc>
        <w:tc>
          <w:tcPr>
            <w:tcW w:w="895" w:type="pct"/>
            <w:vAlign w:val="center"/>
          </w:tcPr>
          <w:p w14:paraId="0C313E41"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2016SR168358</w:t>
            </w:r>
          </w:p>
        </w:tc>
        <w:tc>
          <w:tcPr>
            <w:tcW w:w="438" w:type="pct"/>
            <w:vAlign w:val="center"/>
          </w:tcPr>
          <w:p w14:paraId="582E0087"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北洋天青</w:t>
            </w:r>
          </w:p>
        </w:tc>
        <w:tc>
          <w:tcPr>
            <w:tcW w:w="435" w:type="pct"/>
            <w:vAlign w:val="center"/>
          </w:tcPr>
          <w:p w14:paraId="77D72EBB"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2015-11-10</w:t>
            </w:r>
          </w:p>
        </w:tc>
        <w:tc>
          <w:tcPr>
            <w:tcW w:w="425" w:type="pct"/>
            <w:vAlign w:val="center"/>
          </w:tcPr>
          <w:p w14:paraId="1528A729"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sz w:val="21"/>
                <w:szCs w:val="21"/>
              </w:rPr>
              <w:t>2016-01-15</w:t>
            </w:r>
          </w:p>
        </w:tc>
        <w:tc>
          <w:tcPr>
            <w:tcW w:w="421" w:type="pct"/>
            <w:vAlign w:val="center"/>
          </w:tcPr>
          <w:p w14:paraId="53A180AC"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原始取得</w:t>
            </w:r>
          </w:p>
        </w:tc>
        <w:tc>
          <w:tcPr>
            <w:tcW w:w="421" w:type="pct"/>
            <w:vAlign w:val="center"/>
          </w:tcPr>
          <w:p w14:paraId="75D229D6"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全部权利</w:t>
            </w:r>
          </w:p>
        </w:tc>
        <w:tc>
          <w:tcPr>
            <w:tcW w:w="386" w:type="pct"/>
            <w:vAlign w:val="center"/>
          </w:tcPr>
          <w:p w14:paraId="1A9BF167"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sz w:val="21"/>
                <w:szCs w:val="21"/>
              </w:rPr>
              <w:t>否</w:t>
            </w:r>
          </w:p>
        </w:tc>
      </w:tr>
      <w:tr w:rsidR="00C02929" w14:paraId="6D06364C" w14:textId="77777777">
        <w:trPr>
          <w:trHeight w:val="397"/>
          <w:jc w:val="center"/>
        </w:trPr>
        <w:tc>
          <w:tcPr>
            <w:tcW w:w="257" w:type="pct"/>
            <w:vAlign w:val="center"/>
          </w:tcPr>
          <w:p w14:paraId="77D05ED7" w14:textId="77777777" w:rsidR="00C02929" w:rsidRDefault="006116D1">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4</w:t>
            </w:r>
          </w:p>
        </w:tc>
        <w:tc>
          <w:tcPr>
            <w:tcW w:w="1323" w:type="pct"/>
            <w:vAlign w:val="center"/>
          </w:tcPr>
          <w:p w14:paraId="0FD3593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饮料行业</w:t>
            </w:r>
            <w:r>
              <w:rPr>
                <w:rFonts w:ascii="Times New Roman" w:hAnsi="Times New Roman" w:cs="Times New Roman" w:hint="eastAsia"/>
                <w:sz w:val="21"/>
                <w:szCs w:val="21"/>
              </w:rPr>
              <w:t>WMS</w:t>
            </w:r>
            <w:r>
              <w:rPr>
                <w:rFonts w:ascii="Times New Roman" w:hAnsi="Times New Roman" w:cs="Times New Roman" w:hint="eastAsia"/>
                <w:sz w:val="21"/>
                <w:szCs w:val="21"/>
              </w:rPr>
              <w:t>管理系统</w:t>
            </w:r>
            <w:r>
              <w:rPr>
                <w:rFonts w:ascii="Times New Roman" w:hAnsi="Times New Roman" w:cs="Times New Roman" w:hint="eastAsia"/>
                <w:sz w:val="21"/>
                <w:szCs w:val="21"/>
              </w:rPr>
              <w:t>V1.0</w:t>
            </w:r>
          </w:p>
        </w:tc>
        <w:tc>
          <w:tcPr>
            <w:tcW w:w="895" w:type="pct"/>
            <w:vAlign w:val="center"/>
          </w:tcPr>
          <w:p w14:paraId="3A12573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2018SR596275</w:t>
            </w:r>
          </w:p>
        </w:tc>
        <w:tc>
          <w:tcPr>
            <w:tcW w:w="438" w:type="pct"/>
            <w:vAlign w:val="center"/>
          </w:tcPr>
          <w:p w14:paraId="6CA9AB34"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4419E73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2018-05-17</w:t>
            </w:r>
          </w:p>
        </w:tc>
        <w:tc>
          <w:tcPr>
            <w:tcW w:w="425" w:type="pct"/>
            <w:vAlign w:val="center"/>
          </w:tcPr>
          <w:p w14:paraId="30C9316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2018-05-17</w:t>
            </w:r>
          </w:p>
        </w:tc>
        <w:tc>
          <w:tcPr>
            <w:tcW w:w="421" w:type="pct"/>
            <w:vAlign w:val="center"/>
          </w:tcPr>
          <w:p w14:paraId="317839B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6C4C1041"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3D186C79"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C02929" w14:paraId="144FB8EE" w14:textId="77777777">
        <w:trPr>
          <w:trHeight w:val="397"/>
          <w:jc w:val="center"/>
        </w:trPr>
        <w:tc>
          <w:tcPr>
            <w:tcW w:w="257" w:type="pct"/>
            <w:vAlign w:val="center"/>
          </w:tcPr>
          <w:p w14:paraId="225DE15F" w14:textId="77777777" w:rsidR="00C02929" w:rsidRDefault="006116D1">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5</w:t>
            </w:r>
          </w:p>
        </w:tc>
        <w:tc>
          <w:tcPr>
            <w:tcW w:w="1323" w:type="pct"/>
            <w:vAlign w:val="center"/>
          </w:tcPr>
          <w:p w14:paraId="069BB26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家电行业组装产线数字化平台</w:t>
            </w:r>
            <w:r>
              <w:rPr>
                <w:rFonts w:ascii="Times New Roman" w:hAnsi="Times New Roman" w:cs="Times New Roman" w:hint="eastAsia"/>
                <w:sz w:val="21"/>
                <w:szCs w:val="21"/>
              </w:rPr>
              <w:t>V1.0</w:t>
            </w:r>
          </w:p>
        </w:tc>
        <w:tc>
          <w:tcPr>
            <w:tcW w:w="895" w:type="pct"/>
            <w:vAlign w:val="center"/>
          </w:tcPr>
          <w:p w14:paraId="1E172E46"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2018SR905099</w:t>
            </w:r>
          </w:p>
        </w:tc>
        <w:tc>
          <w:tcPr>
            <w:tcW w:w="438" w:type="pct"/>
            <w:vAlign w:val="center"/>
          </w:tcPr>
          <w:p w14:paraId="7A56F0A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745AD32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2017-10-10</w:t>
            </w:r>
          </w:p>
        </w:tc>
        <w:tc>
          <w:tcPr>
            <w:tcW w:w="425" w:type="pct"/>
            <w:vAlign w:val="center"/>
          </w:tcPr>
          <w:p w14:paraId="5B62E6D1"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2017-11-15</w:t>
            </w:r>
          </w:p>
        </w:tc>
        <w:tc>
          <w:tcPr>
            <w:tcW w:w="421" w:type="pct"/>
            <w:vAlign w:val="center"/>
          </w:tcPr>
          <w:p w14:paraId="7C3DB89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66DE67F1"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7D467DA9"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C02929" w14:paraId="08B110B9" w14:textId="77777777">
        <w:trPr>
          <w:trHeight w:val="397"/>
          <w:jc w:val="center"/>
        </w:trPr>
        <w:tc>
          <w:tcPr>
            <w:tcW w:w="257" w:type="pct"/>
            <w:vAlign w:val="center"/>
          </w:tcPr>
          <w:p w14:paraId="517631BD" w14:textId="77777777" w:rsidR="00C02929" w:rsidRDefault="006116D1">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6</w:t>
            </w:r>
          </w:p>
        </w:tc>
        <w:tc>
          <w:tcPr>
            <w:tcW w:w="1323" w:type="pct"/>
            <w:vAlign w:val="center"/>
          </w:tcPr>
          <w:p w14:paraId="3E5F111A"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家电行业制造运营管理系统</w:t>
            </w:r>
            <w:r>
              <w:rPr>
                <w:rFonts w:ascii="Times New Roman" w:hAnsi="Times New Roman" w:cs="Times New Roman" w:hint="eastAsia"/>
                <w:sz w:val="21"/>
                <w:szCs w:val="21"/>
              </w:rPr>
              <w:t>V1.0</w:t>
            </w:r>
          </w:p>
        </w:tc>
        <w:tc>
          <w:tcPr>
            <w:tcW w:w="895" w:type="pct"/>
            <w:vAlign w:val="center"/>
          </w:tcPr>
          <w:p w14:paraId="601FEC6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2018SR905090</w:t>
            </w:r>
          </w:p>
        </w:tc>
        <w:tc>
          <w:tcPr>
            <w:tcW w:w="438" w:type="pct"/>
            <w:vAlign w:val="center"/>
          </w:tcPr>
          <w:p w14:paraId="43BE3DE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745ACAF8"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2016-11-10</w:t>
            </w:r>
          </w:p>
        </w:tc>
        <w:tc>
          <w:tcPr>
            <w:tcW w:w="425" w:type="pct"/>
            <w:vAlign w:val="center"/>
          </w:tcPr>
          <w:p w14:paraId="5A29816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2016-12-20</w:t>
            </w:r>
          </w:p>
        </w:tc>
        <w:tc>
          <w:tcPr>
            <w:tcW w:w="421" w:type="pct"/>
            <w:vAlign w:val="center"/>
          </w:tcPr>
          <w:p w14:paraId="0557443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7FDF962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3F8FBF7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C02929" w14:paraId="5BE9B728" w14:textId="77777777">
        <w:trPr>
          <w:trHeight w:val="397"/>
          <w:jc w:val="center"/>
        </w:trPr>
        <w:tc>
          <w:tcPr>
            <w:tcW w:w="257" w:type="pct"/>
            <w:vAlign w:val="center"/>
          </w:tcPr>
          <w:p w14:paraId="0BDB508B" w14:textId="77777777" w:rsidR="00C02929" w:rsidRDefault="006116D1">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t>7</w:t>
            </w:r>
          </w:p>
        </w:tc>
        <w:tc>
          <w:tcPr>
            <w:tcW w:w="1323" w:type="pct"/>
            <w:vAlign w:val="center"/>
          </w:tcPr>
          <w:p w14:paraId="77AD94F9"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家电行业过程控制及物流执行系统</w:t>
            </w:r>
            <w:r>
              <w:rPr>
                <w:rFonts w:ascii="Times New Roman" w:hAnsi="Times New Roman" w:cs="Times New Roman" w:hint="eastAsia"/>
                <w:sz w:val="21"/>
                <w:szCs w:val="21"/>
              </w:rPr>
              <w:t>V1.0</w:t>
            </w:r>
          </w:p>
        </w:tc>
        <w:tc>
          <w:tcPr>
            <w:tcW w:w="895" w:type="pct"/>
            <w:vAlign w:val="center"/>
          </w:tcPr>
          <w:p w14:paraId="5939024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2018SR905072</w:t>
            </w:r>
          </w:p>
        </w:tc>
        <w:tc>
          <w:tcPr>
            <w:tcW w:w="438" w:type="pct"/>
            <w:vAlign w:val="center"/>
          </w:tcPr>
          <w:p w14:paraId="7B1A28E6"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359FF318"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2016-11-10</w:t>
            </w:r>
          </w:p>
        </w:tc>
        <w:tc>
          <w:tcPr>
            <w:tcW w:w="425" w:type="pct"/>
            <w:vAlign w:val="center"/>
          </w:tcPr>
          <w:p w14:paraId="543DBD2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2016-12-20</w:t>
            </w:r>
          </w:p>
        </w:tc>
        <w:tc>
          <w:tcPr>
            <w:tcW w:w="421" w:type="pct"/>
            <w:vAlign w:val="center"/>
          </w:tcPr>
          <w:p w14:paraId="5F8E6E69"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762EABE6"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77859D1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r w:rsidR="00C02929" w14:paraId="20A05CC9" w14:textId="77777777">
        <w:trPr>
          <w:trHeight w:val="397"/>
          <w:jc w:val="center"/>
        </w:trPr>
        <w:tc>
          <w:tcPr>
            <w:tcW w:w="257" w:type="pct"/>
            <w:vAlign w:val="center"/>
          </w:tcPr>
          <w:p w14:paraId="30244DFA" w14:textId="77777777" w:rsidR="00C02929" w:rsidRDefault="006116D1">
            <w:pPr>
              <w:adjustRightInd w:val="0"/>
              <w:snapToGrid w:val="0"/>
              <w:spacing w:before="156" w:after="156"/>
              <w:jc w:val="center"/>
              <w:rPr>
                <w:rFonts w:ascii="Times New Roman" w:hAnsi="Times New Roman" w:cs="Times New Roman"/>
                <w:sz w:val="21"/>
                <w:szCs w:val="21"/>
              </w:rPr>
            </w:pPr>
            <w:r>
              <w:rPr>
                <w:rFonts w:ascii="Times New Roman" w:hAnsi="Times New Roman" w:cs="Times New Roman"/>
                <w:sz w:val="21"/>
                <w:szCs w:val="21"/>
              </w:rPr>
              <w:lastRenderedPageBreak/>
              <w:t>8</w:t>
            </w:r>
          </w:p>
        </w:tc>
        <w:tc>
          <w:tcPr>
            <w:tcW w:w="1323" w:type="pct"/>
            <w:vAlign w:val="center"/>
          </w:tcPr>
          <w:p w14:paraId="7BD03E7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新能源电池浆料车间中控系统</w:t>
            </w:r>
            <w:r>
              <w:rPr>
                <w:rFonts w:ascii="Times New Roman" w:hAnsi="Times New Roman" w:cs="Times New Roman" w:hint="eastAsia"/>
                <w:sz w:val="21"/>
                <w:szCs w:val="21"/>
              </w:rPr>
              <w:t>V1.0</w:t>
            </w:r>
          </w:p>
        </w:tc>
        <w:tc>
          <w:tcPr>
            <w:tcW w:w="895" w:type="pct"/>
            <w:vAlign w:val="center"/>
          </w:tcPr>
          <w:p w14:paraId="7EFA5D55"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2020SR0865729</w:t>
            </w:r>
          </w:p>
        </w:tc>
        <w:tc>
          <w:tcPr>
            <w:tcW w:w="438" w:type="pct"/>
            <w:vAlign w:val="center"/>
          </w:tcPr>
          <w:p w14:paraId="65DB85E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北洋天青</w:t>
            </w:r>
          </w:p>
        </w:tc>
        <w:tc>
          <w:tcPr>
            <w:tcW w:w="435" w:type="pct"/>
            <w:vAlign w:val="center"/>
          </w:tcPr>
          <w:p w14:paraId="31ADE5A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2019-12-10</w:t>
            </w:r>
          </w:p>
        </w:tc>
        <w:tc>
          <w:tcPr>
            <w:tcW w:w="425" w:type="pct"/>
            <w:vAlign w:val="center"/>
          </w:tcPr>
          <w:p w14:paraId="774F607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2020-2-25</w:t>
            </w:r>
          </w:p>
        </w:tc>
        <w:tc>
          <w:tcPr>
            <w:tcW w:w="421" w:type="pct"/>
            <w:vAlign w:val="center"/>
          </w:tcPr>
          <w:p w14:paraId="3B340B7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原始取得</w:t>
            </w:r>
          </w:p>
        </w:tc>
        <w:tc>
          <w:tcPr>
            <w:tcW w:w="421" w:type="pct"/>
            <w:vAlign w:val="center"/>
          </w:tcPr>
          <w:p w14:paraId="56A9DA6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全部权利</w:t>
            </w:r>
          </w:p>
        </w:tc>
        <w:tc>
          <w:tcPr>
            <w:tcW w:w="386" w:type="pct"/>
            <w:vAlign w:val="center"/>
          </w:tcPr>
          <w:p w14:paraId="4D2BB3DF"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否</w:t>
            </w:r>
          </w:p>
        </w:tc>
      </w:tr>
    </w:tbl>
    <w:p w14:paraId="43145EA4" w14:textId="77777777" w:rsidR="00C02929" w:rsidRDefault="006116D1">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3</w:t>
      </w:r>
      <w:r>
        <w:rPr>
          <w:rFonts w:ascii="Times New Roman" w:hAnsi="Times New Roman" w:cs="Times New Roman" w:hint="eastAsia"/>
          <w:b/>
        </w:rPr>
        <w:t>、截至本核查意见出具日，除拥有的专利技术外，北洋天青拥有的核心技术与研发成果情况如下：</w:t>
      </w:r>
    </w:p>
    <w:tbl>
      <w:tblPr>
        <w:tblW w:w="5000" w:type="pct"/>
        <w:jc w:val="center"/>
        <w:tblBorders>
          <w:top w:val="single" w:sz="12" w:space="0" w:color="auto"/>
          <w:bottom w:val="single" w:sz="12"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50"/>
        <w:gridCol w:w="556"/>
        <w:gridCol w:w="2369"/>
        <w:gridCol w:w="557"/>
        <w:gridCol w:w="4474"/>
      </w:tblGrid>
      <w:tr w:rsidR="00C02929" w14:paraId="1FF3B50F" w14:textId="77777777">
        <w:trPr>
          <w:trHeight w:val="780"/>
          <w:tblHeader/>
          <w:jc w:val="center"/>
        </w:trPr>
        <w:tc>
          <w:tcPr>
            <w:tcW w:w="211" w:type="pct"/>
            <w:shd w:val="clear" w:color="auto" w:fill="FFFFFF"/>
            <w:tcMar>
              <w:top w:w="0" w:type="dxa"/>
              <w:left w:w="0" w:type="dxa"/>
              <w:bottom w:w="0" w:type="dxa"/>
              <w:right w:w="0" w:type="dxa"/>
            </w:tcMar>
            <w:vAlign w:val="center"/>
          </w:tcPr>
          <w:p w14:paraId="7F7F8853"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color w:val="333333"/>
                <w:sz w:val="21"/>
                <w:szCs w:val="21"/>
              </w:rPr>
              <w:t>序号</w:t>
            </w:r>
          </w:p>
        </w:tc>
        <w:tc>
          <w:tcPr>
            <w:tcW w:w="335" w:type="pct"/>
            <w:shd w:val="clear" w:color="auto" w:fill="FFFFFF"/>
            <w:tcMar>
              <w:top w:w="0" w:type="dxa"/>
              <w:left w:w="0" w:type="dxa"/>
              <w:bottom w:w="0" w:type="dxa"/>
              <w:right w:w="0" w:type="dxa"/>
            </w:tcMar>
            <w:vAlign w:val="center"/>
          </w:tcPr>
          <w:p w14:paraId="5A9DD4AF"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技术</w:t>
            </w:r>
            <w:r>
              <w:rPr>
                <w:rFonts w:ascii="Times New Roman" w:hAnsi="Times New Roman" w:cs="Times New Roman" w:hint="eastAsia"/>
                <w:b/>
                <w:bCs/>
                <w:color w:val="333333"/>
                <w:sz w:val="21"/>
                <w:szCs w:val="21"/>
              </w:rPr>
              <w:t>名称</w:t>
            </w:r>
          </w:p>
        </w:tc>
        <w:tc>
          <w:tcPr>
            <w:tcW w:w="1426" w:type="pct"/>
            <w:shd w:val="clear" w:color="auto" w:fill="FFFFFF"/>
            <w:tcMar>
              <w:top w:w="0" w:type="dxa"/>
              <w:left w:w="0" w:type="dxa"/>
              <w:bottom w:w="0" w:type="dxa"/>
              <w:right w:w="0" w:type="dxa"/>
            </w:tcMar>
            <w:vAlign w:val="center"/>
          </w:tcPr>
          <w:p w14:paraId="73F51337" w14:textId="77777777" w:rsidR="00C02929" w:rsidRDefault="006116D1">
            <w:pPr>
              <w:jc w:val="center"/>
              <w:rPr>
                <w:rFonts w:ascii="Times New Roman" w:hAnsi="Times New Roman" w:cs="Times New Roman"/>
                <w:b/>
                <w:bCs/>
                <w:color w:val="333333"/>
                <w:sz w:val="21"/>
                <w:szCs w:val="21"/>
              </w:rPr>
            </w:pPr>
            <w:r>
              <w:rPr>
                <w:rFonts w:ascii="Times New Roman" w:hAnsi="Times New Roman" w:cs="Times New Roman" w:hint="eastAsia"/>
                <w:b/>
                <w:bCs/>
                <w:color w:val="333333"/>
                <w:sz w:val="21"/>
                <w:szCs w:val="21"/>
              </w:rPr>
              <w:t>技术概要</w:t>
            </w:r>
          </w:p>
        </w:tc>
        <w:tc>
          <w:tcPr>
            <w:tcW w:w="335" w:type="pct"/>
            <w:shd w:val="clear" w:color="auto" w:fill="FFFFFF"/>
            <w:tcMar>
              <w:top w:w="0" w:type="dxa"/>
              <w:left w:w="0" w:type="dxa"/>
              <w:bottom w:w="0" w:type="dxa"/>
              <w:right w:w="0" w:type="dxa"/>
            </w:tcMar>
            <w:vAlign w:val="center"/>
          </w:tcPr>
          <w:p w14:paraId="1BEF166D" w14:textId="77777777" w:rsidR="00C02929" w:rsidRDefault="006116D1">
            <w:pPr>
              <w:jc w:val="center"/>
              <w:rPr>
                <w:rFonts w:ascii="Times New Roman" w:hAnsi="Times New Roman" w:cs="Times New Roman"/>
                <w:b/>
                <w:bCs/>
                <w:color w:val="333333"/>
                <w:sz w:val="21"/>
                <w:szCs w:val="21"/>
              </w:rPr>
            </w:pPr>
            <w:r>
              <w:rPr>
                <w:rFonts w:ascii="Times New Roman" w:hAnsi="Times New Roman" w:cs="Times New Roman" w:hint="eastAsia"/>
                <w:b/>
                <w:bCs/>
                <w:color w:val="333333"/>
                <w:sz w:val="21"/>
                <w:szCs w:val="21"/>
              </w:rPr>
              <w:t>技术来源</w:t>
            </w:r>
          </w:p>
        </w:tc>
        <w:tc>
          <w:tcPr>
            <w:tcW w:w="2692" w:type="pct"/>
            <w:shd w:val="clear" w:color="auto" w:fill="FFFFFF"/>
            <w:tcMar>
              <w:top w:w="0" w:type="dxa"/>
              <w:left w:w="0" w:type="dxa"/>
              <w:bottom w:w="0" w:type="dxa"/>
              <w:right w:w="0" w:type="dxa"/>
            </w:tcMar>
            <w:vAlign w:val="center"/>
          </w:tcPr>
          <w:p w14:paraId="3E3C076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color w:val="333333"/>
                <w:sz w:val="21"/>
                <w:szCs w:val="21"/>
              </w:rPr>
              <w:t>形成过程</w:t>
            </w:r>
          </w:p>
        </w:tc>
      </w:tr>
      <w:tr w:rsidR="00C02929" w14:paraId="5BD1D690" w14:textId="77777777">
        <w:trPr>
          <w:trHeight w:val="1673"/>
          <w:jc w:val="center"/>
        </w:trPr>
        <w:tc>
          <w:tcPr>
            <w:tcW w:w="211" w:type="pct"/>
            <w:shd w:val="clear" w:color="auto" w:fill="FFFFFF"/>
            <w:tcMar>
              <w:top w:w="0" w:type="dxa"/>
              <w:left w:w="0" w:type="dxa"/>
              <w:bottom w:w="0" w:type="dxa"/>
              <w:right w:w="0" w:type="dxa"/>
            </w:tcMar>
            <w:vAlign w:val="center"/>
          </w:tcPr>
          <w:p w14:paraId="6375C95A"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1</w:t>
            </w:r>
          </w:p>
        </w:tc>
        <w:tc>
          <w:tcPr>
            <w:tcW w:w="335" w:type="pct"/>
            <w:shd w:val="clear" w:color="auto" w:fill="FFFFFF"/>
            <w:tcMar>
              <w:top w:w="0" w:type="dxa"/>
              <w:left w:w="0" w:type="dxa"/>
              <w:bottom w:w="0" w:type="dxa"/>
              <w:right w:w="0" w:type="dxa"/>
            </w:tcMar>
            <w:vAlign w:val="center"/>
          </w:tcPr>
          <w:p w14:paraId="38BA77C8"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干衣机内筒及门体涂胶工艺</w:t>
            </w:r>
          </w:p>
        </w:tc>
        <w:tc>
          <w:tcPr>
            <w:tcW w:w="1426" w:type="pct"/>
            <w:shd w:val="clear" w:color="auto" w:fill="FFFFFF"/>
            <w:tcMar>
              <w:top w:w="0" w:type="dxa"/>
              <w:left w:w="0" w:type="dxa"/>
              <w:bottom w:w="0" w:type="dxa"/>
              <w:right w:w="0" w:type="dxa"/>
            </w:tcMar>
            <w:vAlign w:val="center"/>
          </w:tcPr>
          <w:p w14:paraId="649217AF" w14:textId="77777777" w:rsidR="00C02929" w:rsidRDefault="006116D1">
            <w:pPr>
              <w:jc w:val="both"/>
              <w:rPr>
                <w:rFonts w:ascii="Times New Roman" w:hAnsi="Times New Roman" w:cs="Times New Roman"/>
                <w:b/>
                <w:sz w:val="21"/>
                <w:szCs w:val="21"/>
              </w:rPr>
            </w:pPr>
            <w:r>
              <w:rPr>
                <w:rFonts w:ascii="Times New Roman" w:hAnsi="Times New Roman" w:cs="Times New Roman" w:hint="eastAsia"/>
                <w:sz w:val="21"/>
                <w:szCs w:val="21"/>
              </w:rPr>
              <w:t>采用自动识别产品条码获取涂胶配方的方式，配合机器人及胶枪实现内筒及门体物料的自动涂胶动作，并根据配方自动计算注胶量</w:t>
            </w:r>
          </w:p>
        </w:tc>
        <w:tc>
          <w:tcPr>
            <w:tcW w:w="335" w:type="pct"/>
            <w:shd w:val="clear" w:color="auto" w:fill="FFFFFF"/>
            <w:tcMar>
              <w:top w:w="0" w:type="dxa"/>
              <w:left w:w="0" w:type="dxa"/>
              <w:bottom w:w="0" w:type="dxa"/>
              <w:right w:w="0" w:type="dxa"/>
            </w:tcMar>
            <w:vAlign w:val="center"/>
          </w:tcPr>
          <w:p w14:paraId="53A38138"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42A129B8"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3BCA52A8"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北洋天青结合干衣机总装线设计，基于对产品工艺的深入了解，把握客户对产品品质的需求，在开发产品时，不断改善相关工艺，最终研发形成此技术，包含门体涂胶的工艺技术及内筒涂胶的工艺技术。</w:t>
            </w:r>
          </w:p>
        </w:tc>
      </w:tr>
      <w:tr w:rsidR="00C02929" w14:paraId="10C83699" w14:textId="77777777">
        <w:trPr>
          <w:trHeight w:val="1615"/>
          <w:jc w:val="center"/>
        </w:trPr>
        <w:tc>
          <w:tcPr>
            <w:tcW w:w="211" w:type="pct"/>
            <w:shd w:val="clear" w:color="auto" w:fill="FFFFFF"/>
            <w:tcMar>
              <w:top w:w="0" w:type="dxa"/>
              <w:left w:w="0" w:type="dxa"/>
              <w:bottom w:w="0" w:type="dxa"/>
              <w:right w:w="0" w:type="dxa"/>
            </w:tcMar>
            <w:vAlign w:val="center"/>
          </w:tcPr>
          <w:p w14:paraId="1C2142DB"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w:t>
            </w:r>
          </w:p>
        </w:tc>
        <w:tc>
          <w:tcPr>
            <w:tcW w:w="335" w:type="pct"/>
            <w:shd w:val="clear" w:color="auto" w:fill="FFFFFF"/>
            <w:tcMar>
              <w:top w:w="0" w:type="dxa"/>
              <w:left w:w="0" w:type="dxa"/>
              <w:bottom w:w="0" w:type="dxa"/>
              <w:right w:w="0" w:type="dxa"/>
            </w:tcMar>
            <w:vAlign w:val="center"/>
          </w:tcPr>
          <w:p w14:paraId="430E9EA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搬运码垛技术</w:t>
            </w:r>
          </w:p>
        </w:tc>
        <w:tc>
          <w:tcPr>
            <w:tcW w:w="1426" w:type="pct"/>
            <w:shd w:val="clear" w:color="auto" w:fill="FFFFFF"/>
            <w:tcMar>
              <w:top w:w="0" w:type="dxa"/>
              <w:left w:w="0" w:type="dxa"/>
              <w:bottom w:w="0" w:type="dxa"/>
              <w:right w:w="0" w:type="dxa"/>
            </w:tcMar>
            <w:vAlign w:val="center"/>
          </w:tcPr>
          <w:p w14:paraId="22E9575E"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一种新型结构的圆柱坐标机器人，采用一种双竖直滑座的腰部装置，开发了一种新型码垛机器人结构，增大了码垛机器人负载及稳定性</w:t>
            </w:r>
          </w:p>
        </w:tc>
        <w:tc>
          <w:tcPr>
            <w:tcW w:w="335" w:type="pct"/>
            <w:shd w:val="clear" w:color="auto" w:fill="FFFFFF"/>
            <w:tcMar>
              <w:top w:w="0" w:type="dxa"/>
              <w:left w:w="0" w:type="dxa"/>
              <w:bottom w:w="0" w:type="dxa"/>
              <w:right w:w="0" w:type="dxa"/>
            </w:tcMar>
            <w:vAlign w:val="center"/>
          </w:tcPr>
          <w:p w14:paraId="6CC97DCC"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08EBF459"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5F09A9E9"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北洋天青根据对工业机器人各轴的深入研究，研究新型结构的圆柱坐标系机器人发展需求，结合北洋天青软件信息化技术，对不同产品的形状以及需要码垛的数量和垛型的了解，研发了一种能适应多产品型号的非标码垛机器人，增强了自主开发的非标码垛机器人的适应性，形成了一种码垛的独有技术，为后续机器人码垛的编程算法打下基础。</w:t>
            </w:r>
          </w:p>
        </w:tc>
      </w:tr>
      <w:tr w:rsidR="00C02929" w14:paraId="68E2EDFD" w14:textId="77777777">
        <w:trPr>
          <w:trHeight w:val="2180"/>
          <w:jc w:val="center"/>
        </w:trPr>
        <w:tc>
          <w:tcPr>
            <w:tcW w:w="211" w:type="pct"/>
            <w:shd w:val="clear" w:color="auto" w:fill="FFFFFF"/>
            <w:tcMar>
              <w:top w:w="0" w:type="dxa"/>
              <w:left w:w="0" w:type="dxa"/>
              <w:bottom w:w="0" w:type="dxa"/>
              <w:right w:w="0" w:type="dxa"/>
            </w:tcMar>
            <w:vAlign w:val="center"/>
          </w:tcPr>
          <w:p w14:paraId="6BE35516"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3</w:t>
            </w:r>
          </w:p>
        </w:tc>
        <w:tc>
          <w:tcPr>
            <w:tcW w:w="335" w:type="pct"/>
            <w:shd w:val="clear" w:color="auto" w:fill="FFFFFF"/>
            <w:tcMar>
              <w:top w:w="0" w:type="dxa"/>
              <w:left w:w="0" w:type="dxa"/>
              <w:bottom w:w="0" w:type="dxa"/>
              <w:right w:w="0" w:type="dxa"/>
            </w:tcMar>
            <w:vAlign w:val="center"/>
          </w:tcPr>
          <w:p w14:paraId="0B440E1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配重块安装技术</w:t>
            </w:r>
          </w:p>
        </w:tc>
        <w:tc>
          <w:tcPr>
            <w:tcW w:w="1426" w:type="pct"/>
            <w:shd w:val="clear" w:color="auto" w:fill="FFFFFF"/>
            <w:tcMar>
              <w:top w:w="0" w:type="dxa"/>
              <w:left w:w="0" w:type="dxa"/>
              <w:bottom w:w="0" w:type="dxa"/>
              <w:right w:w="0" w:type="dxa"/>
            </w:tcMar>
            <w:vAlign w:val="center"/>
          </w:tcPr>
          <w:p w14:paraId="4CDDBE81"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通过视觉及机器人的高效结合，实现配重块的自动识别，自动定位及安装，降低劳动强度，提升装配自动化及智能化</w:t>
            </w:r>
          </w:p>
        </w:tc>
        <w:tc>
          <w:tcPr>
            <w:tcW w:w="335" w:type="pct"/>
            <w:shd w:val="clear" w:color="auto" w:fill="FFFFFF"/>
            <w:tcMar>
              <w:top w:w="0" w:type="dxa"/>
              <w:left w:w="0" w:type="dxa"/>
              <w:bottom w:w="0" w:type="dxa"/>
              <w:right w:w="0" w:type="dxa"/>
            </w:tcMar>
            <w:vAlign w:val="center"/>
          </w:tcPr>
          <w:p w14:paraId="71E24A81"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1151296F"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71AF3075"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配重块是洗衣机中必备的物料，行业上料均为人工上料，自动化程度很低，主要需要解决产品定位和配种块定位问题。北洋天青根据行业实际需求，结合</w:t>
            </w:r>
            <w:r>
              <w:rPr>
                <w:rFonts w:ascii="Times New Roman" w:hAnsi="Times New Roman" w:cs="Times New Roman" w:hint="eastAsia"/>
                <w:sz w:val="21"/>
                <w:szCs w:val="21"/>
              </w:rPr>
              <w:t>CCD</w:t>
            </w:r>
            <w:r>
              <w:rPr>
                <w:rFonts w:ascii="Times New Roman" w:hAnsi="Times New Roman" w:cs="Times New Roman" w:hint="eastAsia"/>
                <w:sz w:val="21"/>
                <w:szCs w:val="21"/>
              </w:rPr>
              <w:t>视觉技术和机器人技术，研发了配重块识别、定位、安装技术，能够在生产过程中进行自动装配，实现机器人替代人工上料。</w:t>
            </w:r>
          </w:p>
        </w:tc>
      </w:tr>
      <w:tr w:rsidR="00C02929" w14:paraId="690CD73F" w14:textId="77777777">
        <w:trPr>
          <w:trHeight w:val="284"/>
          <w:jc w:val="center"/>
        </w:trPr>
        <w:tc>
          <w:tcPr>
            <w:tcW w:w="211" w:type="pct"/>
            <w:shd w:val="clear" w:color="auto" w:fill="FFFFFF"/>
            <w:tcMar>
              <w:top w:w="0" w:type="dxa"/>
              <w:left w:w="0" w:type="dxa"/>
              <w:bottom w:w="0" w:type="dxa"/>
              <w:right w:w="0" w:type="dxa"/>
            </w:tcMar>
            <w:vAlign w:val="center"/>
          </w:tcPr>
          <w:p w14:paraId="64D0FBEB"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4</w:t>
            </w:r>
          </w:p>
        </w:tc>
        <w:tc>
          <w:tcPr>
            <w:tcW w:w="335" w:type="pct"/>
            <w:shd w:val="clear" w:color="auto" w:fill="FFFFFF"/>
            <w:tcMar>
              <w:top w:w="0" w:type="dxa"/>
              <w:left w:w="0" w:type="dxa"/>
              <w:bottom w:w="0" w:type="dxa"/>
              <w:right w:w="0" w:type="dxa"/>
            </w:tcMar>
            <w:vAlign w:val="center"/>
          </w:tcPr>
          <w:p w14:paraId="405D4D9F" w14:textId="77777777" w:rsidR="00C02929" w:rsidRDefault="006116D1">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多通道高速串行数字视频信号切换采集</w:t>
            </w:r>
            <w:r>
              <w:rPr>
                <w:rFonts w:ascii="Times New Roman" w:hAnsi="Times New Roman" w:cs="Times New Roman" w:hint="eastAsia"/>
                <w:sz w:val="21"/>
                <w:szCs w:val="21"/>
              </w:rPr>
              <w:t>技术</w:t>
            </w:r>
          </w:p>
        </w:tc>
        <w:tc>
          <w:tcPr>
            <w:tcW w:w="1426" w:type="pct"/>
            <w:shd w:val="clear" w:color="auto" w:fill="FFFFFF"/>
            <w:tcMar>
              <w:top w:w="0" w:type="dxa"/>
              <w:left w:w="0" w:type="dxa"/>
              <w:bottom w:w="0" w:type="dxa"/>
              <w:right w:w="0" w:type="dxa"/>
            </w:tcMar>
            <w:vAlign w:val="center"/>
          </w:tcPr>
          <w:p w14:paraId="5677B223"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通过多通道视频信号切换设备及软件系统，实现视频信号的切换，提升测试效率、降低生产成本</w:t>
            </w:r>
          </w:p>
        </w:tc>
        <w:tc>
          <w:tcPr>
            <w:tcW w:w="335" w:type="pct"/>
            <w:shd w:val="clear" w:color="auto" w:fill="FFFFFF"/>
            <w:tcMar>
              <w:top w:w="0" w:type="dxa"/>
              <w:left w:w="0" w:type="dxa"/>
              <w:bottom w:w="0" w:type="dxa"/>
              <w:right w:w="0" w:type="dxa"/>
            </w:tcMar>
            <w:vAlign w:val="center"/>
          </w:tcPr>
          <w:p w14:paraId="48F9DFB3"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3507C0F3"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05820BD6"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原有技术无法进行多通道高速串行数字视频信号的切换，进而导致了现有的测试系统在对电路板进行测试时无法兼顾测试成本和测试效率。北洋天青为解决该技术问题，自主研发了该视频信号切换技术，实现控制多路并行数字视频信号中的一路并行数字视频信号输出，并应用于电路板测试系统中，通过使用解码芯片和切换芯片等多通道高速串行数字视频信号切换设备，解决了原有技术中无法进行多通道高速串行数字视频信号切换的问题。</w:t>
            </w:r>
          </w:p>
        </w:tc>
      </w:tr>
      <w:tr w:rsidR="00C02929" w14:paraId="64606A3A" w14:textId="77777777">
        <w:trPr>
          <w:trHeight w:val="2180"/>
          <w:jc w:val="center"/>
        </w:trPr>
        <w:tc>
          <w:tcPr>
            <w:tcW w:w="211" w:type="pct"/>
            <w:shd w:val="clear" w:color="auto" w:fill="FFFFFF"/>
            <w:tcMar>
              <w:top w:w="0" w:type="dxa"/>
              <w:left w:w="0" w:type="dxa"/>
              <w:bottom w:w="0" w:type="dxa"/>
              <w:right w:w="0" w:type="dxa"/>
            </w:tcMar>
            <w:vAlign w:val="center"/>
          </w:tcPr>
          <w:p w14:paraId="2CAA892B"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lastRenderedPageBreak/>
              <w:t>5</w:t>
            </w:r>
          </w:p>
        </w:tc>
        <w:tc>
          <w:tcPr>
            <w:tcW w:w="335" w:type="pct"/>
            <w:shd w:val="clear" w:color="auto" w:fill="FFFFFF"/>
            <w:tcMar>
              <w:top w:w="0" w:type="dxa"/>
              <w:left w:w="0" w:type="dxa"/>
              <w:bottom w:w="0" w:type="dxa"/>
              <w:right w:w="0" w:type="dxa"/>
            </w:tcMar>
            <w:vAlign w:val="center"/>
          </w:tcPr>
          <w:p w14:paraId="255D0513" w14:textId="77777777" w:rsidR="00C02929" w:rsidRDefault="006116D1">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单主机多工位测试</w:t>
            </w:r>
            <w:r>
              <w:rPr>
                <w:rFonts w:ascii="Times New Roman" w:hAnsi="Times New Roman" w:cs="Times New Roman" w:hint="eastAsia"/>
                <w:sz w:val="21"/>
                <w:szCs w:val="21"/>
              </w:rPr>
              <w:t>技术</w:t>
            </w:r>
          </w:p>
        </w:tc>
        <w:tc>
          <w:tcPr>
            <w:tcW w:w="1426" w:type="pct"/>
            <w:shd w:val="clear" w:color="auto" w:fill="FFFFFF"/>
            <w:tcMar>
              <w:top w:w="0" w:type="dxa"/>
              <w:left w:w="0" w:type="dxa"/>
              <w:bottom w:w="0" w:type="dxa"/>
              <w:right w:w="0" w:type="dxa"/>
            </w:tcMar>
            <w:vAlign w:val="center"/>
          </w:tcPr>
          <w:p w14:paraId="7C986431"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通过测试上位系统及测试板卡的应用，实现单主机同时进行多工位测试技术</w:t>
            </w:r>
          </w:p>
        </w:tc>
        <w:tc>
          <w:tcPr>
            <w:tcW w:w="335" w:type="pct"/>
            <w:shd w:val="clear" w:color="auto" w:fill="FFFFFF"/>
            <w:tcMar>
              <w:top w:w="0" w:type="dxa"/>
              <w:left w:w="0" w:type="dxa"/>
              <w:bottom w:w="0" w:type="dxa"/>
              <w:right w:w="0" w:type="dxa"/>
            </w:tcMar>
            <w:vAlign w:val="center"/>
          </w:tcPr>
          <w:p w14:paraId="7D48B823"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69CD1F28"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7D3138E3" w14:textId="77777777" w:rsidR="00C02929" w:rsidRDefault="006116D1">
            <w:pPr>
              <w:jc w:val="both"/>
              <w:rPr>
                <w:rFonts w:ascii="Times New Roman" w:hAnsi="Times New Roman" w:cs="Times New Roman"/>
                <w:sz w:val="21"/>
                <w:szCs w:val="21"/>
                <w:lang w:bidi="ar"/>
              </w:rPr>
            </w:pPr>
            <w:r>
              <w:rPr>
                <w:rFonts w:ascii="Times New Roman" w:hAnsi="Times New Roman" w:cs="Times New Roman" w:hint="eastAsia"/>
                <w:sz w:val="21"/>
                <w:szCs w:val="21"/>
                <w:lang w:bidi="ar"/>
              </w:rPr>
              <w:t>目</w:t>
            </w:r>
            <w:r>
              <w:rPr>
                <w:rFonts w:ascii="Times New Roman" w:hAnsi="Times New Roman" w:cs="Times New Roman" w:hint="eastAsia"/>
                <w:sz w:val="21"/>
                <w:szCs w:val="21"/>
              </w:rPr>
              <w:t>前在电视、空调、冰箱等产品电路板或对应主机测试中，通过单主机独立测试的方式，在一定程度上降低了测试及生产效率，北洋天青为解决这一问题，通过对测试原理的深入理解，改进测试系统平台，自主研发该测试技术，实现单主机多工位的测试技术。通过</w:t>
            </w:r>
            <w:r>
              <w:rPr>
                <w:rFonts w:ascii="Times New Roman" w:hAnsi="Times New Roman" w:cs="Times New Roman" w:hint="eastAsia"/>
                <w:sz w:val="21"/>
                <w:szCs w:val="21"/>
              </w:rPr>
              <w:t>USB</w:t>
            </w:r>
            <w:r>
              <w:rPr>
                <w:rFonts w:ascii="Times New Roman" w:hAnsi="Times New Roman" w:cs="Times New Roman" w:hint="eastAsia"/>
                <w:sz w:val="21"/>
                <w:szCs w:val="21"/>
              </w:rPr>
              <w:t>或串口等端口结合测试软件，达到多物料同时检测的目的，并在测试过程中通过测试步骤及相关参数，合理分配测试资源，提升测试效率。</w:t>
            </w:r>
          </w:p>
        </w:tc>
      </w:tr>
      <w:tr w:rsidR="00C02929" w14:paraId="1D08AF63" w14:textId="77777777">
        <w:trPr>
          <w:trHeight w:val="2180"/>
          <w:jc w:val="center"/>
        </w:trPr>
        <w:tc>
          <w:tcPr>
            <w:tcW w:w="211" w:type="pct"/>
            <w:shd w:val="clear" w:color="auto" w:fill="FFFFFF"/>
            <w:tcMar>
              <w:top w:w="0" w:type="dxa"/>
              <w:left w:w="0" w:type="dxa"/>
              <w:bottom w:w="0" w:type="dxa"/>
              <w:right w:w="0" w:type="dxa"/>
            </w:tcMar>
            <w:vAlign w:val="center"/>
          </w:tcPr>
          <w:p w14:paraId="61D82662"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6</w:t>
            </w:r>
          </w:p>
        </w:tc>
        <w:tc>
          <w:tcPr>
            <w:tcW w:w="335" w:type="pct"/>
            <w:shd w:val="clear" w:color="auto" w:fill="FFFFFF"/>
            <w:tcMar>
              <w:top w:w="0" w:type="dxa"/>
              <w:left w:w="0" w:type="dxa"/>
              <w:bottom w:w="0" w:type="dxa"/>
              <w:right w:w="0" w:type="dxa"/>
            </w:tcMar>
            <w:vAlign w:val="center"/>
          </w:tcPr>
          <w:p w14:paraId="3C456C59" w14:textId="77777777" w:rsidR="00C02929" w:rsidRDefault="006116D1">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电视主板测试技术</w:t>
            </w:r>
          </w:p>
        </w:tc>
        <w:tc>
          <w:tcPr>
            <w:tcW w:w="1426" w:type="pct"/>
            <w:shd w:val="clear" w:color="auto" w:fill="FFFFFF"/>
            <w:tcMar>
              <w:top w:w="0" w:type="dxa"/>
              <w:left w:w="0" w:type="dxa"/>
              <w:bottom w:w="0" w:type="dxa"/>
              <w:right w:w="0" w:type="dxa"/>
            </w:tcMar>
            <w:vAlign w:val="center"/>
          </w:tcPr>
          <w:p w14:paraId="4E5A57A4"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根据测试图像和音频数据，确定待测电视主板的测试结果。本技术提供的电视主板测试方法、装置、系统及测试上位机，能够自动确定电视主板的测试结果，实现了电视主板的全自动测试</w:t>
            </w:r>
          </w:p>
        </w:tc>
        <w:tc>
          <w:tcPr>
            <w:tcW w:w="335" w:type="pct"/>
            <w:shd w:val="clear" w:color="auto" w:fill="FFFFFF"/>
            <w:tcMar>
              <w:top w:w="0" w:type="dxa"/>
              <w:left w:w="0" w:type="dxa"/>
              <w:bottom w:w="0" w:type="dxa"/>
              <w:right w:w="0" w:type="dxa"/>
            </w:tcMar>
            <w:vAlign w:val="center"/>
          </w:tcPr>
          <w:p w14:paraId="7AE10917"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2626A162"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3309E0FA" w14:textId="77777777" w:rsidR="00C02929" w:rsidRDefault="006116D1">
            <w:pPr>
              <w:spacing w:beforeAutospacing="1" w:after="100" w:afterAutospacing="1"/>
              <w:jc w:val="both"/>
              <w:rPr>
                <w:rFonts w:ascii="Times New Roman" w:hAnsi="Times New Roman" w:cs="Times New Roman"/>
                <w:sz w:val="21"/>
                <w:szCs w:val="21"/>
                <w:lang w:bidi="ar"/>
              </w:rPr>
            </w:pPr>
            <w:r>
              <w:rPr>
                <w:rFonts w:ascii="Times New Roman" w:hAnsi="Times New Roman" w:cs="Times New Roman" w:hint="eastAsia"/>
                <w:sz w:val="21"/>
                <w:szCs w:val="21"/>
                <w:lang w:bidi="ar"/>
              </w:rPr>
              <w:t>行业对电视主板测试多采用人工方式测试，北洋天青为提高对电视主板测试效率和品质，在自动化测试技术领域，自主研发了应用于测试上位机的电视主板测试方法。主要为获取待测电视主板的测试数据，该测试数据包括图像数据和音频数据；对该图像数据进行图像还原，得到待测电视主板输出的测试图像。该技术是一种全自动测试方法，与现有的人工方式相比，提高了测试效率，也提高了测试结果的准确性和可靠性。</w:t>
            </w:r>
          </w:p>
        </w:tc>
      </w:tr>
      <w:tr w:rsidR="00C02929" w14:paraId="555992B0" w14:textId="77777777">
        <w:trPr>
          <w:trHeight w:val="3107"/>
          <w:jc w:val="center"/>
        </w:trPr>
        <w:tc>
          <w:tcPr>
            <w:tcW w:w="211" w:type="pct"/>
            <w:shd w:val="clear" w:color="auto" w:fill="FFFFFF"/>
            <w:tcMar>
              <w:top w:w="0" w:type="dxa"/>
              <w:left w:w="0" w:type="dxa"/>
              <w:bottom w:w="0" w:type="dxa"/>
              <w:right w:w="0" w:type="dxa"/>
            </w:tcMar>
            <w:vAlign w:val="center"/>
          </w:tcPr>
          <w:p w14:paraId="713D3743"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7</w:t>
            </w:r>
          </w:p>
        </w:tc>
        <w:tc>
          <w:tcPr>
            <w:tcW w:w="335" w:type="pct"/>
            <w:shd w:val="clear" w:color="auto" w:fill="FFFFFF"/>
            <w:tcMar>
              <w:top w:w="0" w:type="dxa"/>
              <w:left w:w="0" w:type="dxa"/>
              <w:bottom w:w="0" w:type="dxa"/>
              <w:right w:w="0" w:type="dxa"/>
            </w:tcMar>
            <w:vAlign w:val="center"/>
          </w:tcPr>
          <w:p w14:paraId="547DFE6C" w14:textId="77777777" w:rsidR="00C02929" w:rsidRDefault="006116D1">
            <w:pPr>
              <w:jc w:val="center"/>
              <w:rPr>
                <w:rFonts w:ascii="Times New Roman" w:hAnsi="Times New Roman" w:cs="Times New Roman"/>
                <w:color w:val="333333"/>
                <w:sz w:val="21"/>
                <w:szCs w:val="21"/>
                <w:lang w:bidi="ar"/>
              </w:rPr>
            </w:pPr>
            <w:r>
              <w:rPr>
                <w:rFonts w:ascii="Times New Roman" w:hAnsi="Times New Roman" w:cs="Times New Roman" w:hint="eastAsia"/>
                <w:color w:val="333333"/>
                <w:sz w:val="21"/>
                <w:szCs w:val="21"/>
                <w:lang w:bidi="ar"/>
              </w:rPr>
              <w:t>电路板测试技术</w:t>
            </w:r>
          </w:p>
        </w:tc>
        <w:tc>
          <w:tcPr>
            <w:tcW w:w="1426" w:type="pct"/>
            <w:shd w:val="clear" w:color="auto" w:fill="FFFFFF"/>
            <w:tcMar>
              <w:top w:w="0" w:type="dxa"/>
              <w:left w:w="0" w:type="dxa"/>
              <w:bottom w:w="0" w:type="dxa"/>
              <w:right w:w="0" w:type="dxa"/>
            </w:tcMar>
            <w:vAlign w:val="center"/>
          </w:tcPr>
          <w:p w14:paraId="00966375"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color w:val="333333"/>
                <w:sz w:val="21"/>
                <w:szCs w:val="21"/>
                <w:shd w:val="clear" w:color="auto" w:fill="FFFFFF"/>
              </w:rPr>
              <w:t>该技术包括：获取当前选取的测试夹具上传的待测试电路板的标识；根据该标识确定待测试电路板对应的目标测试软件；采用目标测试软件对待测试电路板进行测试</w:t>
            </w:r>
          </w:p>
        </w:tc>
        <w:tc>
          <w:tcPr>
            <w:tcW w:w="335" w:type="pct"/>
            <w:shd w:val="clear" w:color="auto" w:fill="FFFFFF"/>
            <w:tcMar>
              <w:top w:w="0" w:type="dxa"/>
              <w:left w:w="0" w:type="dxa"/>
              <w:bottom w:w="0" w:type="dxa"/>
              <w:right w:w="0" w:type="dxa"/>
            </w:tcMar>
            <w:vAlign w:val="center"/>
          </w:tcPr>
          <w:p w14:paraId="24723A66"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4D372C0E"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58A1E1A0" w14:textId="77777777" w:rsidR="00C02929" w:rsidRDefault="006116D1">
            <w:pPr>
              <w:spacing w:before="100" w:beforeAutospacing="1" w:after="100" w:afterAutospacing="1"/>
              <w:jc w:val="both"/>
              <w:rPr>
                <w:rFonts w:ascii="Times New Roman" w:hAnsi="Times New Roman" w:cs="Times New Roman"/>
                <w:sz w:val="21"/>
                <w:szCs w:val="21"/>
                <w:lang w:bidi="ar"/>
              </w:rPr>
            </w:pPr>
            <w:r>
              <w:rPr>
                <w:rFonts w:ascii="Times New Roman" w:hAnsi="Times New Roman" w:cs="Times New Roman" w:hint="eastAsia"/>
                <w:sz w:val="21"/>
                <w:szCs w:val="21"/>
                <w:lang w:bidi="ar"/>
              </w:rPr>
              <w:t>行业对电路板的测试基本采用人工识别测试板选择对应测试程序软件，测试费时费力。为解决这一问题，北洋天青自主研发了此测试技术，提供了一种电路板测试方法、装置、系统及测试上位机，涉及自动化测试技术领域。该方法应用于测试上位机，该测试上位机包括多个用于测试电路板的测试软件，通过识别自动选择对应软件，采用目标测试软件对待测试电路板进行测试。由于测试夹具并不针对某一特定的电路板，因此可以根据需要在任意时刻选择任意一个测试夹具的电路板进行测试，提高了测试方式的灵活性。此外多个测试夹具可以通过一个测试上位机实现电路板测试，节约了测试资源。</w:t>
            </w:r>
          </w:p>
        </w:tc>
      </w:tr>
      <w:tr w:rsidR="00C02929" w14:paraId="46EDD3E6" w14:textId="77777777">
        <w:trPr>
          <w:trHeight w:val="2180"/>
          <w:jc w:val="center"/>
        </w:trPr>
        <w:tc>
          <w:tcPr>
            <w:tcW w:w="211" w:type="pct"/>
            <w:shd w:val="clear" w:color="auto" w:fill="FFFFFF"/>
            <w:tcMar>
              <w:top w:w="0" w:type="dxa"/>
              <w:left w:w="0" w:type="dxa"/>
              <w:bottom w:w="0" w:type="dxa"/>
              <w:right w:w="0" w:type="dxa"/>
            </w:tcMar>
            <w:vAlign w:val="center"/>
          </w:tcPr>
          <w:p w14:paraId="685D426D"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8</w:t>
            </w:r>
          </w:p>
        </w:tc>
        <w:tc>
          <w:tcPr>
            <w:tcW w:w="335" w:type="pct"/>
            <w:shd w:val="clear" w:color="auto" w:fill="FFFFFF"/>
            <w:tcMar>
              <w:top w:w="0" w:type="dxa"/>
              <w:left w:w="0" w:type="dxa"/>
              <w:bottom w:w="0" w:type="dxa"/>
              <w:right w:w="0" w:type="dxa"/>
            </w:tcMar>
            <w:vAlign w:val="center"/>
          </w:tcPr>
          <w:p w14:paraId="5CCA3D4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自动化仓储物流系统</w:t>
            </w:r>
          </w:p>
        </w:tc>
        <w:tc>
          <w:tcPr>
            <w:tcW w:w="1426" w:type="pct"/>
            <w:shd w:val="clear" w:color="auto" w:fill="FFFFFF"/>
            <w:tcMar>
              <w:top w:w="0" w:type="dxa"/>
              <w:left w:w="0" w:type="dxa"/>
              <w:bottom w:w="0" w:type="dxa"/>
              <w:right w:w="0" w:type="dxa"/>
            </w:tcMar>
            <w:vAlign w:val="center"/>
          </w:tcPr>
          <w:p w14:paraId="559E3D16"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系统通过多模式、动态化计算方式，提升仓库作业率及准确率及库存周转效率，实现立体仓库透明化、实时化及数字化</w:t>
            </w:r>
          </w:p>
        </w:tc>
        <w:tc>
          <w:tcPr>
            <w:tcW w:w="335" w:type="pct"/>
            <w:shd w:val="clear" w:color="auto" w:fill="FFFFFF"/>
            <w:tcMar>
              <w:top w:w="0" w:type="dxa"/>
              <w:left w:w="0" w:type="dxa"/>
              <w:bottom w:w="0" w:type="dxa"/>
              <w:right w:w="0" w:type="dxa"/>
            </w:tcMar>
            <w:vAlign w:val="center"/>
          </w:tcPr>
          <w:p w14:paraId="329A62D7"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67CE9085"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tcMar>
              <w:top w:w="0" w:type="dxa"/>
              <w:left w:w="0" w:type="dxa"/>
              <w:bottom w:w="0" w:type="dxa"/>
              <w:right w:w="0" w:type="dxa"/>
            </w:tcMar>
            <w:vAlign w:val="center"/>
          </w:tcPr>
          <w:p w14:paraId="7A8B23EA" w14:textId="77777777" w:rsidR="00C02929" w:rsidRDefault="006116D1">
            <w:pPr>
              <w:jc w:val="both"/>
              <w:rPr>
                <w:rFonts w:ascii="Times New Roman" w:hAnsi="Times New Roman" w:cs="Times New Roman"/>
                <w:sz w:val="21"/>
                <w:szCs w:val="21"/>
                <w:lang w:bidi="ar"/>
              </w:rPr>
            </w:pPr>
            <w:r>
              <w:rPr>
                <w:rFonts w:ascii="Times New Roman" w:hAnsi="Times New Roman" w:cs="Times New Roman" w:hint="eastAsia"/>
                <w:sz w:val="21"/>
                <w:szCs w:val="21"/>
                <w:lang w:bidi="ar"/>
              </w:rPr>
              <w:t>北洋天青经过对物流行业系统的应用经验的多年积累，设计开发此系统，主要用于成品自动入库、出库、搬运、发货，并通过与堆垛机、码垛机、拆垛机、输送线等设备信息交互，实现产品入库自动化、智能化及可视化，提升仓库周转率及发货效率，很大程度上提升了生产效率及发货速度。</w:t>
            </w:r>
          </w:p>
        </w:tc>
      </w:tr>
      <w:tr w:rsidR="00C02929" w14:paraId="05DF43DE" w14:textId="77777777">
        <w:trPr>
          <w:trHeight w:val="2180"/>
          <w:jc w:val="center"/>
        </w:trPr>
        <w:tc>
          <w:tcPr>
            <w:tcW w:w="211" w:type="pct"/>
            <w:shd w:val="clear" w:color="auto" w:fill="FFFFFF"/>
            <w:vAlign w:val="center"/>
          </w:tcPr>
          <w:p w14:paraId="2CE6FD31"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lastRenderedPageBreak/>
              <w:t>9</w:t>
            </w:r>
          </w:p>
        </w:tc>
        <w:tc>
          <w:tcPr>
            <w:tcW w:w="335" w:type="pct"/>
            <w:shd w:val="clear" w:color="auto" w:fill="FFFFFF"/>
            <w:vAlign w:val="center"/>
          </w:tcPr>
          <w:p w14:paraId="348C041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家电行业物流管理系统</w:t>
            </w:r>
          </w:p>
        </w:tc>
        <w:tc>
          <w:tcPr>
            <w:tcW w:w="1426" w:type="pct"/>
            <w:shd w:val="clear" w:color="auto" w:fill="FFFFFF"/>
            <w:vAlign w:val="center"/>
          </w:tcPr>
          <w:p w14:paraId="7A859E2C"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根据冰冷行业特点，以</w:t>
            </w:r>
            <w:r>
              <w:rPr>
                <w:rFonts w:ascii="Times New Roman" w:hAnsi="Times New Roman" w:cs="Times New Roman" w:hint="eastAsia"/>
                <w:color w:val="000000"/>
                <w:sz w:val="21"/>
                <w:szCs w:val="21"/>
              </w:rPr>
              <w:t>APS</w:t>
            </w:r>
            <w:r>
              <w:rPr>
                <w:rFonts w:ascii="Times New Roman" w:hAnsi="Times New Roman" w:cs="Times New Roman" w:hint="eastAsia"/>
                <w:color w:val="000000"/>
                <w:sz w:val="21"/>
                <w:szCs w:val="21"/>
              </w:rPr>
              <w:t>系统为基础，按照发泡模具的配比以及当前库存量，实现整个车间准时拉动生产</w:t>
            </w:r>
          </w:p>
        </w:tc>
        <w:tc>
          <w:tcPr>
            <w:tcW w:w="335" w:type="pct"/>
            <w:shd w:val="clear" w:color="auto" w:fill="FFFFFF"/>
            <w:vAlign w:val="center"/>
          </w:tcPr>
          <w:p w14:paraId="73120A8C"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162B93C6"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vAlign w:val="center"/>
          </w:tcPr>
          <w:p w14:paraId="20D0D099"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为实现冰柜产线生产、质量、物流等节点的数据追溯及信息流转，北洋天青依据冰柜生产线工艺流程、质量检验流程以及发泡、钣金、组装等工序的运行特点，结合自动排产系统</w:t>
            </w:r>
            <w:r>
              <w:rPr>
                <w:rFonts w:ascii="Times New Roman" w:hAnsi="Times New Roman" w:cs="Times New Roman" w:hint="eastAsia"/>
                <w:color w:val="000000"/>
                <w:sz w:val="21"/>
                <w:szCs w:val="21"/>
              </w:rPr>
              <w:t>APS</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SAP</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ERP</w:t>
            </w:r>
            <w:r>
              <w:rPr>
                <w:rFonts w:ascii="Times New Roman" w:hAnsi="Times New Roman" w:cs="Times New Roman" w:hint="eastAsia"/>
                <w:color w:val="000000"/>
                <w:sz w:val="21"/>
                <w:szCs w:val="21"/>
              </w:rPr>
              <w:t>等系统，研发了家电行业物流管理系统，实现整条生产线的物流信息的流转及质量信息的可追溯，且能够对相关数据进行分析及展示，包含质量、库存、计划等，并通过</w:t>
            </w:r>
            <w:r>
              <w:rPr>
                <w:rFonts w:ascii="Times New Roman" w:hAnsi="Times New Roman" w:cs="Times New Roman" w:hint="eastAsia"/>
                <w:color w:val="000000"/>
                <w:sz w:val="21"/>
                <w:szCs w:val="21"/>
              </w:rPr>
              <w:t>MES</w:t>
            </w:r>
            <w:r>
              <w:rPr>
                <w:rFonts w:ascii="Times New Roman" w:hAnsi="Times New Roman" w:cs="Times New Roman" w:hint="eastAsia"/>
                <w:color w:val="000000"/>
                <w:sz w:val="21"/>
                <w:szCs w:val="21"/>
              </w:rPr>
              <w:t>系统进行数据统计分析。</w:t>
            </w:r>
          </w:p>
        </w:tc>
      </w:tr>
      <w:tr w:rsidR="00C02929" w14:paraId="3C416056" w14:textId="77777777">
        <w:trPr>
          <w:trHeight w:val="2180"/>
          <w:jc w:val="center"/>
        </w:trPr>
        <w:tc>
          <w:tcPr>
            <w:tcW w:w="211" w:type="pct"/>
            <w:shd w:val="clear" w:color="auto" w:fill="FFFFFF"/>
            <w:vAlign w:val="center"/>
          </w:tcPr>
          <w:p w14:paraId="613B5DA9"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10</w:t>
            </w:r>
          </w:p>
        </w:tc>
        <w:tc>
          <w:tcPr>
            <w:tcW w:w="335" w:type="pct"/>
            <w:shd w:val="clear" w:color="auto" w:fill="FFFFFF"/>
            <w:vAlign w:val="center"/>
          </w:tcPr>
          <w:p w14:paraId="3D84F735" w14:textId="77777777" w:rsidR="00C02929" w:rsidRDefault="006116D1">
            <w:pPr>
              <w:jc w:val="center"/>
              <w:rPr>
                <w:rFonts w:ascii="Times New Roman" w:hAnsi="Times New Roman" w:cs="Times New Roman"/>
                <w:color w:val="333333"/>
                <w:sz w:val="21"/>
                <w:szCs w:val="21"/>
              </w:rPr>
            </w:pPr>
            <w:r>
              <w:rPr>
                <w:rFonts w:ascii="Times New Roman" w:hAnsi="Times New Roman" w:cs="Times New Roman" w:hint="eastAsia"/>
                <w:color w:val="000000"/>
                <w:kern w:val="1"/>
                <w:sz w:val="21"/>
                <w:szCs w:val="21"/>
                <w:lang w:eastAsia="ar-SA"/>
              </w:rPr>
              <w:t>家电行业组装产线数字化平台</w:t>
            </w:r>
          </w:p>
        </w:tc>
        <w:tc>
          <w:tcPr>
            <w:tcW w:w="1426" w:type="pct"/>
            <w:shd w:val="clear" w:color="auto" w:fill="FFFFFF"/>
            <w:vAlign w:val="center"/>
          </w:tcPr>
          <w:p w14:paraId="310C8BCA" w14:textId="77777777" w:rsidR="00C02929" w:rsidRDefault="006116D1">
            <w:pPr>
              <w:jc w:val="both"/>
              <w:rPr>
                <w:rFonts w:ascii="Times New Roman" w:hAnsi="Times New Roman" w:cs="Times New Roman"/>
                <w:color w:val="333333"/>
                <w:sz w:val="21"/>
                <w:szCs w:val="21"/>
              </w:rPr>
            </w:pPr>
            <w:r>
              <w:rPr>
                <w:rFonts w:ascii="Times New Roman" w:hAnsi="Times New Roman" w:cs="Times New Roman" w:hint="eastAsia"/>
                <w:color w:val="333333"/>
                <w:sz w:val="21"/>
                <w:szCs w:val="21"/>
              </w:rPr>
              <w:t>通过</w:t>
            </w:r>
            <w:r>
              <w:rPr>
                <w:rFonts w:ascii="Times New Roman" w:hAnsi="Times New Roman" w:cs="Times New Roman" w:hint="eastAsia"/>
                <w:color w:val="333333"/>
                <w:sz w:val="21"/>
                <w:szCs w:val="21"/>
              </w:rPr>
              <w:t>RFID</w:t>
            </w:r>
            <w:r>
              <w:rPr>
                <w:rFonts w:ascii="Times New Roman" w:hAnsi="Times New Roman" w:cs="Times New Roman" w:hint="eastAsia"/>
                <w:color w:val="333333"/>
                <w:sz w:val="21"/>
                <w:szCs w:val="21"/>
              </w:rPr>
              <w:t>无线射频及激光刻印技术实现物料标识，有效管控生产过程相关追溯信息，让每个关键工序都起到质量闸口作用</w:t>
            </w:r>
          </w:p>
        </w:tc>
        <w:tc>
          <w:tcPr>
            <w:tcW w:w="335" w:type="pct"/>
            <w:shd w:val="clear" w:color="auto" w:fill="FFFFFF"/>
            <w:vAlign w:val="center"/>
          </w:tcPr>
          <w:p w14:paraId="495B8E90"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自主</w:t>
            </w:r>
          </w:p>
          <w:p w14:paraId="5878FD68" w14:textId="77777777" w:rsidR="00C02929" w:rsidRDefault="006116D1">
            <w:pPr>
              <w:jc w:val="both"/>
              <w:rPr>
                <w:rFonts w:ascii="Times New Roman" w:hAnsi="Times New Roman" w:cs="Times New Roman"/>
                <w:color w:val="333333"/>
                <w:sz w:val="21"/>
                <w:szCs w:val="21"/>
                <w:lang w:bidi="ar"/>
              </w:rPr>
            </w:pPr>
            <w:r>
              <w:rPr>
                <w:rFonts w:ascii="Times New Roman" w:hAnsi="Times New Roman" w:cs="Times New Roman" w:hint="eastAsia"/>
                <w:sz w:val="21"/>
                <w:szCs w:val="21"/>
              </w:rPr>
              <w:t>研发</w:t>
            </w:r>
          </w:p>
        </w:tc>
        <w:tc>
          <w:tcPr>
            <w:tcW w:w="2692" w:type="pct"/>
            <w:shd w:val="clear" w:color="auto" w:fill="FFFFFF"/>
            <w:vAlign w:val="center"/>
          </w:tcPr>
          <w:p w14:paraId="349E697B" w14:textId="77777777" w:rsidR="00C02929" w:rsidRDefault="006116D1">
            <w:pPr>
              <w:jc w:val="both"/>
              <w:rPr>
                <w:rFonts w:ascii="Times New Roman" w:hAnsi="Times New Roman" w:cs="Times New Roman"/>
                <w:color w:val="000000"/>
                <w:kern w:val="1"/>
                <w:sz w:val="21"/>
                <w:szCs w:val="21"/>
              </w:rPr>
            </w:pPr>
            <w:r>
              <w:rPr>
                <w:rFonts w:ascii="Times New Roman" w:hAnsi="Times New Roman" w:cs="Times New Roman" w:hint="eastAsia"/>
                <w:color w:val="000000"/>
                <w:kern w:val="1"/>
                <w:sz w:val="21"/>
                <w:szCs w:val="21"/>
              </w:rPr>
              <w:t>在干衣机生产过程中，为保证每台产品实现质量及批次数据可追溯、生产过程可视化、工艺操作标准化，经过多年对洗衣机、干衣机等行业工艺流程的学习，相关设备参数分析、总结多条生产线的用户需求，在满足各条产线标准需求的前提下，进行了数字化平台系统给的设计和研发，通过</w:t>
            </w:r>
            <w:r>
              <w:rPr>
                <w:rFonts w:ascii="Times New Roman" w:hAnsi="Times New Roman" w:cs="Times New Roman" w:hint="eastAsia"/>
                <w:color w:val="000000"/>
                <w:kern w:val="1"/>
                <w:sz w:val="21"/>
                <w:szCs w:val="21"/>
              </w:rPr>
              <w:t>RFID</w:t>
            </w:r>
            <w:r>
              <w:rPr>
                <w:rFonts w:ascii="Times New Roman" w:hAnsi="Times New Roman" w:cs="Times New Roman" w:hint="eastAsia"/>
                <w:color w:val="000000"/>
                <w:kern w:val="1"/>
                <w:sz w:val="21"/>
                <w:szCs w:val="21"/>
              </w:rPr>
              <w:t>无线射频技术、激光刻印、通过视觉进行产品质量检测，在包装工序通过图像识别技术进行包装附件的有无及各条码数据的管理追溯，成功推行产品四码合一。</w:t>
            </w:r>
          </w:p>
        </w:tc>
      </w:tr>
    </w:tbl>
    <w:p w14:paraId="3319961D"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（二）人才优势</w:t>
      </w:r>
    </w:p>
    <w:p w14:paraId="77A0AC53"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工业自动化行业属于知识和技术密集型行业，所涉及的范围十分广泛，对研发团队的综合要求较高，除了要掌握一般精密机械、控制技术、电机技术、传感器技术等一系列知识外，还要了解下游各领域制造业的生产工序及设备调试安装经验。这对研发、设计、生产、安装等各类相关人才的研发经验、技术水平、知识结构及安装调试经验等都提出了更高要求。</w:t>
      </w:r>
    </w:p>
    <w:p w14:paraId="69FFEB87" w14:textId="77777777" w:rsidR="00C02929" w:rsidRDefault="006116D1" w:rsidP="001F3E46">
      <w:pPr>
        <w:tabs>
          <w:tab w:val="left" w:pos="3600"/>
        </w:tabs>
        <w:spacing w:beforeLines="50" w:before="156" w:line="360" w:lineRule="auto"/>
        <w:ind w:firstLineChars="200" w:firstLine="480"/>
        <w:jc w:val="both"/>
        <w:rPr>
          <w:rFonts w:ascii="Times New Roman" w:hAnsi="Times New Roman" w:cs="Times New Roman"/>
          <w:bCs/>
          <w:lang w:val="en-GB"/>
        </w:rPr>
      </w:pPr>
      <w:r>
        <w:rPr>
          <w:rFonts w:ascii="Times New Roman" w:hAnsi="Times New Roman" w:cs="Times New Roman" w:hint="eastAsia"/>
          <w:bCs/>
          <w:color w:val="000000"/>
          <w:lang w:val="en-GB"/>
        </w:rPr>
        <w:t>标的公司作为自动化生产线整体解决方案提供商，需要具有机械、电子、控制、工业软件、传感器、人工智能等跨领域多学科知识综合和集成运用的能力。截至</w:t>
      </w:r>
      <w:r>
        <w:rPr>
          <w:rFonts w:ascii="Times New Roman" w:hAnsi="Times New Roman" w:cs="Times New Roman" w:hint="eastAsia"/>
          <w:bCs/>
          <w:color w:val="000000"/>
          <w:lang w:val="en-GB"/>
        </w:rPr>
        <w:t>2020</w:t>
      </w:r>
      <w:r>
        <w:rPr>
          <w:rFonts w:ascii="Times New Roman" w:hAnsi="Times New Roman" w:cs="Times New Roman" w:hint="eastAsia"/>
          <w:bCs/>
          <w:color w:val="000000"/>
          <w:lang w:val="en-GB"/>
        </w:rPr>
        <w:t>年</w:t>
      </w:r>
      <w:r>
        <w:rPr>
          <w:rFonts w:ascii="Times New Roman" w:hAnsi="Times New Roman" w:cs="Times New Roman" w:hint="eastAsia"/>
          <w:bCs/>
          <w:color w:val="000000"/>
          <w:lang w:val="en-GB"/>
        </w:rPr>
        <w:t>12</w:t>
      </w:r>
      <w:r>
        <w:rPr>
          <w:rFonts w:ascii="Times New Roman" w:hAnsi="Times New Roman" w:cs="Times New Roman" w:hint="eastAsia"/>
          <w:bCs/>
          <w:color w:val="000000"/>
          <w:lang w:val="en-GB"/>
        </w:rPr>
        <w:t>月</w:t>
      </w:r>
      <w:r>
        <w:rPr>
          <w:rFonts w:ascii="Times New Roman" w:hAnsi="Times New Roman" w:cs="Times New Roman" w:hint="eastAsia"/>
          <w:bCs/>
          <w:color w:val="000000"/>
          <w:lang w:val="en-GB"/>
        </w:rPr>
        <w:t>31</w:t>
      </w:r>
      <w:r>
        <w:rPr>
          <w:rFonts w:ascii="Times New Roman" w:hAnsi="Times New Roman" w:cs="Times New Roman" w:hint="eastAsia"/>
          <w:bCs/>
          <w:color w:val="000000"/>
          <w:lang w:val="en-GB"/>
        </w:rPr>
        <w:t>日，北洋天青共有技术人员</w:t>
      </w:r>
      <w:r>
        <w:rPr>
          <w:rFonts w:ascii="Times New Roman" w:hAnsi="Times New Roman" w:cs="Times New Roman" w:hint="eastAsia"/>
          <w:bCs/>
          <w:color w:val="000000"/>
          <w:lang w:val="en-GB"/>
        </w:rPr>
        <w:t>40</w:t>
      </w:r>
      <w:r>
        <w:rPr>
          <w:rFonts w:ascii="Times New Roman" w:hAnsi="Times New Roman" w:cs="Times New Roman" w:hint="eastAsia"/>
          <w:bCs/>
          <w:color w:val="000000"/>
          <w:lang w:val="en-GB"/>
        </w:rPr>
        <w:t>人，核心技术人员</w:t>
      </w:r>
      <w:r>
        <w:rPr>
          <w:rFonts w:ascii="Times New Roman" w:hAnsi="Times New Roman" w:cs="Times New Roman" w:hint="eastAsia"/>
          <w:bCs/>
          <w:color w:val="000000"/>
          <w:lang w:val="en-GB"/>
        </w:rPr>
        <w:t>5</w:t>
      </w:r>
      <w:r>
        <w:rPr>
          <w:rFonts w:ascii="Times New Roman" w:hAnsi="Times New Roman" w:cs="Times New Roman" w:hint="eastAsia"/>
          <w:bCs/>
          <w:color w:val="000000"/>
          <w:lang w:val="en-GB"/>
        </w:rPr>
        <w:t>人，约占公司总人数的</w:t>
      </w:r>
      <w:r>
        <w:rPr>
          <w:rFonts w:ascii="Times New Roman" w:hAnsi="Times New Roman" w:cs="Times New Roman" w:hint="eastAsia"/>
          <w:bCs/>
          <w:color w:val="000000"/>
          <w:lang w:val="en-GB"/>
        </w:rPr>
        <w:t>24%</w:t>
      </w:r>
      <w:r>
        <w:rPr>
          <w:rFonts w:ascii="Times New Roman" w:hAnsi="Times New Roman" w:cs="Times New Roman" w:hint="eastAsia"/>
          <w:bCs/>
          <w:color w:val="000000"/>
          <w:lang w:val="en-GB"/>
        </w:rPr>
        <w:t>，其中多人拥有</w:t>
      </w:r>
      <w:r>
        <w:rPr>
          <w:rFonts w:ascii="Times New Roman" w:hAnsi="Times New Roman" w:cs="Times New Roman" w:hint="eastAsia"/>
          <w:bCs/>
          <w:color w:val="000000"/>
          <w:lang w:val="en-GB"/>
        </w:rPr>
        <w:t>10</w:t>
      </w:r>
      <w:r>
        <w:rPr>
          <w:rFonts w:ascii="Times New Roman" w:hAnsi="Times New Roman" w:cs="Times New Roman" w:hint="eastAsia"/>
          <w:bCs/>
          <w:color w:val="000000"/>
          <w:lang w:val="en-GB"/>
        </w:rPr>
        <w:t>年以上工作经验。标的公司核心技术人员深耕机械自动化行业多年，均有十五年左右自动化行业经验，对行业具有深刻的理解。标的公司主要在机器人应用、悬挂链输送及互联工厂方面进行团队建设和项目研发。在完成自身技术提升、设备开发升级的同时将研发成果直接进行产业化应用，满足客户的多维度需求。</w:t>
      </w:r>
    </w:p>
    <w:p w14:paraId="19FB9228"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lastRenderedPageBreak/>
        <w:t>（三）客户资源优势</w:t>
      </w:r>
    </w:p>
    <w:p w14:paraId="6322C286"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多年来，北洋天青时刻紧密贴近客户需求，采取“订单式生产”的业务模式，按照客户需求量身定做的非标自动化设备和信息化项目，给客户制定个性化的工业自动化解决方案。标的公司的产品与技术获得了行业内外的广泛认可。标的公司凭借过硬的产品质量和健全的售后服务体系，已成功与海尔、澳柯玛、海信等集团公司中的众多子公司，以及瑞智（青岛）精密机电有限公司等家电行业配套公司等优质下游客户建立了合作关系，实现了产品的销售。优质的客户资源为公司业绩的持续稳定增长提供了保障。</w:t>
      </w:r>
    </w:p>
    <w:p w14:paraId="478D7F26"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依据行业特点，下游客户对供应商的选定有着严格的标准和程序，企业需要深度掌握下游客户的技术改造需求，研究客户产品加工工艺，一旦合作关系确立，将不会轻易变更。标的公司通过与客户形成的较为稳定的合作关系，可以先期了解客户产品的研发、设计及生产工艺需求，提供符合客户真实生产需求的整体解决方案，既可在竞争中赢取先机，又可实现服务增值，提高产品利润。</w:t>
      </w:r>
    </w:p>
    <w:p w14:paraId="1A53A0EF"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已经与海尔、海信、澳柯玛集团合作五年左右，业务覆盖冰箱、洗衣机、洗碗机、电热水器等各类家电，为上述客户提供上百单服务。近年来，北洋天青来自于上述三家主要客户的收入逐年快速上升。标的公司凭借过硬的产品质量和健全的售后服务体系，与主要客户形成良好的合作关系，订单获取较为稳定。</w:t>
      </w:r>
    </w:p>
    <w:p w14:paraId="1551B948"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标的公司提供的产品主要为非标自动化设备，客户对供应商的选定有着严格的标准和程序，企业需要深度掌握客户的技术改造需求，研究客户产品加工工艺，一旦合作关系确立，将不会轻易变更。</w:t>
      </w:r>
    </w:p>
    <w:p w14:paraId="7B3DCB6E"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（四）客户服务优势</w:t>
      </w:r>
    </w:p>
    <w:p w14:paraId="0CB237B8"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智能化、信息化生产线的应用成功与否取决于对行业的深层次理解，需要深入理解客户的行业特征、经营模式、产品属性、技术特点和工艺流程，才能确保生产线满足客户的需求，发挥应有的作用。由于生产线直接影响到所生产的产品质量及效率，甚至影响到生产活动的正常运行。因此，客户在选择供应商时非常慎重，要求供应商具有较高的知名度，看重供应商的行业经验和成功案例，并且通常对项目实施团队的专业程度、实施经验、售后服务经验有非常高的要求。</w:t>
      </w:r>
    </w:p>
    <w:p w14:paraId="2C1051F5"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lastRenderedPageBreak/>
        <w:t>标的公司在多年市场竞争中，已拥有良好的市场口碑，能够很好地整合技术应用、生产工艺、产品特性、行业经验、企业形象等各种元素，并已经在家电行业积累了非常丰富的行业应用成功经验。标的公司项目团队深入了解细分行业客户的业务特性，可以很好地把握和挖掘客户的深层次需求，便于成功案例的高效复制和广泛推广。行业应用的先发优势能够帮助标的公司快速抢占细分行业客户的市场，成功的行业应用案例能够进一步树立企业形象，为标的公司未来发展奠定了坚实的基础。</w:t>
      </w:r>
    </w:p>
    <w:p w14:paraId="0924DBC1"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bookmarkStart w:id="17" w:name="_Hlk69559112"/>
      <w:bookmarkEnd w:id="16"/>
      <w:r>
        <w:rPr>
          <w:rFonts w:ascii="Times New Roman" w:hAnsi="Times New Roman" w:cs="Times New Roman" w:hint="eastAsia"/>
          <w:b/>
          <w:color w:val="000000"/>
          <w:szCs w:val="21"/>
        </w:rPr>
        <w:t>三、北洋天青被替代的风险较小</w:t>
      </w:r>
    </w:p>
    <w:p w14:paraId="660F33FB"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（一）自动化下游领域间壁垒较高</w:t>
      </w:r>
    </w:p>
    <w:p w14:paraId="704A1F37"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rPr>
        <w:t>制造业的细分领域众多，对依托于制造业发展的自动化供应商来说，不同的行业之间具有较高的壁垒。由于自动化服务涉及到下游客户生产的效率和稳定性，自动化供应商</w:t>
      </w:r>
      <w:r>
        <w:rPr>
          <w:rFonts w:ascii="Times New Roman" w:hAnsi="Times New Roman" w:cs="Times New Roman" w:hint="eastAsia"/>
          <w:bCs/>
          <w:color w:val="000000"/>
          <w:lang w:val="en-GB"/>
        </w:rPr>
        <w:t>需要全面了解行业客户的生产流程、专业技术及生产线需求，并结合自身设计研发能力、成功案例，才能与客户建立联系入选供应商库。自动化供应商对所服务的行业，需要有丰富的行业案例经验、人才储备、技术积累。对新进入者而言，从进入到被认可需要较长的时间，客户对智能化、信息化生产线稳定性的要求和对服务质量的高度依赖为后进入者构建了极高的壁垒。</w:t>
      </w:r>
      <w:r>
        <w:rPr>
          <w:rFonts w:ascii="Times New Roman" w:hAnsi="Times New Roman" w:cs="Times New Roman" w:hint="eastAsia"/>
          <w:bCs/>
          <w:color w:val="000000"/>
          <w:szCs w:val="21"/>
        </w:rPr>
        <w:t>行业内其他竞争企业由于与标的公司服务行业差异较大，短期内很难与标的公司在家电智能制造领域竞争。</w:t>
      </w:r>
    </w:p>
    <w:p w14:paraId="669C648F"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（二）北洋天青与主要客户合作稳定</w:t>
      </w:r>
    </w:p>
    <w:p w14:paraId="18CAAB3A"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智能化、信息化生产线的应用成功与否取决于对行业的深层次理解，需要深入理解客户的行业特征、经营模式、产品属性、技术特点和工艺流程，才能确保生产线满足客户的需求，发挥应有的作用。由于生产线直接影响到所生产的产品质量及效率，甚至影响到生产活动的正常运行。因此，客户在选择供应商时非常慎重，看重供应商的行业经验和成功案例，要求供应商具有较高的知名度，并且通常对项目实施团队的专业程度、实施经验、售后服务经验有非常高的要求。</w:t>
      </w:r>
    </w:p>
    <w:p w14:paraId="32178B6A"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下游客户对供应商的选定有着严格的标准和程序，企业需要深度掌握下游客户的技术改造需求，研究客户产品加工工艺，一旦合作关系确立，不会轻易变更。</w:t>
      </w:r>
      <w:r>
        <w:rPr>
          <w:rFonts w:ascii="Times New Roman" w:hAnsi="Times New Roman" w:cs="Times New Roman" w:hint="eastAsia"/>
          <w:bCs/>
          <w:color w:val="000000"/>
          <w:lang w:val="en-GB"/>
        </w:rPr>
        <w:lastRenderedPageBreak/>
        <w:t>标的公司通过与客户形成的较为稳定的合作关系，可以先期了解客户产品的研发、设计及生产工艺需求，提供符合客户真实生产需求的整体解决方案，既可在竞争中赢取先机，又可实现服务增值，提高产品利润。</w:t>
      </w:r>
    </w:p>
    <w:p w14:paraId="4C4C35F4"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在多年市场竞争中，已拥有良好的市场口碑，能够很好地整合技术应用、生产工艺、产品特性、行业经验、企业形象等各种元素，并已经在家电行业积累了非常丰富的行业应用成功经验。标的公司项目团队深入了解细分行业客户的业务特性，可以很好地把握和挖掘客户的深层次需求，便于成功案例的高效复制和广泛推广。客户服务的优势能够帮助标的公司快速抢占细分行业的市场，成功的行业应用案例能够进一步树立企业形象，为标的公司未来发展奠定了坚实的基础。</w:t>
      </w:r>
    </w:p>
    <w:p w14:paraId="22BEA051"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bookmarkStart w:id="18" w:name="_Hlk69496072"/>
      <w:r>
        <w:rPr>
          <w:rFonts w:ascii="Times New Roman" w:hAnsi="Times New Roman" w:cs="Times New Roman" w:hint="eastAsia"/>
          <w:b/>
          <w:color w:val="000000"/>
          <w:lang w:val="en-GB"/>
        </w:rPr>
        <w:t>（三）应对措施</w:t>
      </w:r>
    </w:p>
    <w:p w14:paraId="061912A1"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bookmarkStart w:id="19" w:name="_Hlk69495925"/>
      <w:r>
        <w:rPr>
          <w:rFonts w:ascii="Times New Roman" w:hAnsi="Times New Roman" w:cs="Times New Roman" w:hint="eastAsia"/>
          <w:bCs/>
          <w:color w:val="000000"/>
          <w:lang w:val="en-GB"/>
        </w:rPr>
        <w:t>北洋天青作为家电智能制造行业少</w:t>
      </w:r>
      <w:r>
        <w:rPr>
          <w:rFonts w:ascii="Times New Roman" w:hAnsi="Times New Roman" w:cs="Times New Roman" w:hint="eastAsia"/>
          <w:bCs/>
        </w:rPr>
        <w:t>有的能提供多产品智能生产线及配套系统全流程服务的供应商，与主要客户具有长期稳定的合作关系，始终紧跟最新的技术发展方向，为客户提供贴合需求的优势解决方案及产品，被替代的风险较小。</w:t>
      </w:r>
      <w:r>
        <w:rPr>
          <w:rFonts w:hint="eastAsia"/>
        </w:rPr>
        <w:t>如果标的公司不能持续开发出客户满意的产品，将对标的公司竞争力和经营业绩带来不利影响。</w:t>
      </w:r>
      <w:r>
        <w:rPr>
          <w:rFonts w:ascii="Times New Roman" w:hAnsi="Times New Roman" w:cs="Times New Roman" w:hint="eastAsia"/>
          <w:bCs/>
        </w:rPr>
        <w:t>未来标的公司将通过继续积极开发新客户、</w:t>
      </w:r>
      <w:r>
        <w:rPr>
          <w:rFonts w:ascii="Times New Roman" w:hAnsi="Times New Roman" w:cs="Times New Roman" w:hint="eastAsia"/>
          <w:bCs/>
          <w:color w:val="000000"/>
          <w:lang w:val="en-GB"/>
        </w:rPr>
        <w:t>推进业务技术开发及储备、开发客户需求发展其他产品</w:t>
      </w:r>
      <w:r>
        <w:rPr>
          <w:rFonts w:ascii="Times New Roman" w:hAnsi="Times New Roman" w:cs="Times New Roman" w:hint="eastAsia"/>
        </w:rPr>
        <w:t>、维护现有客户减少被替代的风险。</w:t>
      </w:r>
    </w:p>
    <w:bookmarkEnd w:id="19"/>
    <w:p w14:paraId="0AEC5DBE" w14:textId="77777777" w:rsidR="00C02929" w:rsidRDefault="006116D1">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1</w:t>
      </w:r>
      <w:r>
        <w:rPr>
          <w:rFonts w:ascii="Times New Roman" w:hAnsi="Times New Roman" w:cs="Times New Roman" w:hint="eastAsia"/>
          <w:b/>
          <w:color w:val="000000"/>
          <w:lang w:val="en-GB"/>
        </w:rPr>
        <w:t>、积极开发其他客户</w:t>
      </w:r>
    </w:p>
    <w:p w14:paraId="28D4FECB"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北洋天青在维护现有家电行业龙头客户的同时，也与其他行业内企业建立了联系，推广各类自动化、信息化技术，努力开发行业内其他客户。北洋天青在深耕家电行业的同时，也在积极拓展其他行业。</w:t>
      </w:r>
    </w:p>
    <w:p w14:paraId="0E3F7124" w14:textId="3D74D3C0"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在食品饮料领域，标的公司以现有技术及软件为基础，已经为崂山矿泉水集团提供了相应的自动化、企业信息化服务；与青岛万福集团就仓储物流技术等业务进行</w:t>
      </w:r>
      <w:r>
        <w:rPr>
          <w:rFonts w:ascii="Times New Roman" w:hAnsi="Times New Roman" w:cs="Times New Roman" w:hint="eastAsia"/>
          <w:bCs/>
          <w:color w:val="000000"/>
        </w:rPr>
        <w:t>初步探讨</w:t>
      </w:r>
      <w:r>
        <w:rPr>
          <w:rFonts w:ascii="Times New Roman" w:hAnsi="Times New Roman" w:cs="Times New Roman" w:hint="eastAsia"/>
          <w:bCs/>
          <w:color w:val="000000"/>
          <w:lang w:val="en-GB"/>
        </w:rPr>
        <w:t>。</w:t>
      </w:r>
    </w:p>
    <w:p w14:paraId="32E418D1"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在其他行业，北洋天青积极拓展现有技术及产品可以支持的其他行业智能化、自动化应用。目前标的公司已与青岛海湾化学集团就智能工厂整体规划、企业信息化等业务展开初步接触。</w:t>
      </w:r>
    </w:p>
    <w:p w14:paraId="7398E03E" w14:textId="77777777" w:rsidR="00C02929" w:rsidRDefault="006116D1">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lastRenderedPageBreak/>
        <w:t>2</w:t>
      </w:r>
      <w:r>
        <w:rPr>
          <w:rFonts w:ascii="Times New Roman" w:hAnsi="Times New Roman" w:cs="Times New Roman" w:hint="eastAsia"/>
          <w:b/>
          <w:color w:val="000000"/>
          <w:lang w:val="en-GB"/>
        </w:rPr>
        <w:t>、积极推进业务技术开发及储备</w:t>
      </w:r>
    </w:p>
    <w:p w14:paraId="4ADF8DF4"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在家电智能制造领域深入研究，积极开发与客户生产需求相匹配的新技术。首创物流悬挂输送系统技术、模具立体库自动换模系统技术以及自动上压板机技术三大技术，北洋天持续密切跟踪新技术的发展方向并坚持研发投入，保持技术的领先优势技术，为其产品和服务提供技术保障。</w:t>
      </w:r>
    </w:p>
    <w:p w14:paraId="7D55A4FA"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在</w:t>
      </w:r>
      <w:r>
        <w:rPr>
          <w:rFonts w:ascii="Times New Roman" w:hAnsi="Times New Roman" w:cs="Times New Roman"/>
          <w:bCs/>
          <w:color w:val="000000"/>
          <w:lang w:val="en-GB"/>
        </w:rPr>
        <w:t>3C</w:t>
      </w:r>
      <w:r>
        <w:rPr>
          <w:rFonts w:ascii="Times New Roman" w:hAnsi="Times New Roman" w:cs="Times New Roman" w:hint="eastAsia"/>
          <w:bCs/>
          <w:color w:val="000000"/>
          <w:lang w:val="en-GB"/>
        </w:rPr>
        <w:t>领域，北洋天青主要以现有的物流悬挂输送系统为切入的技术基础，以液晶显示器模组生产为主推市场，拟开发机器人视觉追踪应用技术，柔性部件组装技术、以及任意曲面屏组装技术，并引入行业内有资深自动化行业经验的高水平技术及管理人才，积极拓展</w:t>
      </w:r>
      <w:r>
        <w:rPr>
          <w:rFonts w:ascii="Times New Roman" w:hAnsi="Times New Roman" w:cs="Times New Roman"/>
          <w:bCs/>
          <w:color w:val="000000"/>
          <w:lang w:val="en-GB"/>
        </w:rPr>
        <w:t>3C</w:t>
      </w:r>
      <w:r>
        <w:rPr>
          <w:rFonts w:ascii="Times New Roman" w:hAnsi="Times New Roman" w:cs="Times New Roman" w:hint="eastAsia"/>
          <w:bCs/>
          <w:color w:val="000000"/>
          <w:lang w:val="en-GB"/>
        </w:rPr>
        <w:t>领域自动化市场。</w:t>
      </w:r>
    </w:p>
    <w:p w14:paraId="59A6F4C5" w14:textId="77777777" w:rsidR="00C02929" w:rsidRDefault="006116D1">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3</w:t>
      </w:r>
      <w:r>
        <w:rPr>
          <w:rFonts w:ascii="Times New Roman" w:hAnsi="Times New Roman" w:cs="Times New Roman" w:hint="eastAsia"/>
          <w:b/>
          <w:color w:val="000000"/>
          <w:lang w:val="en-GB"/>
        </w:rPr>
        <w:t>、开发客户需求发展其他产品</w:t>
      </w:r>
    </w:p>
    <w:p w14:paraId="7508FD69"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积极跟进客户自动化、智能化需求，根据客户生产特点结合先进的自动化、智能化技术和经验，首创物流悬挂输送系统技术、模具立体库自动换模系统技术以及自动上压板机技术三大技术，为客户提供了空中物流悬挂链、模具立体库自动换模等产品。</w:t>
      </w:r>
    </w:p>
    <w:p w14:paraId="74EE88CC" w14:textId="77777777" w:rsidR="00C02929" w:rsidRDefault="006116D1">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4</w:t>
      </w:r>
      <w:r>
        <w:rPr>
          <w:rFonts w:ascii="Times New Roman" w:hAnsi="Times New Roman" w:cs="Times New Roman" w:hint="eastAsia"/>
          <w:b/>
          <w:color w:val="000000"/>
          <w:lang w:val="en-GB"/>
        </w:rPr>
        <w:t>、继续维护现有客户</w:t>
      </w:r>
    </w:p>
    <w:p w14:paraId="7E02EA6C"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北洋天青已经与海尔、海信、澳柯玛集团合作五年左右，为上述单家客户提供上百单服务。近年来，北洋天青来自于上述三家主要客户的收入逐年快速上升。标的公司凭借过硬的产品质量和健全的售后服务体系，与主要客户形成良好的合作关系，订单获取较为稳定。</w:t>
      </w:r>
    </w:p>
    <w:p w14:paraId="50E83C3A"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标的公司持续跟进客户需求，紧跟技术发展趋势，为客户提供优质的产品。标的公司提供的非标自动化设备，客户对供应商的选定有着严格的标准和程序，企业需要深度掌握客户的技术改造需求，研究客户产品加工工艺，一旦合作关系确立，不会轻易变更。</w:t>
      </w:r>
    </w:p>
    <w:bookmarkEnd w:id="17"/>
    <w:bookmarkEnd w:id="18"/>
    <w:p w14:paraId="785B54CF"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62D17DF0" w14:textId="77777777" w:rsidR="00C02929" w:rsidRDefault="006116D1">
      <w:pPr>
        <w:pStyle w:val="affffd"/>
        <w:spacing w:before="156"/>
        <w:ind w:firstLine="480"/>
      </w:pPr>
      <w:r>
        <w:rPr>
          <w:rFonts w:hint="eastAsia"/>
        </w:rPr>
        <w:t>上述内容已在“第九节</w:t>
      </w:r>
      <w:r>
        <w:t xml:space="preserve"> </w:t>
      </w:r>
      <w:r>
        <w:rPr>
          <w:rFonts w:hint="eastAsia"/>
        </w:rPr>
        <w:t>管理层讨论与分析”之“二、标的公司行业特点和行业定位”之“（二）行业竞争格局和市场化程度”和“（七）标的公司的竞争</w:t>
      </w:r>
      <w:r>
        <w:rPr>
          <w:rFonts w:hint="eastAsia"/>
        </w:rPr>
        <w:lastRenderedPageBreak/>
        <w:t>优势”、“第十二节</w:t>
      </w:r>
      <w:r>
        <w:rPr>
          <w:rFonts w:hint="eastAsia"/>
        </w:rPr>
        <w:t xml:space="preserve"> </w:t>
      </w:r>
      <w:r>
        <w:rPr>
          <w:rFonts w:hint="eastAsia"/>
        </w:rPr>
        <w:t>风险因素”之“二、标的资产相关风险”和“重大风险提示”中补充披露。</w:t>
      </w:r>
    </w:p>
    <w:p w14:paraId="19D93A07"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五、独立财务顾问核查意见</w:t>
      </w:r>
    </w:p>
    <w:p w14:paraId="3D93F037" w14:textId="77777777" w:rsidR="00C02929" w:rsidRDefault="006116D1">
      <w:pPr>
        <w:pStyle w:val="affffd"/>
        <w:spacing w:before="156"/>
        <w:ind w:firstLine="480"/>
        <w:rPr>
          <w:bCs/>
          <w:lang w:val="en-GB"/>
        </w:rPr>
      </w:pPr>
      <w:r>
        <w:rPr>
          <w:rFonts w:hint="eastAsia"/>
          <w:lang w:val="zh-CN"/>
        </w:rPr>
        <w:t>经核查，独立财务顾问结合行业特性和市场情况、北洋天青核心竞争力和竞争优势，技术研发、客户开发和维护等方面，北洋天青被替代的风险较小。</w:t>
      </w:r>
    </w:p>
    <w:p w14:paraId="6F73475E" w14:textId="77777777" w:rsidR="00C02929" w:rsidRDefault="00C02929">
      <w:pPr>
        <w:pStyle w:val="afffff"/>
        <w:sectPr w:rsidR="00C02929">
          <w:pgSz w:w="11906" w:h="16838"/>
          <w:pgMar w:top="1440" w:right="1800" w:bottom="1440" w:left="1800" w:header="851" w:footer="992" w:gutter="0"/>
          <w:cols w:space="720"/>
          <w:docGrid w:type="lines" w:linePitch="312"/>
        </w:sectPr>
      </w:pPr>
      <w:bookmarkStart w:id="20" w:name="_Toc69256850"/>
      <w:bookmarkStart w:id="21" w:name="_Toc69256870"/>
      <w:bookmarkEnd w:id="10"/>
      <w:bookmarkEnd w:id="11"/>
    </w:p>
    <w:p w14:paraId="3485D5BD" w14:textId="77777777" w:rsidR="00C02929" w:rsidRDefault="006116D1">
      <w:pPr>
        <w:pStyle w:val="afffff"/>
      </w:pPr>
      <w:r>
        <w:rPr>
          <w:rFonts w:hint="eastAsia"/>
        </w:rPr>
        <w:lastRenderedPageBreak/>
        <w:t>第四题</w:t>
      </w:r>
    </w:p>
    <w:p w14:paraId="0D657F6B"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）北洋天青从海尔集团公司下属工业服务物联网电商平台采购零部件，海尔集团公司为北洋天青报告期第一大供应商。</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）同时，海尔集团公司为北洋天青报告期第一大客户。请你公司：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）结合北洋天青采购模式、销售模式、生产模式，补充披露海尔集团公司既是第一大客户又是第一大供应商的原因及商业合理性。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）补充披露北洋天青是否在采购、销售、技术和生产等方面对海尔集团公司存在较大依赖。请独立财务顾问和会计师核查并发表明确意见。</w:t>
      </w:r>
    </w:p>
    <w:p w14:paraId="09D5D17D" w14:textId="77777777" w:rsidR="00C02929" w:rsidRDefault="006116D1">
      <w:pPr>
        <w:pStyle w:val="affffd"/>
        <w:spacing w:before="156"/>
        <w:ind w:firstLine="482"/>
        <w:rPr>
          <w:b/>
        </w:rPr>
      </w:pPr>
      <w:r>
        <w:rPr>
          <w:rFonts w:hint="eastAsia"/>
          <w:b/>
        </w:rPr>
        <w:t>【回复说明】</w:t>
      </w:r>
    </w:p>
    <w:p w14:paraId="6AD262ED"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）结合北洋天青采购模式、销售模式、生产模式，补充披露海尔集团公司既是第一大客户又是第一大供应商的原因及商业合理性。</w:t>
      </w:r>
    </w:p>
    <w:p w14:paraId="242A18FB"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一、采购模式</w:t>
      </w:r>
    </w:p>
    <w:p w14:paraId="7E0D2AD3"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lang w:val="en-GB"/>
        </w:rPr>
        <w:t>北洋天青</w:t>
      </w:r>
      <w:r>
        <w:rPr>
          <w:rFonts w:ascii="Times New Roman" w:hAnsi="Times New Roman" w:cs="Times New Roman" w:hint="eastAsia"/>
          <w:bCs/>
          <w:color w:val="000000"/>
          <w:lang w:val="en-GB"/>
        </w:rPr>
        <w:t>采购部依据订单、生产计划以及仓库储存量确定采购进程，编制物料请购单，明确所需采购的物料名称、数量、材质、品牌、规格型号等方面的要求，报总经理审批通过后进行采购。</w:t>
      </w:r>
      <w:r>
        <w:rPr>
          <w:rFonts w:ascii="Times New Roman" w:hAnsi="Times New Roman" w:cs="Times New Roman" w:hint="eastAsia"/>
          <w:color w:val="000000"/>
          <w:lang w:val="en-GB"/>
        </w:rPr>
        <w:t>北洋天青</w:t>
      </w:r>
      <w:r>
        <w:rPr>
          <w:rFonts w:ascii="Times New Roman" w:hAnsi="Times New Roman" w:cs="Times New Roman" w:hint="eastAsia"/>
          <w:bCs/>
          <w:color w:val="000000"/>
          <w:lang w:val="en-GB"/>
        </w:rPr>
        <w:t>制定了合格供应商评审制度，依据采购物资类别及技术条件确定合格供应商。对于重大的采购物资，采购部会联合需求部门、技术部、质量部对供应商进行实地考察并筛选。</w:t>
      </w:r>
      <w:r>
        <w:rPr>
          <w:rFonts w:ascii="Times New Roman" w:hAnsi="Times New Roman" w:cs="Times New Roman" w:hint="eastAsia"/>
          <w:color w:val="000000"/>
          <w:lang w:val="en-GB"/>
        </w:rPr>
        <w:t>北洋天青</w:t>
      </w:r>
      <w:r>
        <w:rPr>
          <w:rFonts w:ascii="Times New Roman" w:hAnsi="Times New Roman" w:cs="Times New Roman" w:hint="eastAsia"/>
          <w:bCs/>
          <w:color w:val="000000"/>
          <w:lang w:val="en-GB"/>
        </w:rPr>
        <w:t>会与选定的合格供应商建立战略合作，同时始终保持拥有两家较为稳定的供应商，以确保货源和价格的稳定。</w:t>
      </w:r>
    </w:p>
    <w:p w14:paraId="5A30D218"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二、销售模式</w:t>
      </w:r>
    </w:p>
    <w:p w14:paraId="1DF8BCDC"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lang w:val="en-GB"/>
        </w:rPr>
        <w:t>北洋天青采用直销的销售模式开拓市场，由北洋天青营销团队通过网站宣传、参加展会和论坛、自主开发等多种营销渠道寻找并发掘客户，收集客户产品需求信息。同时北洋天青成为了中国机器人产业联盟会员单位。北洋天青的产品为按照客户需求进行量身定做的非标自动化设备，因此需要紧密联系下游客户的设备部门和技术改造部门，深度了解客户工艺流程和技术改造诉求后，为客户制定个性化的工业自动化解决方案。北洋天青主要通过参与下游客户的招投标获取订单。</w:t>
      </w:r>
    </w:p>
    <w:p w14:paraId="6A720B1A"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lastRenderedPageBreak/>
        <w:t>三、生产模式</w:t>
      </w:r>
    </w:p>
    <w:p w14:paraId="3420D3B7"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lang w:val="en-GB"/>
        </w:rPr>
        <w:t>北洋天青的生产部门根据接入的订单情况，及项目经理排定的一级项目计划中的生产相关节点，制定本部门的生产实施二级计划来进行项目的排产、组装和现场安装，质量部负责在各主要环节把控产品质量与检测。</w:t>
      </w:r>
    </w:p>
    <w:p w14:paraId="6A66E334"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四、海尔集团公司既是第一大客户又是第一大供应商的原因及商业合理性</w:t>
      </w:r>
    </w:p>
    <w:p w14:paraId="082725EC"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（一）采购情况</w:t>
      </w:r>
    </w:p>
    <w:p w14:paraId="60E69504"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2018</w:t>
      </w:r>
      <w:r>
        <w:rPr>
          <w:rFonts w:ascii="Times New Roman" w:hAnsi="Times New Roman" w:cs="Times New Roman"/>
          <w:color w:val="000000"/>
          <w:lang w:val="en-GB"/>
        </w:rPr>
        <w:t>年度，海尔集团公司为北洋天青的第二大供应商，占当期采购总额的比重为</w:t>
      </w:r>
      <w:r>
        <w:rPr>
          <w:rFonts w:ascii="Times New Roman" w:hAnsi="Times New Roman" w:cs="Times New Roman"/>
          <w:color w:val="000000"/>
          <w:lang w:val="en-GB"/>
        </w:rPr>
        <w:t>12.97%</w:t>
      </w:r>
      <w:r>
        <w:rPr>
          <w:rFonts w:ascii="Times New Roman" w:hAnsi="Times New Roman" w:cs="Times New Roman"/>
          <w:color w:val="000000"/>
          <w:lang w:val="en-GB"/>
        </w:rPr>
        <w:t>；</w:t>
      </w:r>
      <w:r>
        <w:rPr>
          <w:rFonts w:ascii="Times New Roman" w:hAnsi="Times New Roman" w:cs="Times New Roman"/>
          <w:color w:val="000000"/>
          <w:lang w:val="en-GB"/>
        </w:rPr>
        <w:t>2019</w:t>
      </w:r>
      <w:r>
        <w:rPr>
          <w:rFonts w:ascii="Times New Roman" w:hAnsi="Times New Roman" w:cs="Times New Roman"/>
          <w:color w:val="000000"/>
          <w:lang w:val="en-GB"/>
        </w:rPr>
        <w:t>年度，海尔集团公司为北洋天青的第一大供应商，占当期采购总额的比重为</w:t>
      </w:r>
      <w:r>
        <w:rPr>
          <w:rFonts w:ascii="Times New Roman" w:hAnsi="Times New Roman" w:cs="Times New Roman"/>
          <w:color w:val="000000"/>
          <w:lang w:val="en-GB"/>
        </w:rPr>
        <w:t>28.57%</w:t>
      </w:r>
      <w:r>
        <w:rPr>
          <w:rFonts w:ascii="Times New Roman" w:hAnsi="Times New Roman" w:cs="Times New Roman"/>
          <w:color w:val="000000"/>
          <w:lang w:val="en-GB"/>
        </w:rPr>
        <w:t>；</w:t>
      </w:r>
      <w:r>
        <w:rPr>
          <w:rFonts w:ascii="Times New Roman" w:hAnsi="Times New Roman" w:cs="Times New Roman"/>
          <w:color w:val="000000"/>
          <w:lang w:val="en-GB"/>
        </w:rPr>
        <w:t>2020</w:t>
      </w:r>
      <w:r>
        <w:rPr>
          <w:rFonts w:ascii="Times New Roman" w:hAnsi="Times New Roman" w:cs="Times New Roman"/>
          <w:color w:val="000000"/>
          <w:lang w:val="en-GB"/>
        </w:rPr>
        <w:t>年度，海尔集团公司为北洋天青的第三大供应商，占当期采购总额的比重为</w:t>
      </w:r>
      <w:r>
        <w:rPr>
          <w:rFonts w:ascii="Times New Roman" w:hAnsi="Times New Roman" w:cs="Times New Roman"/>
          <w:color w:val="000000"/>
          <w:lang w:val="en-GB"/>
        </w:rPr>
        <w:t>5.01%</w:t>
      </w:r>
      <w:r>
        <w:rPr>
          <w:rFonts w:ascii="Times New Roman" w:hAnsi="Times New Roman" w:cs="Times New Roman"/>
          <w:color w:val="000000"/>
          <w:lang w:val="en-GB"/>
        </w:rPr>
        <w:t>。报告期内，海尔集团公司占标的公司采购总额的比重</w:t>
      </w:r>
      <w:r>
        <w:rPr>
          <w:rFonts w:ascii="Times New Roman" w:hAnsi="Times New Roman" w:cs="Times New Roman" w:hint="eastAsia"/>
          <w:color w:val="000000"/>
          <w:lang w:val="en-GB"/>
        </w:rPr>
        <w:t>有所波动</w:t>
      </w:r>
      <w:r>
        <w:rPr>
          <w:rFonts w:ascii="Times New Roman" w:hAnsi="Times New Roman" w:cs="Times New Roman"/>
          <w:color w:val="000000"/>
          <w:lang w:val="en-GB"/>
        </w:rPr>
        <w:t>。</w:t>
      </w:r>
    </w:p>
    <w:p w14:paraId="08EFA2D5"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北洋天青从海尔集团公司的采购主要集中于其下属青岛“好品海智”信息技术有限公司。“好品海智”是工业服务物联网电商平台，为设备供应商提供一站式零部件采购服务。“好品海智”以海尔集团公司为依托，形成规模优势，部分产品具有一定的价格优势及交付期优势。同时，与“好品海智”平台合作的厂商较为正规，通过该平台采购的原材料能够确保质量符合相关标准。因此，当“好品海智”电商平台在产品品质、交付期和价格等方面具备优势时，北洋天青选择在好品海智电商平台采购原材料。</w:t>
      </w:r>
    </w:p>
    <w:p w14:paraId="6C4679D4"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报告期内，北洋天青通过“好品海智”电商平台主要采购的产品如下：电机类（如</w:t>
      </w:r>
      <w:r>
        <w:rPr>
          <w:rFonts w:ascii="Times New Roman" w:hAnsi="Times New Roman" w:cs="Times New Roman"/>
          <w:color w:val="000000"/>
          <w:lang w:val="en-GB"/>
        </w:rPr>
        <w:t>SEW</w:t>
      </w:r>
      <w:r>
        <w:rPr>
          <w:rFonts w:ascii="Times New Roman" w:hAnsi="Times New Roman" w:cs="Times New Roman" w:hint="eastAsia"/>
          <w:color w:val="000000"/>
          <w:lang w:val="en-GB"/>
        </w:rPr>
        <w:t>减速电机）、包装专机类（如打包机、封箱机，塑封机等）、工具类（如吸残水机、扭力枪，刻码机，激光切割机等）、电源配套类（如变频电源、安检仪，美式电源等）、胶机类（如打胶机，胶机）等。报告期内，前十大供应商中，北洋天青与海尔集团公司下属公司采购情况如下：</w:t>
      </w:r>
    </w:p>
    <w:p w14:paraId="66BC998C"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574"/>
        <w:gridCol w:w="2199"/>
        <w:gridCol w:w="2749"/>
      </w:tblGrid>
      <w:tr w:rsidR="00C02929" w14:paraId="4BB8217A" w14:textId="77777777">
        <w:trPr>
          <w:trHeight w:val="397"/>
          <w:tblHeader/>
        </w:trPr>
        <w:tc>
          <w:tcPr>
            <w:tcW w:w="2097" w:type="pct"/>
            <w:shd w:val="clear" w:color="auto" w:fill="auto"/>
            <w:noWrap/>
            <w:vAlign w:val="center"/>
          </w:tcPr>
          <w:p w14:paraId="6C5B807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公司名称</w:t>
            </w:r>
          </w:p>
        </w:tc>
        <w:tc>
          <w:tcPr>
            <w:tcW w:w="1290" w:type="pct"/>
            <w:shd w:val="clear" w:color="auto" w:fill="auto"/>
            <w:noWrap/>
            <w:vAlign w:val="center"/>
          </w:tcPr>
          <w:p w14:paraId="0D5CA26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613" w:type="pct"/>
            <w:shd w:val="clear" w:color="auto" w:fill="auto"/>
            <w:noWrap/>
            <w:vAlign w:val="center"/>
          </w:tcPr>
          <w:p w14:paraId="35CE7054"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占总采购额比重</w:t>
            </w:r>
          </w:p>
        </w:tc>
      </w:tr>
      <w:tr w:rsidR="00C02929" w14:paraId="1A4E57B0" w14:textId="77777777">
        <w:trPr>
          <w:trHeight w:val="397"/>
        </w:trPr>
        <w:tc>
          <w:tcPr>
            <w:tcW w:w="5000" w:type="pct"/>
            <w:gridSpan w:val="3"/>
            <w:shd w:val="clear" w:color="auto" w:fill="auto"/>
            <w:noWrap/>
            <w:vAlign w:val="center"/>
          </w:tcPr>
          <w:p w14:paraId="71E932C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p>
        </w:tc>
      </w:tr>
      <w:tr w:rsidR="00C02929" w14:paraId="34966373" w14:textId="77777777">
        <w:trPr>
          <w:trHeight w:val="397"/>
        </w:trPr>
        <w:tc>
          <w:tcPr>
            <w:tcW w:w="2097" w:type="pct"/>
            <w:shd w:val="clear" w:color="auto" w:fill="auto"/>
            <w:noWrap/>
            <w:vAlign w:val="center"/>
          </w:tcPr>
          <w:p w14:paraId="4A86A86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290" w:type="pct"/>
            <w:shd w:val="clear" w:color="auto" w:fill="auto"/>
            <w:noWrap/>
            <w:vAlign w:val="center"/>
          </w:tcPr>
          <w:p w14:paraId="2AF7F48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687.67</w:t>
            </w:r>
          </w:p>
        </w:tc>
        <w:tc>
          <w:tcPr>
            <w:tcW w:w="1613" w:type="pct"/>
            <w:shd w:val="clear" w:color="auto" w:fill="auto"/>
            <w:noWrap/>
            <w:vAlign w:val="center"/>
          </w:tcPr>
          <w:p w14:paraId="056CA8D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5.01</w:t>
            </w:r>
            <w:r>
              <w:rPr>
                <w:rFonts w:ascii="Times New Roman" w:hAnsi="Times New Roman" w:cs="Times New Roman" w:hint="eastAsia"/>
                <w:color w:val="000000"/>
                <w:sz w:val="21"/>
                <w:szCs w:val="21"/>
              </w:rPr>
              <w:t>%</w:t>
            </w:r>
          </w:p>
        </w:tc>
      </w:tr>
      <w:tr w:rsidR="00C02929" w14:paraId="1A385CA0" w14:textId="77777777">
        <w:trPr>
          <w:trHeight w:val="397"/>
        </w:trPr>
        <w:tc>
          <w:tcPr>
            <w:tcW w:w="5000" w:type="pct"/>
            <w:gridSpan w:val="3"/>
            <w:shd w:val="clear" w:color="auto" w:fill="auto"/>
            <w:noWrap/>
            <w:vAlign w:val="center"/>
          </w:tcPr>
          <w:p w14:paraId="08720BB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w:t>
            </w:r>
          </w:p>
        </w:tc>
      </w:tr>
      <w:tr w:rsidR="00C02929" w14:paraId="3CCE8867" w14:textId="77777777">
        <w:trPr>
          <w:trHeight w:val="397"/>
        </w:trPr>
        <w:tc>
          <w:tcPr>
            <w:tcW w:w="2097" w:type="pct"/>
            <w:shd w:val="clear" w:color="auto" w:fill="auto"/>
            <w:noWrap/>
            <w:vAlign w:val="center"/>
          </w:tcPr>
          <w:p w14:paraId="7F46243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lastRenderedPageBreak/>
              <w:t>青岛好品海智信息技术有限公司</w:t>
            </w:r>
          </w:p>
        </w:tc>
        <w:tc>
          <w:tcPr>
            <w:tcW w:w="1290" w:type="pct"/>
            <w:shd w:val="clear" w:color="auto" w:fill="auto"/>
            <w:noWrap/>
            <w:vAlign w:val="center"/>
          </w:tcPr>
          <w:p w14:paraId="40E9284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1,508.87</w:t>
            </w:r>
          </w:p>
        </w:tc>
        <w:tc>
          <w:tcPr>
            <w:tcW w:w="1613" w:type="pct"/>
            <w:shd w:val="clear" w:color="auto" w:fill="auto"/>
            <w:noWrap/>
            <w:vAlign w:val="center"/>
          </w:tcPr>
          <w:p w14:paraId="4BBA154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19.99%</w:t>
            </w:r>
          </w:p>
        </w:tc>
      </w:tr>
      <w:tr w:rsidR="00C02929" w14:paraId="0648B820" w14:textId="77777777">
        <w:trPr>
          <w:trHeight w:val="397"/>
        </w:trPr>
        <w:tc>
          <w:tcPr>
            <w:tcW w:w="2097" w:type="pct"/>
            <w:shd w:val="clear" w:color="auto" w:fill="auto"/>
            <w:noWrap/>
            <w:vAlign w:val="center"/>
          </w:tcPr>
          <w:p w14:paraId="5A53A1D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青岛海尔机器人有限公司</w:t>
            </w:r>
          </w:p>
        </w:tc>
        <w:tc>
          <w:tcPr>
            <w:tcW w:w="1290" w:type="pct"/>
            <w:shd w:val="clear" w:color="auto" w:fill="auto"/>
            <w:noWrap/>
            <w:vAlign w:val="center"/>
          </w:tcPr>
          <w:p w14:paraId="5573DD4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647.97</w:t>
            </w:r>
          </w:p>
        </w:tc>
        <w:tc>
          <w:tcPr>
            <w:tcW w:w="1613" w:type="pct"/>
            <w:shd w:val="clear" w:color="auto" w:fill="auto"/>
            <w:noWrap/>
            <w:vAlign w:val="center"/>
          </w:tcPr>
          <w:p w14:paraId="58FD3E3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8.58%</w:t>
            </w:r>
          </w:p>
        </w:tc>
      </w:tr>
      <w:tr w:rsidR="00C02929" w14:paraId="6D95B060" w14:textId="77777777">
        <w:trPr>
          <w:trHeight w:val="397"/>
        </w:trPr>
        <w:tc>
          <w:tcPr>
            <w:tcW w:w="5000" w:type="pct"/>
            <w:gridSpan w:val="3"/>
            <w:shd w:val="clear" w:color="auto" w:fill="auto"/>
            <w:noWrap/>
            <w:vAlign w:val="center"/>
          </w:tcPr>
          <w:p w14:paraId="2ECC4592"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w:t>
            </w:r>
          </w:p>
        </w:tc>
      </w:tr>
      <w:tr w:rsidR="00C02929" w14:paraId="4EF8F1DC" w14:textId="77777777">
        <w:trPr>
          <w:trHeight w:val="397"/>
        </w:trPr>
        <w:tc>
          <w:tcPr>
            <w:tcW w:w="2097" w:type="pct"/>
            <w:shd w:val="clear" w:color="auto" w:fill="auto"/>
            <w:noWrap/>
            <w:vAlign w:val="center"/>
          </w:tcPr>
          <w:p w14:paraId="229C57E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290" w:type="pct"/>
            <w:shd w:val="clear" w:color="auto" w:fill="auto"/>
            <w:noWrap/>
            <w:vAlign w:val="center"/>
          </w:tcPr>
          <w:p w14:paraId="62E3EFB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851.50</w:t>
            </w:r>
          </w:p>
        </w:tc>
        <w:tc>
          <w:tcPr>
            <w:tcW w:w="1613" w:type="pct"/>
            <w:shd w:val="clear" w:color="auto" w:fill="auto"/>
            <w:noWrap/>
            <w:vAlign w:val="center"/>
          </w:tcPr>
          <w:p w14:paraId="5D70E47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12.90%</w:t>
            </w:r>
          </w:p>
        </w:tc>
      </w:tr>
    </w:tbl>
    <w:p w14:paraId="3F6355D8"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由于青岛海尔机器人有限公司拥有埃斯顿机器人的代理销售权，</w:t>
      </w:r>
      <w:r>
        <w:rPr>
          <w:rFonts w:ascii="Times New Roman" w:hAnsi="Times New Roman" w:cs="Times New Roman"/>
          <w:color w:val="000000"/>
          <w:lang w:val="en-GB"/>
        </w:rPr>
        <w:t>2019</w:t>
      </w:r>
      <w:r>
        <w:rPr>
          <w:rFonts w:ascii="Times New Roman" w:hAnsi="Times New Roman" w:cs="Times New Roman" w:hint="eastAsia"/>
          <w:color w:val="000000"/>
          <w:lang w:val="en-GB"/>
        </w:rPr>
        <w:t>年北洋天青业务所需部分机型通过青岛海尔机器人有限公司集中采购较北洋天青直接向埃斯顿单独购买有一定价格优势，所以</w:t>
      </w:r>
      <w:r>
        <w:rPr>
          <w:rFonts w:ascii="Times New Roman" w:hAnsi="Times New Roman" w:cs="Times New Roman"/>
          <w:color w:val="000000"/>
          <w:lang w:val="en-GB"/>
        </w:rPr>
        <w:t>2019</w:t>
      </w:r>
      <w:r>
        <w:rPr>
          <w:rFonts w:ascii="Times New Roman" w:hAnsi="Times New Roman" w:cs="Times New Roman" w:hint="eastAsia"/>
          <w:color w:val="000000"/>
          <w:lang w:val="en-GB"/>
        </w:rPr>
        <w:t>年北洋天青存在向青岛海尔机器人有限公司采购埃斯顿机器人的情形。</w:t>
      </w:r>
    </w:p>
    <w:p w14:paraId="60E11FE6"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（二）生产情况</w:t>
      </w:r>
    </w:p>
    <w:p w14:paraId="3791B1FE"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北洋天青生产的智能制造装备及智能化、信息化生产线属于非标自动化产品。北洋天青根据客户提出的设备技术要求，深入了解客户相关产品的生产工艺，制定生产设备详细规划方案，配合电气控制系统，设计制造出满足客户需求的信息化集成自动化设备及生产线。北洋天青产品覆盖洗衣机、冰箱、热水器、空调等白色家智能制造领域，符合海尔集团公司对产品与服务的需求，因而与北洋天青建立了合作关系。北洋天青主要为海尔集团公司及其下属公司提供工业智能化和信息化的单独板块产品，生产线智能化建设、升级和改造、以及数字化生产车间的整体解决方案等相关的产品和服务。</w:t>
      </w:r>
    </w:p>
    <w:p w14:paraId="6B662547"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（三）销售情况</w:t>
      </w:r>
    </w:p>
    <w:p w14:paraId="48B103F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主营业务为生产线智能化、信息化的建设、升级和改造行业整体解决方案，形成了包括工业机器人本体及系统集成、智能制造装备、机器视觉、测试系统集成、模具立体库自动换模系统、物流悬挂输送系统和企业信息化七大业务板块的产品线。</w:t>
      </w:r>
    </w:p>
    <w:p w14:paraId="49F2C9A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报告期内，北洋天青与主要客户保持了良好稳定的合作关系，相互之间的合作时间较长，稳定性较高。标的公司报告期内第一大客户均为海尔集团公司，客户集中度较高，主要受我国家电行业品牌集中度高、家电生产厂商所在区域比较集中等因素影响。标的公司地处青岛，相比其他地区竞争对手可以更好地为本地家电企业提供服务，因此也更容易获得本地家电企业的订单。此外，标的公司凭</w:t>
      </w:r>
      <w:r>
        <w:rPr>
          <w:rFonts w:ascii="Times New Roman" w:hAnsi="Times New Roman" w:cs="Times New Roman" w:hint="eastAsia"/>
          <w:bCs/>
          <w:color w:val="000000"/>
          <w:szCs w:val="21"/>
        </w:rPr>
        <w:lastRenderedPageBreak/>
        <w:t>借与海尔集团公司下属青岛公司的良好合作，不断扩大自身的品牌影响力，逐渐拓展与海尔集团公司其他区域下属公司的合作关系。</w:t>
      </w:r>
    </w:p>
    <w:p w14:paraId="022F66E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定制化系统集成业务与机器人及配套业务是北洋天青的主营业务。报告期内，北洋天青拥有沃德精机、</w:t>
      </w:r>
      <w:r>
        <w:rPr>
          <w:rFonts w:ascii="Times New Roman" w:hAnsi="Times New Roman" w:cs="Times New Roman" w:hint="eastAsia"/>
          <w:bCs/>
          <w:color w:val="000000"/>
          <w:szCs w:val="21"/>
        </w:rPr>
        <w:t>ABB</w:t>
      </w:r>
      <w:r>
        <w:rPr>
          <w:rFonts w:ascii="Times New Roman" w:hAnsi="Times New Roman" w:cs="Times New Roman" w:hint="eastAsia"/>
          <w:bCs/>
          <w:color w:val="000000"/>
          <w:szCs w:val="21"/>
        </w:rPr>
        <w:t>机器人、川崎机器人代理授权书及战略合作协议，可以较青岛“好品海智”信息技术有限公司获得更加优惠的专机、机器人采购价格，因此存在青岛“好品海智”信息技术有限公司向北洋天青采购压机、机器人及相关配套服务的情形。如</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30</w:t>
      </w:r>
      <w:r>
        <w:rPr>
          <w:rFonts w:ascii="Times New Roman" w:hAnsi="Times New Roman" w:cs="Times New Roman" w:hint="eastAsia"/>
          <w:bCs/>
          <w:color w:val="000000"/>
          <w:szCs w:val="21"/>
        </w:rPr>
        <w:t>日和</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22</w:t>
      </w:r>
      <w:r>
        <w:rPr>
          <w:rFonts w:ascii="Times New Roman" w:hAnsi="Times New Roman" w:cs="Times New Roman" w:hint="eastAsia"/>
          <w:bCs/>
          <w:color w:val="000000"/>
          <w:szCs w:val="21"/>
        </w:rPr>
        <w:t>日，青岛好品海智信息技术有限公司分别从北洋天青采购各型号川崎机器人</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台和</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台。</w:t>
      </w:r>
    </w:p>
    <w:p w14:paraId="6F8BBE8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报告期内，北洋天青与海尔集团公司下属公司主要销售情况如下：</w:t>
      </w:r>
    </w:p>
    <w:p w14:paraId="5F1A131F"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088"/>
        <w:gridCol w:w="2234"/>
        <w:gridCol w:w="2200"/>
      </w:tblGrid>
      <w:tr w:rsidR="00C02929" w14:paraId="1A37DB25" w14:textId="77777777">
        <w:trPr>
          <w:trHeight w:val="397"/>
          <w:tblHeader/>
        </w:trPr>
        <w:tc>
          <w:tcPr>
            <w:tcW w:w="2398" w:type="pct"/>
            <w:shd w:val="clear" w:color="auto" w:fill="auto"/>
            <w:noWrap/>
            <w:vAlign w:val="center"/>
          </w:tcPr>
          <w:p w14:paraId="065C6C66"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客户名称</w:t>
            </w:r>
          </w:p>
        </w:tc>
        <w:tc>
          <w:tcPr>
            <w:tcW w:w="1311" w:type="pct"/>
            <w:shd w:val="clear" w:color="auto" w:fill="auto"/>
            <w:noWrap/>
            <w:vAlign w:val="center"/>
          </w:tcPr>
          <w:p w14:paraId="22B73A4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1291" w:type="pct"/>
            <w:shd w:val="clear" w:color="auto" w:fill="auto"/>
            <w:noWrap/>
            <w:vAlign w:val="center"/>
          </w:tcPr>
          <w:p w14:paraId="6A42A81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r>
      <w:tr w:rsidR="00C02929" w14:paraId="5D1B8737" w14:textId="77777777">
        <w:trPr>
          <w:trHeight w:val="397"/>
        </w:trPr>
        <w:tc>
          <w:tcPr>
            <w:tcW w:w="5000" w:type="pct"/>
            <w:gridSpan w:val="3"/>
            <w:shd w:val="clear" w:color="auto" w:fill="auto"/>
            <w:noWrap/>
            <w:vAlign w:val="center"/>
          </w:tcPr>
          <w:p w14:paraId="6BDECAEB" w14:textId="77777777" w:rsidR="00C02929" w:rsidRDefault="006116D1">
            <w:pPr>
              <w:jc w:val="center"/>
              <w:rPr>
                <w:rFonts w:ascii="Times New Roman" w:hAnsi="Times New Roman" w:cs="Times New Roman"/>
                <w:b/>
                <w:bCs/>
                <w:sz w:val="21"/>
                <w:szCs w:val="21"/>
              </w:rPr>
            </w:pPr>
            <w:r>
              <w:rPr>
                <w:rFonts w:ascii="Times New Roman" w:hAnsi="Times New Roman" w:cs="Times New Roman"/>
                <w:b/>
                <w:bCs/>
                <w:sz w:val="21"/>
                <w:szCs w:val="21"/>
              </w:rPr>
              <w:t>2020</w:t>
            </w:r>
            <w:r>
              <w:rPr>
                <w:rFonts w:ascii="Times New Roman" w:hAnsi="Times New Roman" w:cs="Times New Roman" w:hint="eastAsia"/>
                <w:b/>
                <w:bCs/>
                <w:sz w:val="21"/>
                <w:szCs w:val="21"/>
              </w:rPr>
              <w:t>年度</w:t>
            </w:r>
          </w:p>
        </w:tc>
      </w:tr>
      <w:tr w:rsidR="00C02929" w14:paraId="313157B6" w14:textId="77777777">
        <w:trPr>
          <w:trHeight w:val="397"/>
        </w:trPr>
        <w:tc>
          <w:tcPr>
            <w:tcW w:w="2398" w:type="pct"/>
            <w:shd w:val="clear" w:color="auto" w:fill="auto"/>
            <w:noWrap/>
            <w:vAlign w:val="center"/>
          </w:tcPr>
          <w:p w14:paraId="041F2DE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合肥海尔电冰箱有限公司</w:t>
            </w:r>
          </w:p>
        </w:tc>
        <w:tc>
          <w:tcPr>
            <w:tcW w:w="1311" w:type="pct"/>
            <w:shd w:val="clear" w:color="auto" w:fill="auto"/>
            <w:noWrap/>
            <w:vAlign w:val="center"/>
          </w:tcPr>
          <w:p w14:paraId="3B3110D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1,961.12</w:t>
            </w:r>
          </w:p>
        </w:tc>
        <w:tc>
          <w:tcPr>
            <w:tcW w:w="1291" w:type="pct"/>
            <w:shd w:val="clear" w:color="auto" w:fill="auto"/>
            <w:noWrap/>
            <w:vAlign w:val="center"/>
          </w:tcPr>
          <w:p w14:paraId="645F25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13.03%</w:t>
            </w:r>
          </w:p>
        </w:tc>
      </w:tr>
      <w:tr w:rsidR="00C02929" w14:paraId="3C4CCF41" w14:textId="77777777">
        <w:trPr>
          <w:trHeight w:val="397"/>
        </w:trPr>
        <w:tc>
          <w:tcPr>
            <w:tcW w:w="2398" w:type="pct"/>
            <w:shd w:val="clear" w:color="auto" w:fill="auto"/>
            <w:noWrap/>
            <w:vAlign w:val="center"/>
          </w:tcPr>
          <w:p w14:paraId="4CFEBCC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青岛海尔空调电子有限公司</w:t>
            </w:r>
          </w:p>
        </w:tc>
        <w:tc>
          <w:tcPr>
            <w:tcW w:w="1311" w:type="pct"/>
            <w:shd w:val="clear" w:color="auto" w:fill="auto"/>
            <w:noWrap/>
            <w:vAlign w:val="center"/>
          </w:tcPr>
          <w:p w14:paraId="639C179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1,168.14</w:t>
            </w:r>
          </w:p>
        </w:tc>
        <w:tc>
          <w:tcPr>
            <w:tcW w:w="1291" w:type="pct"/>
            <w:shd w:val="clear" w:color="auto" w:fill="auto"/>
            <w:noWrap/>
            <w:vAlign w:val="center"/>
          </w:tcPr>
          <w:p w14:paraId="7641259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7.76%</w:t>
            </w:r>
          </w:p>
        </w:tc>
      </w:tr>
      <w:tr w:rsidR="00C02929" w14:paraId="077F54A9" w14:textId="77777777">
        <w:trPr>
          <w:trHeight w:val="397"/>
        </w:trPr>
        <w:tc>
          <w:tcPr>
            <w:tcW w:w="2398" w:type="pct"/>
            <w:shd w:val="clear" w:color="auto" w:fill="auto"/>
            <w:noWrap/>
            <w:vAlign w:val="center"/>
          </w:tcPr>
          <w:p w14:paraId="69B7B49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青岛海尔电冰箱有限公司</w:t>
            </w:r>
          </w:p>
        </w:tc>
        <w:tc>
          <w:tcPr>
            <w:tcW w:w="1311" w:type="pct"/>
            <w:shd w:val="clear" w:color="auto" w:fill="auto"/>
            <w:noWrap/>
            <w:vAlign w:val="center"/>
          </w:tcPr>
          <w:p w14:paraId="47973B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1,033.54</w:t>
            </w:r>
          </w:p>
        </w:tc>
        <w:tc>
          <w:tcPr>
            <w:tcW w:w="1291" w:type="pct"/>
            <w:shd w:val="clear" w:color="auto" w:fill="auto"/>
            <w:noWrap/>
            <w:vAlign w:val="center"/>
          </w:tcPr>
          <w:p w14:paraId="0FD55DE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6.86%</w:t>
            </w:r>
          </w:p>
        </w:tc>
      </w:tr>
      <w:tr w:rsidR="00C02929" w14:paraId="6D9C575F" w14:textId="77777777">
        <w:trPr>
          <w:trHeight w:val="397"/>
        </w:trPr>
        <w:tc>
          <w:tcPr>
            <w:tcW w:w="2398" w:type="pct"/>
            <w:shd w:val="clear" w:color="auto" w:fill="auto"/>
            <w:noWrap/>
            <w:vAlign w:val="center"/>
          </w:tcPr>
          <w:p w14:paraId="3ADF9BA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青岛海尔机器人有限公司</w:t>
            </w:r>
          </w:p>
        </w:tc>
        <w:tc>
          <w:tcPr>
            <w:tcW w:w="1311" w:type="pct"/>
            <w:shd w:val="clear" w:color="auto" w:fill="auto"/>
            <w:noWrap/>
            <w:vAlign w:val="center"/>
          </w:tcPr>
          <w:p w14:paraId="2F6341B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858.41</w:t>
            </w:r>
          </w:p>
        </w:tc>
        <w:tc>
          <w:tcPr>
            <w:tcW w:w="1291" w:type="pct"/>
            <w:shd w:val="clear" w:color="auto" w:fill="auto"/>
            <w:noWrap/>
            <w:vAlign w:val="center"/>
          </w:tcPr>
          <w:p w14:paraId="0DDCE07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5.70%</w:t>
            </w:r>
          </w:p>
        </w:tc>
      </w:tr>
      <w:tr w:rsidR="00C02929" w14:paraId="6C9F1B5D" w14:textId="77777777">
        <w:trPr>
          <w:trHeight w:val="397"/>
        </w:trPr>
        <w:tc>
          <w:tcPr>
            <w:tcW w:w="2398" w:type="pct"/>
            <w:shd w:val="clear" w:color="auto" w:fill="auto"/>
            <w:noWrap/>
            <w:vAlign w:val="center"/>
          </w:tcPr>
          <w:p w14:paraId="21D0DA6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海尔智家股份有限公司</w:t>
            </w:r>
          </w:p>
        </w:tc>
        <w:tc>
          <w:tcPr>
            <w:tcW w:w="1311" w:type="pct"/>
            <w:shd w:val="clear" w:color="auto" w:fill="auto"/>
            <w:noWrap/>
            <w:vAlign w:val="center"/>
          </w:tcPr>
          <w:p w14:paraId="6457D49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815.93</w:t>
            </w:r>
          </w:p>
        </w:tc>
        <w:tc>
          <w:tcPr>
            <w:tcW w:w="1291" w:type="pct"/>
            <w:shd w:val="clear" w:color="auto" w:fill="auto"/>
            <w:noWrap/>
            <w:vAlign w:val="center"/>
          </w:tcPr>
          <w:p w14:paraId="1882CA7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5.42%</w:t>
            </w:r>
          </w:p>
        </w:tc>
      </w:tr>
      <w:tr w:rsidR="00C02929" w14:paraId="466C69CE" w14:textId="77777777">
        <w:trPr>
          <w:trHeight w:val="397"/>
        </w:trPr>
        <w:tc>
          <w:tcPr>
            <w:tcW w:w="2398" w:type="pct"/>
            <w:shd w:val="clear" w:color="auto" w:fill="auto"/>
            <w:noWrap/>
            <w:vAlign w:val="center"/>
          </w:tcPr>
          <w:p w14:paraId="2EE9A59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青岛海尔智慧电器设备有限公司</w:t>
            </w:r>
          </w:p>
        </w:tc>
        <w:tc>
          <w:tcPr>
            <w:tcW w:w="1311" w:type="pct"/>
            <w:shd w:val="clear" w:color="auto" w:fill="auto"/>
            <w:noWrap/>
            <w:vAlign w:val="center"/>
          </w:tcPr>
          <w:p w14:paraId="54824D6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734.51</w:t>
            </w:r>
          </w:p>
        </w:tc>
        <w:tc>
          <w:tcPr>
            <w:tcW w:w="1291" w:type="pct"/>
            <w:shd w:val="clear" w:color="auto" w:fill="auto"/>
            <w:noWrap/>
            <w:vAlign w:val="center"/>
          </w:tcPr>
          <w:p w14:paraId="25E1119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4.88%</w:t>
            </w:r>
          </w:p>
        </w:tc>
      </w:tr>
      <w:tr w:rsidR="00C02929" w14:paraId="72CAEE3A" w14:textId="77777777">
        <w:trPr>
          <w:trHeight w:val="397"/>
        </w:trPr>
        <w:tc>
          <w:tcPr>
            <w:tcW w:w="2398" w:type="pct"/>
            <w:shd w:val="clear" w:color="auto" w:fill="auto"/>
            <w:noWrap/>
            <w:vAlign w:val="center"/>
          </w:tcPr>
          <w:p w14:paraId="4823D42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沈阳海尔电冰箱有限公司</w:t>
            </w:r>
          </w:p>
        </w:tc>
        <w:tc>
          <w:tcPr>
            <w:tcW w:w="1311" w:type="pct"/>
            <w:shd w:val="clear" w:color="auto" w:fill="auto"/>
            <w:noWrap/>
            <w:vAlign w:val="center"/>
          </w:tcPr>
          <w:p w14:paraId="218EF7F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703.54</w:t>
            </w:r>
          </w:p>
        </w:tc>
        <w:tc>
          <w:tcPr>
            <w:tcW w:w="1291" w:type="pct"/>
            <w:shd w:val="clear" w:color="auto" w:fill="auto"/>
            <w:noWrap/>
            <w:vAlign w:val="center"/>
          </w:tcPr>
          <w:p w14:paraId="04CACA9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4.67%</w:t>
            </w:r>
          </w:p>
        </w:tc>
      </w:tr>
      <w:tr w:rsidR="00C02929" w14:paraId="2505D63C" w14:textId="77777777">
        <w:trPr>
          <w:trHeight w:val="397"/>
        </w:trPr>
        <w:tc>
          <w:tcPr>
            <w:tcW w:w="2398" w:type="pct"/>
            <w:shd w:val="clear" w:color="auto" w:fill="auto"/>
            <w:noWrap/>
            <w:vAlign w:val="center"/>
          </w:tcPr>
          <w:p w14:paraId="6E220C1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佛山海尔电冰柜有限公司</w:t>
            </w:r>
          </w:p>
        </w:tc>
        <w:tc>
          <w:tcPr>
            <w:tcW w:w="1311" w:type="pct"/>
            <w:shd w:val="clear" w:color="auto" w:fill="auto"/>
            <w:noWrap/>
            <w:vAlign w:val="center"/>
          </w:tcPr>
          <w:p w14:paraId="2B36090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703.54</w:t>
            </w:r>
          </w:p>
        </w:tc>
        <w:tc>
          <w:tcPr>
            <w:tcW w:w="1291" w:type="pct"/>
            <w:shd w:val="clear" w:color="auto" w:fill="auto"/>
            <w:noWrap/>
            <w:vAlign w:val="center"/>
          </w:tcPr>
          <w:p w14:paraId="5305EA9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4.67%</w:t>
            </w:r>
          </w:p>
        </w:tc>
      </w:tr>
      <w:tr w:rsidR="00C02929" w14:paraId="1F080FF8" w14:textId="77777777">
        <w:trPr>
          <w:trHeight w:val="397"/>
        </w:trPr>
        <w:tc>
          <w:tcPr>
            <w:tcW w:w="2398" w:type="pct"/>
            <w:shd w:val="clear" w:color="auto" w:fill="auto"/>
            <w:noWrap/>
            <w:vAlign w:val="center"/>
          </w:tcPr>
          <w:p w14:paraId="6BF88FC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青岛海尔特种电冰箱有限公司</w:t>
            </w:r>
          </w:p>
        </w:tc>
        <w:tc>
          <w:tcPr>
            <w:tcW w:w="1311" w:type="pct"/>
            <w:shd w:val="clear" w:color="auto" w:fill="auto"/>
            <w:noWrap/>
            <w:vAlign w:val="center"/>
          </w:tcPr>
          <w:p w14:paraId="39B129F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698.23</w:t>
            </w:r>
          </w:p>
        </w:tc>
        <w:tc>
          <w:tcPr>
            <w:tcW w:w="1291" w:type="pct"/>
            <w:shd w:val="clear" w:color="auto" w:fill="auto"/>
            <w:noWrap/>
            <w:vAlign w:val="center"/>
          </w:tcPr>
          <w:p w14:paraId="5CA41D6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4.64%</w:t>
            </w:r>
          </w:p>
        </w:tc>
      </w:tr>
      <w:tr w:rsidR="00C02929" w14:paraId="793B10C6" w14:textId="77777777">
        <w:trPr>
          <w:trHeight w:val="397"/>
        </w:trPr>
        <w:tc>
          <w:tcPr>
            <w:tcW w:w="2398" w:type="pct"/>
            <w:shd w:val="clear" w:color="auto" w:fill="auto"/>
            <w:noWrap/>
            <w:vAlign w:val="center"/>
          </w:tcPr>
          <w:p w14:paraId="13596EF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青岛蓝鲸科技有限公司</w:t>
            </w:r>
          </w:p>
        </w:tc>
        <w:tc>
          <w:tcPr>
            <w:tcW w:w="1311" w:type="pct"/>
            <w:shd w:val="clear" w:color="auto" w:fill="auto"/>
            <w:noWrap/>
            <w:vAlign w:val="center"/>
          </w:tcPr>
          <w:p w14:paraId="6903CE3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663.72</w:t>
            </w:r>
          </w:p>
        </w:tc>
        <w:tc>
          <w:tcPr>
            <w:tcW w:w="1291" w:type="pct"/>
            <w:shd w:val="clear" w:color="auto" w:fill="auto"/>
            <w:noWrap/>
            <w:vAlign w:val="center"/>
          </w:tcPr>
          <w:p w14:paraId="520A891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4.41%</w:t>
            </w:r>
          </w:p>
        </w:tc>
      </w:tr>
      <w:tr w:rsidR="00C02929" w14:paraId="2443800E" w14:textId="77777777">
        <w:trPr>
          <w:trHeight w:val="397"/>
        </w:trPr>
        <w:tc>
          <w:tcPr>
            <w:tcW w:w="2398" w:type="pct"/>
            <w:shd w:val="clear" w:color="auto" w:fill="auto"/>
            <w:noWrap/>
            <w:vAlign w:val="center"/>
          </w:tcPr>
          <w:p w14:paraId="69FF63B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合肥海尔空调电子有限公司</w:t>
            </w:r>
          </w:p>
        </w:tc>
        <w:tc>
          <w:tcPr>
            <w:tcW w:w="1311" w:type="pct"/>
            <w:shd w:val="clear" w:color="auto" w:fill="auto"/>
            <w:noWrap/>
            <w:vAlign w:val="center"/>
          </w:tcPr>
          <w:p w14:paraId="05A0E04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236.29</w:t>
            </w:r>
          </w:p>
        </w:tc>
        <w:tc>
          <w:tcPr>
            <w:tcW w:w="1291" w:type="pct"/>
            <w:shd w:val="clear" w:color="auto" w:fill="auto"/>
            <w:noWrap/>
            <w:vAlign w:val="center"/>
          </w:tcPr>
          <w:p w14:paraId="07C8251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1.57%</w:t>
            </w:r>
          </w:p>
        </w:tc>
      </w:tr>
      <w:tr w:rsidR="00C02929" w14:paraId="4B52656B" w14:textId="77777777">
        <w:trPr>
          <w:trHeight w:val="397"/>
        </w:trPr>
        <w:tc>
          <w:tcPr>
            <w:tcW w:w="2398" w:type="pct"/>
            <w:shd w:val="clear" w:color="auto" w:fill="auto"/>
            <w:noWrap/>
            <w:vAlign w:val="center"/>
          </w:tcPr>
          <w:p w14:paraId="4C94625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青岛海尔特种制冷电器有限公司</w:t>
            </w:r>
          </w:p>
        </w:tc>
        <w:tc>
          <w:tcPr>
            <w:tcW w:w="1311" w:type="pct"/>
            <w:shd w:val="clear" w:color="auto" w:fill="auto"/>
            <w:noWrap/>
            <w:vAlign w:val="center"/>
          </w:tcPr>
          <w:p w14:paraId="738E7C5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218.32</w:t>
            </w:r>
          </w:p>
        </w:tc>
        <w:tc>
          <w:tcPr>
            <w:tcW w:w="1291" w:type="pct"/>
            <w:shd w:val="clear" w:color="auto" w:fill="auto"/>
            <w:noWrap/>
            <w:vAlign w:val="center"/>
          </w:tcPr>
          <w:p w14:paraId="3C45581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1.45%</w:t>
            </w:r>
          </w:p>
        </w:tc>
      </w:tr>
      <w:tr w:rsidR="00C02929" w14:paraId="108C75D8" w14:textId="77777777">
        <w:trPr>
          <w:trHeight w:val="397"/>
        </w:trPr>
        <w:tc>
          <w:tcPr>
            <w:tcW w:w="2398" w:type="pct"/>
            <w:shd w:val="clear" w:color="auto" w:fill="auto"/>
            <w:noWrap/>
            <w:vAlign w:val="center"/>
          </w:tcPr>
          <w:p w14:paraId="330990A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311" w:type="pct"/>
            <w:shd w:val="clear" w:color="auto" w:fill="auto"/>
            <w:noWrap/>
            <w:vAlign w:val="center"/>
          </w:tcPr>
          <w:p w14:paraId="10FEA41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106.90</w:t>
            </w:r>
          </w:p>
        </w:tc>
        <w:tc>
          <w:tcPr>
            <w:tcW w:w="1291" w:type="pct"/>
            <w:shd w:val="clear" w:color="auto" w:fill="auto"/>
            <w:noWrap/>
            <w:vAlign w:val="center"/>
          </w:tcPr>
          <w:p w14:paraId="13E9EF4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0.71%</w:t>
            </w:r>
          </w:p>
        </w:tc>
      </w:tr>
      <w:tr w:rsidR="00C02929" w14:paraId="79CEA35B" w14:textId="77777777">
        <w:trPr>
          <w:trHeight w:val="397"/>
        </w:trPr>
        <w:tc>
          <w:tcPr>
            <w:tcW w:w="2398" w:type="pct"/>
            <w:shd w:val="clear" w:color="auto" w:fill="auto"/>
            <w:noWrap/>
            <w:vAlign w:val="center"/>
          </w:tcPr>
          <w:p w14:paraId="7791A22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青岛海尔洗碗机有限公司</w:t>
            </w:r>
          </w:p>
        </w:tc>
        <w:tc>
          <w:tcPr>
            <w:tcW w:w="1311" w:type="pct"/>
            <w:shd w:val="clear" w:color="auto" w:fill="auto"/>
            <w:noWrap/>
            <w:vAlign w:val="center"/>
          </w:tcPr>
          <w:p w14:paraId="2906A55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61.06</w:t>
            </w:r>
          </w:p>
        </w:tc>
        <w:tc>
          <w:tcPr>
            <w:tcW w:w="1291" w:type="pct"/>
            <w:shd w:val="clear" w:color="auto" w:fill="auto"/>
            <w:noWrap/>
            <w:vAlign w:val="center"/>
          </w:tcPr>
          <w:p w14:paraId="7F018EC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0.41%</w:t>
            </w:r>
          </w:p>
        </w:tc>
      </w:tr>
      <w:tr w:rsidR="00C02929" w14:paraId="0C54B573" w14:textId="77777777">
        <w:trPr>
          <w:trHeight w:val="397"/>
        </w:trPr>
        <w:tc>
          <w:tcPr>
            <w:tcW w:w="2398" w:type="pct"/>
            <w:shd w:val="clear" w:color="auto" w:fill="auto"/>
            <w:noWrap/>
            <w:vAlign w:val="center"/>
          </w:tcPr>
          <w:p w14:paraId="075DD61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青岛海尔洗涤电器有限公司</w:t>
            </w:r>
          </w:p>
        </w:tc>
        <w:tc>
          <w:tcPr>
            <w:tcW w:w="1311" w:type="pct"/>
            <w:shd w:val="clear" w:color="auto" w:fill="auto"/>
            <w:noWrap/>
            <w:vAlign w:val="center"/>
          </w:tcPr>
          <w:p w14:paraId="35EA155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42.04</w:t>
            </w:r>
          </w:p>
        </w:tc>
        <w:tc>
          <w:tcPr>
            <w:tcW w:w="1291" w:type="pct"/>
            <w:shd w:val="clear" w:color="auto" w:fill="auto"/>
            <w:noWrap/>
            <w:vAlign w:val="center"/>
          </w:tcPr>
          <w:p w14:paraId="7041187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0.28%</w:t>
            </w:r>
          </w:p>
        </w:tc>
      </w:tr>
      <w:tr w:rsidR="00C02929" w14:paraId="28574D83" w14:textId="77777777">
        <w:trPr>
          <w:trHeight w:val="397"/>
        </w:trPr>
        <w:tc>
          <w:tcPr>
            <w:tcW w:w="5000" w:type="pct"/>
            <w:gridSpan w:val="3"/>
            <w:shd w:val="clear" w:color="auto" w:fill="auto"/>
            <w:noWrap/>
            <w:vAlign w:val="center"/>
          </w:tcPr>
          <w:p w14:paraId="28C1A803" w14:textId="77777777" w:rsidR="00C02929" w:rsidRDefault="006116D1">
            <w:pPr>
              <w:jc w:val="center"/>
              <w:rPr>
                <w:rFonts w:ascii="Times New Roman" w:hAnsi="Times New Roman" w:cs="Times New Roman"/>
                <w:b/>
                <w:bCs/>
                <w:sz w:val="21"/>
                <w:szCs w:val="21"/>
              </w:rPr>
            </w:pPr>
            <w:r>
              <w:rPr>
                <w:rFonts w:ascii="Times New Roman" w:hAnsi="Times New Roman" w:cs="Times New Roman"/>
                <w:b/>
                <w:bCs/>
                <w:sz w:val="21"/>
                <w:szCs w:val="21"/>
              </w:rPr>
              <w:t>2019</w:t>
            </w:r>
            <w:r>
              <w:rPr>
                <w:rFonts w:ascii="Times New Roman" w:hAnsi="Times New Roman" w:cs="Times New Roman" w:hint="eastAsia"/>
                <w:b/>
                <w:bCs/>
                <w:sz w:val="21"/>
                <w:szCs w:val="21"/>
              </w:rPr>
              <w:t>年度</w:t>
            </w:r>
          </w:p>
        </w:tc>
      </w:tr>
      <w:tr w:rsidR="00C02929" w14:paraId="07591D7A" w14:textId="77777777">
        <w:trPr>
          <w:trHeight w:val="397"/>
        </w:trPr>
        <w:tc>
          <w:tcPr>
            <w:tcW w:w="2398" w:type="pct"/>
            <w:shd w:val="clear" w:color="auto" w:fill="auto"/>
            <w:noWrap/>
            <w:vAlign w:val="center"/>
          </w:tcPr>
          <w:p w14:paraId="38456CF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青岛胶南海尔洗衣机有限公司</w:t>
            </w:r>
          </w:p>
        </w:tc>
        <w:tc>
          <w:tcPr>
            <w:tcW w:w="1311" w:type="pct"/>
            <w:shd w:val="clear" w:color="auto" w:fill="auto"/>
            <w:noWrap/>
            <w:vAlign w:val="center"/>
          </w:tcPr>
          <w:p w14:paraId="5A70FE90"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2,249.38</w:t>
            </w:r>
          </w:p>
        </w:tc>
        <w:tc>
          <w:tcPr>
            <w:tcW w:w="1291" w:type="pct"/>
            <w:shd w:val="clear" w:color="auto" w:fill="auto"/>
            <w:noWrap/>
            <w:vAlign w:val="center"/>
          </w:tcPr>
          <w:p w14:paraId="3BE2D02D"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21.78%</w:t>
            </w:r>
          </w:p>
        </w:tc>
      </w:tr>
      <w:tr w:rsidR="00C02929" w14:paraId="69712B95" w14:textId="77777777">
        <w:trPr>
          <w:trHeight w:val="397"/>
        </w:trPr>
        <w:tc>
          <w:tcPr>
            <w:tcW w:w="2398" w:type="pct"/>
            <w:shd w:val="clear" w:color="auto" w:fill="auto"/>
            <w:noWrap/>
            <w:vAlign w:val="center"/>
          </w:tcPr>
          <w:p w14:paraId="00CC7D9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青岛海尔智慧电器设备有限公司</w:t>
            </w:r>
          </w:p>
        </w:tc>
        <w:tc>
          <w:tcPr>
            <w:tcW w:w="1311" w:type="pct"/>
            <w:shd w:val="clear" w:color="auto" w:fill="auto"/>
            <w:noWrap/>
            <w:vAlign w:val="center"/>
          </w:tcPr>
          <w:p w14:paraId="3FFB6432"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1,423.28</w:t>
            </w:r>
          </w:p>
        </w:tc>
        <w:tc>
          <w:tcPr>
            <w:tcW w:w="1291" w:type="pct"/>
            <w:shd w:val="clear" w:color="auto" w:fill="auto"/>
            <w:noWrap/>
            <w:vAlign w:val="center"/>
          </w:tcPr>
          <w:p w14:paraId="2A3FB78B"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13.78%</w:t>
            </w:r>
          </w:p>
        </w:tc>
      </w:tr>
      <w:tr w:rsidR="00C02929" w14:paraId="69F1E4FA" w14:textId="77777777">
        <w:trPr>
          <w:trHeight w:val="397"/>
        </w:trPr>
        <w:tc>
          <w:tcPr>
            <w:tcW w:w="2398" w:type="pct"/>
            <w:shd w:val="clear" w:color="auto" w:fill="auto"/>
            <w:noWrap/>
            <w:vAlign w:val="center"/>
          </w:tcPr>
          <w:p w14:paraId="35A1D60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青岛海尔特种制冷电器有限公司</w:t>
            </w:r>
          </w:p>
        </w:tc>
        <w:tc>
          <w:tcPr>
            <w:tcW w:w="1311" w:type="pct"/>
            <w:shd w:val="clear" w:color="auto" w:fill="auto"/>
            <w:noWrap/>
            <w:vAlign w:val="center"/>
          </w:tcPr>
          <w:p w14:paraId="1C9CE81F"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990.52</w:t>
            </w:r>
          </w:p>
        </w:tc>
        <w:tc>
          <w:tcPr>
            <w:tcW w:w="1291" w:type="pct"/>
            <w:shd w:val="clear" w:color="auto" w:fill="auto"/>
            <w:noWrap/>
            <w:vAlign w:val="center"/>
          </w:tcPr>
          <w:p w14:paraId="4A81A05D"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9.59%</w:t>
            </w:r>
          </w:p>
        </w:tc>
      </w:tr>
      <w:tr w:rsidR="00C02929" w14:paraId="5CE22150" w14:textId="77777777">
        <w:trPr>
          <w:trHeight w:val="397"/>
        </w:trPr>
        <w:tc>
          <w:tcPr>
            <w:tcW w:w="2398" w:type="pct"/>
            <w:shd w:val="clear" w:color="auto" w:fill="auto"/>
            <w:noWrap/>
            <w:vAlign w:val="center"/>
          </w:tcPr>
          <w:p w14:paraId="7FEA38D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青岛海尔电冰箱有限公司</w:t>
            </w:r>
          </w:p>
        </w:tc>
        <w:tc>
          <w:tcPr>
            <w:tcW w:w="1311" w:type="pct"/>
            <w:shd w:val="clear" w:color="auto" w:fill="auto"/>
            <w:noWrap/>
            <w:vAlign w:val="center"/>
          </w:tcPr>
          <w:p w14:paraId="57927647"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845.44</w:t>
            </w:r>
          </w:p>
        </w:tc>
        <w:tc>
          <w:tcPr>
            <w:tcW w:w="1291" w:type="pct"/>
            <w:shd w:val="clear" w:color="auto" w:fill="auto"/>
            <w:noWrap/>
            <w:vAlign w:val="center"/>
          </w:tcPr>
          <w:p w14:paraId="28D05F3B"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8.19%</w:t>
            </w:r>
          </w:p>
        </w:tc>
      </w:tr>
      <w:tr w:rsidR="00C02929" w14:paraId="26D44D7E" w14:textId="77777777">
        <w:trPr>
          <w:trHeight w:val="397"/>
        </w:trPr>
        <w:tc>
          <w:tcPr>
            <w:tcW w:w="2398" w:type="pct"/>
            <w:shd w:val="clear" w:color="auto" w:fill="auto"/>
            <w:noWrap/>
            <w:vAlign w:val="center"/>
          </w:tcPr>
          <w:p w14:paraId="6A24F3D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lastRenderedPageBreak/>
              <w:t>青岛海尔洗碗机有限公司</w:t>
            </w:r>
          </w:p>
        </w:tc>
        <w:tc>
          <w:tcPr>
            <w:tcW w:w="1311" w:type="pct"/>
            <w:shd w:val="clear" w:color="auto" w:fill="auto"/>
            <w:noWrap/>
            <w:vAlign w:val="center"/>
          </w:tcPr>
          <w:p w14:paraId="26AA9F80"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758.62</w:t>
            </w:r>
          </w:p>
        </w:tc>
        <w:tc>
          <w:tcPr>
            <w:tcW w:w="1291" w:type="pct"/>
            <w:shd w:val="clear" w:color="auto" w:fill="auto"/>
            <w:noWrap/>
            <w:vAlign w:val="center"/>
          </w:tcPr>
          <w:p w14:paraId="7AB5ADAA"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7.35%</w:t>
            </w:r>
          </w:p>
        </w:tc>
      </w:tr>
      <w:tr w:rsidR="00C02929" w14:paraId="4D883A01" w14:textId="77777777">
        <w:trPr>
          <w:trHeight w:val="397"/>
        </w:trPr>
        <w:tc>
          <w:tcPr>
            <w:tcW w:w="2398" w:type="pct"/>
            <w:shd w:val="clear" w:color="auto" w:fill="auto"/>
            <w:noWrap/>
            <w:vAlign w:val="center"/>
          </w:tcPr>
          <w:p w14:paraId="39ADA2A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郑州海尔空调器有限公司</w:t>
            </w:r>
          </w:p>
        </w:tc>
        <w:tc>
          <w:tcPr>
            <w:tcW w:w="1311" w:type="pct"/>
            <w:shd w:val="clear" w:color="auto" w:fill="auto"/>
            <w:noWrap/>
            <w:vAlign w:val="center"/>
          </w:tcPr>
          <w:p w14:paraId="5544DBBF"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507.76</w:t>
            </w:r>
          </w:p>
        </w:tc>
        <w:tc>
          <w:tcPr>
            <w:tcW w:w="1291" w:type="pct"/>
            <w:shd w:val="clear" w:color="auto" w:fill="auto"/>
            <w:noWrap/>
            <w:vAlign w:val="center"/>
          </w:tcPr>
          <w:p w14:paraId="4DAEFF62"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4.92%</w:t>
            </w:r>
          </w:p>
        </w:tc>
      </w:tr>
      <w:tr w:rsidR="00C02929" w14:paraId="44C0137B" w14:textId="77777777">
        <w:trPr>
          <w:trHeight w:val="397"/>
        </w:trPr>
        <w:tc>
          <w:tcPr>
            <w:tcW w:w="2398" w:type="pct"/>
            <w:shd w:val="clear" w:color="auto" w:fill="auto"/>
            <w:noWrap/>
            <w:vAlign w:val="center"/>
          </w:tcPr>
          <w:p w14:paraId="7E26055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青岛海尔新能源电器有限公司</w:t>
            </w:r>
          </w:p>
        </w:tc>
        <w:tc>
          <w:tcPr>
            <w:tcW w:w="1311" w:type="pct"/>
            <w:shd w:val="clear" w:color="auto" w:fill="auto"/>
            <w:noWrap/>
            <w:vAlign w:val="center"/>
          </w:tcPr>
          <w:p w14:paraId="13A6BCCF"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451.72</w:t>
            </w:r>
          </w:p>
        </w:tc>
        <w:tc>
          <w:tcPr>
            <w:tcW w:w="1291" w:type="pct"/>
            <w:shd w:val="clear" w:color="auto" w:fill="auto"/>
            <w:noWrap/>
            <w:vAlign w:val="center"/>
          </w:tcPr>
          <w:p w14:paraId="7EA616A7"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4.37%</w:t>
            </w:r>
          </w:p>
        </w:tc>
      </w:tr>
      <w:tr w:rsidR="00C02929" w14:paraId="098AAF1F" w14:textId="77777777">
        <w:trPr>
          <w:trHeight w:val="397"/>
        </w:trPr>
        <w:tc>
          <w:tcPr>
            <w:tcW w:w="2398" w:type="pct"/>
            <w:shd w:val="clear" w:color="auto" w:fill="auto"/>
            <w:noWrap/>
            <w:vAlign w:val="center"/>
          </w:tcPr>
          <w:p w14:paraId="17B8379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重庆海尔洗衣机有限公司</w:t>
            </w:r>
          </w:p>
        </w:tc>
        <w:tc>
          <w:tcPr>
            <w:tcW w:w="1311" w:type="pct"/>
            <w:shd w:val="clear" w:color="auto" w:fill="auto"/>
            <w:noWrap/>
            <w:vAlign w:val="center"/>
          </w:tcPr>
          <w:p w14:paraId="113A6B63"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434.48</w:t>
            </w:r>
          </w:p>
        </w:tc>
        <w:tc>
          <w:tcPr>
            <w:tcW w:w="1291" w:type="pct"/>
            <w:shd w:val="clear" w:color="auto" w:fill="auto"/>
            <w:noWrap/>
            <w:vAlign w:val="center"/>
          </w:tcPr>
          <w:p w14:paraId="09367748"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4.21%</w:t>
            </w:r>
          </w:p>
        </w:tc>
      </w:tr>
      <w:tr w:rsidR="00C02929" w14:paraId="0653612C" w14:textId="77777777">
        <w:trPr>
          <w:trHeight w:val="397"/>
        </w:trPr>
        <w:tc>
          <w:tcPr>
            <w:tcW w:w="2398" w:type="pct"/>
            <w:shd w:val="clear" w:color="auto" w:fill="auto"/>
            <w:noWrap/>
            <w:vAlign w:val="center"/>
          </w:tcPr>
          <w:p w14:paraId="286CE0F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重庆海尔制冷电器有限公司</w:t>
            </w:r>
          </w:p>
        </w:tc>
        <w:tc>
          <w:tcPr>
            <w:tcW w:w="1311" w:type="pct"/>
            <w:shd w:val="clear" w:color="auto" w:fill="auto"/>
            <w:noWrap/>
            <w:vAlign w:val="center"/>
          </w:tcPr>
          <w:p w14:paraId="73FE95F4"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391.81</w:t>
            </w:r>
          </w:p>
        </w:tc>
        <w:tc>
          <w:tcPr>
            <w:tcW w:w="1291" w:type="pct"/>
            <w:shd w:val="clear" w:color="auto" w:fill="auto"/>
            <w:noWrap/>
            <w:vAlign w:val="center"/>
          </w:tcPr>
          <w:p w14:paraId="08CB9D04"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3.79%</w:t>
            </w:r>
          </w:p>
        </w:tc>
      </w:tr>
      <w:tr w:rsidR="00C02929" w14:paraId="38EE695A" w14:textId="77777777">
        <w:trPr>
          <w:trHeight w:val="397"/>
        </w:trPr>
        <w:tc>
          <w:tcPr>
            <w:tcW w:w="2398" w:type="pct"/>
            <w:shd w:val="clear" w:color="auto" w:fill="auto"/>
            <w:noWrap/>
            <w:vAlign w:val="center"/>
          </w:tcPr>
          <w:p w14:paraId="47C389B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青岛好品海智信息技术有限公司</w:t>
            </w:r>
          </w:p>
        </w:tc>
        <w:tc>
          <w:tcPr>
            <w:tcW w:w="1311" w:type="pct"/>
            <w:shd w:val="clear" w:color="auto" w:fill="auto"/>
            <w:noWrap/>
            <w:vAlign w:val="center"/>
          </w:tcPr>
          <w:p w14:paraId="3387C657"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356.31</w:t>
            </w:r>
          </w:p>
        </w:tc>
        <w:tc>
          <w:tcPr>
            <w:tcW w:w="1291" w:type="pct"/>
            <w:shd w:val="clear" w:color="auto" w:fill="auto"/>
            <w:noWrap/>
            <w:vAlign w:val="center"/>
          </w:tcPr>
          <w:p w14:paraId="7AD0D7A9"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3.45%</w:t>
            </w:r>
          </w:p>
        </w:tc>
      </w:tr>
      <w:tr w:rsidR="00C02929" w14:paraId="346D94FB" w14:textId="77777777">
        <w:trPr>
          <w:trHeight w:val="397"/>
        </w:trPr>
        <w:tc>
          <w:tcPr>
            <w:tcW w:w="2398" w:type="pct"/>
            <w:shd w:val="clear" w:color="auto" w:fill="auto"/>
            <w:noWrap/>
            <w:vAlign w:val="center"/>
          </w:tcPr>
          <w:p w14:paraId="2D4C7E6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青岛海尔股份有限公司</w:t>
            </w:r>
          </w:p>
        </w:tc>
        <w:tc>
          <w:tcPr>
            <w:tcW w:w="1311" w:type="pct"/>
            <w:shd w:val="clear" w:color="auto" w:fill="auto"/>
            <w:noWrap/>
            <w:vAlign w:val="center"/>
          </w:tcPr>
          <w:p w14:paraId="6A994386"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344.66</w:t>
            </w:r>
          </w:p>
        </w:tc>
        <w:tc>
          <w:tcPr>
            <w:tcW w:w="1291" w:type="pct"/>
            <w:shd w:val="clear" w:color="auto" w:fill="auto"/>
            <w:noWrap/>
            <w:vAlign w:val="center"/>
          </w:tcPr>
          <w:p w14:paraId="14C0684A"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3.34%</w:t>
            </w:r>
          </w:p>
        </w:tc>
      </w:tr>
      <w:tr w:rsidR="00C02929" w14:paraId="052941CD" w14:textId="77777777">
        <w:trPr>
          <w:trHeight w:val="397"/>
        </w:trPr>
        <w:tc>
          <w:tcPr>
            <w:tcW w:w="2398" w:type="pct"/>
            <w:shd w:val="clear" w:color="auto" w:fill="auto"/>
            <w:noWrap/>
            <w:vAlign w:val="center"/>
          </w:tcPr>
          <w:p w14:paraId="6AF9409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青岛海尔机器人有限公司</w:t>
            </w:r>
          </w:p>
        </w:tc>
        <w:tc>
          <w:tcPr>
            <w:tcW w:w="1311" w:type="pct"/>
            <w:shd w:val="clear" w:color="auto" w:fill="auto"/>
            <w:noWrap/>
            <w:vAlign w:val="center"/>
          </w:tcPr>
          <w:p w14:paraId="772EDD47"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105.72</w:t>
            </w:r>
          </w:p>
        </w:tc>
        <w:tc>
          <w:tcPr>
            <w:tcW w:w="1291" w:type="pct"/>
            <w:shd w:val="clear" w:color="auto" w:fill="auto"/>
            <w:noWrap/>
            <w:vAlign w:val="center"/>
          </w:tcPr>
          <w:p w14:paraId="5BEBEE7E"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1.02%</w:t>
            </w:r>
          </w:p>
        </w:tc>
      </w:tr>
      <w:tr w:rsidR="00C02929" w14:paraId="3BC1B294" w14:textId="77777777">
        <w:trPr>
          <w:trHeight w:val="397"/>
        </w:trPr>
        <w:tc>
          <w:tcPr>
            <w:tcW w:w="2398" w:type="pct"/>
            <w:shd w:val="clear" w:color="auto" w:fill="auto"/>
            <w:noWrap/>
            <w:vAlign w:val="center"/>
          </w:tcPr>
          <w:p w14:paraId="1ACE09C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青岛海尔电子塑胶有限公司</w:t>
            </w:r>
          </w:p>
        </w:tc>
        <w:tc>
          <w:tcPr>
            <w:tcW w:w="1311" w:type="pct"/>
            <w:shd w:val="clear" w:color="auto" w:fill="auto"/>
            <w:noWrap/>
            <w:vAlign w:val="center"/>
          </w:tcPr>
          <w:p w14:paraId="6D59C286"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47.33</w:t>
            </w:r>
          </w:p>
        </w:tc>
        <w:tc>
          <w:tcPr>
            <w:tcW w:w="1291" w:type="pct"/>
            <w:shd w:val="clear" w:color="auto" w:fill="auto"/>
            <w:noWrap/>
            <w:vAlign w:val="center"/>
          </w:tcPr>
          <w:p w14:paraId="27888777"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0.46%</w:t>
            </w:r>
          </w:p>
        </w:tc>
      </w:tr>
      <w:tr w:rsidR="00C02929" w14:paraId="3FC6547E" w14:textId="77777777">
        <w:trPr>
          <w:trHeight w:val="397"/>
        </w:trPr>
        <w:tc>
          <w:tcPr>
            <w:tcW w:w="2398" w:type="pct"/>
            <w:shd w:val="clear" w:color="auto" w:fill="auto"/>
            <w:noWrap/>
            <w:vAlign w:val="center"/>
          </w:tcPr>
          <w:p w14:paraId="10ECA32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青岛海尔机器人</w:t>
            </w:r>
          </w:p>
        </w:tc>
        <w:tc>
          <w:tcPr>
            <w:tcW w:w="1311" w:type="pct"/>
            <w:shd w:val="clear" w:color="auto" w:fill="auto"/>
            <w:noWrap/>
            <w:vAlign w:val="center"/>
          </w:tcPr>
          <w:p w14:paraId="613B91F0"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24.91</w:t>
            </w:r>
          </w:p>
        </w:tc>
        <w:tc>
          <w:tcPr>
            <w:tcW w:w="1291" w:type="pct"/>
            <w:shd w:val="clear" w:color="auto" w:fill="auto"/>
            <w:noWrap/>
            <w:vAlign w:val="center"/>
          </w:tcPr>
          <w:p w14:paraId="455A99AD"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0.24%</w:t>
            </w:r>
          </w:p>
        </w:tc>
      </w:tr>
      <w:tr w:rsidR="00C02929" w14:paraId="582BC48E" w14:textId="77777777">
        <w:trPr>
          <w:trHeight w:val="397"/>
        </w:trPr>
        <w:tc>
          <w:tcPr>
            <w:tcW w:w="5000" w:type="pct"/>
            <w:gridSpan w:val="3"/>
            <w:shd w:val="clear" w:color="auto" w:fill="auto"/>
            <w:noWrap/>
            <w:vAlign w:val="center"/>
          </w:tcPr>
          <w:p w14:paraId="36A44D07" w14:textId="77777777" w:rsidR="00C02929" w:rsidRDefault="006116D1">
            <w:pPr>
              <w:jc w:val="center"/>
              <w:rPr>
                <w:rFonts w:ascii="Times New Roman" w:hAnsi="Times New Roman" w:cs="Times New Roman"/>
                <w:b/>
                <w:bCs/>
                <w:sz w:val="21"/>
                <w:szCs w:val="21"/>
              </w:rPr>
            </w:pPr>
            <w:r>
              <w:rPr>
                <w:rFonts w:ascii="Times New Roman" w:hAnsi="Times New Roman" w:cs="Times New Roman"/>
                <w:b/>
                <w:bCs/>
                <w:sz w:val="21"/>
                <w:szCs w:val="21"/>
              </w:rPr>
              <w:t>2018</w:t>
            </w:r>
            <w:r>
              <w:rPr>
                <w:rFonts w:ascii="Times New Roman" w:hAnsi="Times New Roman" w:cs="Times New Roman" w:hint="eastAsia"/>
                <w:b/>
                <w:bCs/>
                <w:sz w:val="21"/>
                <w:szCs w:val="21"/>
              </w:rPr>
              <w:t>年度</w:t>
            </w:r>
          </w:p>
        </w:tc>
      </w:tr>
      <w:tr w:rsidR="00C02929" w14:paraId="4B58ED9B" w14:textId="77777777">
        <w:trPr>
          <w:trHeight w:val="397"/>
        </w:trPr>
        <w:tc>
          <w:tcPr>
            <w:tcW w:w="2398" w:type="pct"/>
            <w:shd w:val="clear" w:color="auto" w:fill="auto"/>
            <w:noWrap/>
            <w:vAlign w:val="center"/>
          </w:tcPr>
          <w:p w14:paraId="2220729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青岛好品海智信息技术有限公司</w:t>
            </w:r>
          </w:p>
        </w:tc>
        <w:tc>
          <w:tcPr>
            <w:tcW w:w="1311" w:type="pct"/>
            <w:shd w:val="clear" w:color="auto" w:fill="auto"/>
            <w:noWrap/>
            <w:vAlign w:val="center"/>
          </w:tcPr>
          <w:p w14:paraId="51D835F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2,148.25</w:t>
            </w:r>
          </w:p>
        </w:tc>
        <w:tc>
          <w:tcPr>
            <w:tcW w:w="1291" w:type="pct"/>
            <w:shd w:val="clear" w:color="auto" w:fill="auto"/>
            <w:noWrap/>
            <w:vAlign w:val="center"/>
          </w:tcPr>
          <w:p w14:paraId="6E9AFFE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35.18%</w:t>
            </w:r>
          </w:p>
        </w:tc>
      </w:tr>
      <w:tr w:rsidR="00C02929" w14:paraId="5E91E5B6" w14:textId="77777777">
        <w:trPr>
          <w:trHeight w:val="397"/>
        </w:trPr>
        <w:tc>
          <w:tcPr>
            <w:tcW w:w="2398" w:type="pct"/>
            <w:shd w:val="clear" w:color="auto" w:fill="auto"/>
            <w:noWrap/>
            <w:vAlign w:val="center"/>
          </w:tcPr>
          <w:p w14:paraId="2DA02A4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青岛海尔洗碗机有限公司</w:t>
            </w:r>
          </w:p>
        </w:tc>
        <w:tc>
          <w:tcPr>
            <w:tcW w:w="1311" w:type="pct"/>
            <w:shd w:val="clear" w:color="auto" w:fill="auto"/>
            <w:noWrap/>
            <w:vAlign w:val="center"/>
          </w:tcPr>
          <w:p w14:paraId="7483A16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597.44</w:t>
            </w:r>
          </w:p>
        </w:tc>
        <w:tc>
          <w:tcPr>
            <w:tcW w:w="1291" w:type="pct"/>
            <w:shd w:val="clear" w:color="auto" w:fill="auto"/>
            <w:noWrap/>
            <w:vAlign w:val="center"/>
          </w:tcPr>
          <w:p w14:paraId="78D355D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9.78%</w:t>
            </w:r>
          </w:p>
        </w:tc>
      </w:tr>
      <w:tr w:rsidR="00C02929" w14:paraId="149C1805" w14:textId="77777777">
        <w:trPr>
          <w:trHeight w:val="397"/>
        </w:trPr>
        <w:tc>
          <w:tcPr>
            <w:tcW w:w="2398" w:type="pct"/>
            <w:shd w:val="clear" w:color="auto" w:fill="auto"/>
            <w:noWrap/>
            <w:vAlign w:val="center"/>
          </w:tcPr>
          <w:p w14:paraId="1E265CA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合肥海尔滚筒洗衣机有限公司</w:t>
            </w:r>
          </w:p>
        </w:tc>
        <w:tc>
          <w:tcPr>
            <w:tcW w:w="1311" w:type="pct"/>
            <w:shd w:val="clear" w:color="auto" w:fill="auto"/>
            <w:noWrap/>
            <w:vAlign w:val="center"/>
          </w:tcPr>
          <w:p w14:paraId="40BD048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542.24</w:t>
            </w:r>
          </w:p>
        </w:tc>
        <w:tc>
          <w:tcPr>
            <w:tcW w:w="1291" w:type="pct"/>
            <w:shd w:val="clear" w:color="auto" w:fill="auto"/>
            <w:noWrap/>
            <w:vAlign w:val="center"/>
          </w:tcPr>
          <w:p w14:paraId="2E62852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8.88%</w:t>
            </w:r>
          </w:p>
        </w:tc>
      </w:tr>
      <w:tr w:rsidR="00C02929" w14:paraId="1B1DCC83" w14:textId="77777777">
        <w:trPr>
          <w:trHeight w:val="397"/>
        </w:trPr>
        <w:tc>
          <w:tcPr>
            <w:tcW w:w="2398" w:type="pct"/>
            <w:shd w:val="clear" w:color="auto" w:fill="auto"/>
            <w:noWrap/>
            <w:vAlign w:val="center"/>
          </w:tcPr>
          <w:p w14:paraId="43523748"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青岛海尔电子塑胶有限公司</w:t>
            </w:r>
          </w:p>
        </w:tc>
        <w:tc>
          <w:tcPr>
            <w:tcW w:w="1311" w:type="pct"/>
            <w:shd w:val="clear" w:color="auto" w:fill="auto"/>
            <w:noWrap/>
            <w:vAlign w:val="center"/>
          </w:tcPr>
          <w:p w14:paraId="441F993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297.41</w:t>
            </w:r>
          </w:p>
        </w:tc>
        <w:tc>
          <w:tcPr>
            <w:tcW w:w="1291" w:type="pct"/>
            <w:shd w:val="clear" w:color="auto" w:fill="auto"/>
            <w:noWrap/>
            <w:vAlign w:val="center"/>
          </w:tcPr>
          <w:p w14:paraId="0B46184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4.87%</w:t>
            </w:r>
          </w:p>
        </w:tc>
      </w:tr>
      <w:tr w:rsidR="00C02929" w14:paraId="4D55F341" w14:textId="77777777">
        <w:trPr>
          <w:trHeight w:val="397"/>
        </w:trPr>
        <w:tc>
          <w:tcPr>
            <w:tcW w:w="2398" w:type="pct"/>
            <w:shd w:val="clear" w:color="auto" w:fill="auto"/>
            <w:noWrap/>
            <w:vAlign w:val="center"/>
          </w:tcPr>
          <w:p w14:paraId="613B6EF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青岛海尔机器人有限公司</w:t>
            </w:r>
          </w:p>
        </w:tc>
        <w:tc>
          <w:tcPr>
            <w:tcW w:w="1311" w:type="pct"/>
            <w:shd w:val="clear" w:color="auto" w:fill="auto"/>
            <w:noWrap/>
            <w:vAlign w:val="center"/>
          </w:tcPr>
          <w:p w14:paraId="401CEE7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254.31</w:t>
            </w:r>
          </w:p>
        </w:tc>
        <w:tc>
          <w:tcPr>
            <w:tcW w:w="1291" w:type="pct"/>
            <w:shd w:val="clear" w:color="auto" w:fill="auto"/>
            <w:noWrap/>
            <w:vAlign w:val="center"/>
          </w:tcPr>
          <w:p w14:paraId="30F54B4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4.16%</w:t>
            </w:r>
          </w:p>
        </w:tc>
      </w:tr>
      <w:tr w:rsidR="00C02929" w14:paraId="378388B2" w14:textId="77777777">
        <w:trPr>
          <w:trHeight w:val="397"/>
        </w:trPr>
        <w:tc>
          <w:tcPr>
            <w:tcW w:w="2398" w:type="pct"/>
            <w:shd w:val="clear" w:color="auto" w:fill="auto"/>
            <w:noWrap/>
            <w:vAlign w:val="center"/>
          </w:tcPr>
          <w:p w14:paraId="7561E63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青岛胶南海尔洗衣机有限公司</w:t>
            </w:r>
          </w:p>
        </w:tc>
        <w:tc>
          <w:tcPr>
            <w:tcW w:w="1311" w:type="pct"/>
            <w:shd w:val="clear" w:color="auto" w:fill="auto"/>
            <w:noWrap/>
            <w:vAlign w:val="center"/>
          </w:tcPr>
          <w:p w14:paraId="47CACC5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252.14</w:t>
            </w:r>
          </w:p>
        </w:tc>
        <w:tc>
          <w:tcPr>
            <w:tcW w:w="1291" w:type="pct"/>
            <w:shd w:val="clear" w:color="auto" w:fill="auto"/>
            <w:noWrap/>
            <w:vAlign w:val="center"/>
          </w:tcPr>
          <w:p w14:paraId="4A0EDEB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4.13%</w:t>
            </w:r>
          </w:p>
        </w:tc>
      </w:tr>
    </w:tbl>
    <w:p w14:paraId="4C1FE98F"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根据相关要求，受同一实际控制人控制的销售客户，应当合并计算销售额，因而海尔集团公司下属各个子公司合并计算。而在业务经营实践中，北洋天青与海尔集团公司下属各个子公司（以合肥海尔电冰箱有限公司、青岛海尔空调电子有限公司、青岛海尔电冰箱有限公司等为代表）单独直接签订销售合同，各个子公司之间相对独立，不存在直接关系。若不采用合并口径计算，北洋天青的客户集中度将有所下降。</w:t>
      </w:r>
    </w:p>
    <w:p w14:paraId="7F4FE51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综上所述，海尔集团公司既是第一大客户又是第一大供应商具有商业合理性。</w:t>
      </w:r>
    </w:p>
    <w:p w14:paraId="3713C060"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五、补充披露情况</w:t>
      </w:r>
    </w:p>
    <w:p w14:paraId="0BC7FED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上市公司已在《重组报告书》“第四节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交易标的基本情况”之“五、主营业务发展情况”之“（十）标的公司与海尔集团公司销售及采购情况”进行了补充披露。</w:t>
      </w:r>
    </w:p>
    <w:p w14:paraId="12874689" w14:textId="3EA11C30"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w:t>
      </w:r>
      <w:r w:rsid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6AA9A87E"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lastRenderedPageBreak/>
        <w:t>经核查，独立财务顾问认为：北洋天青的采购、生产、销售均按照严格的内部控制制度执行。报告期内，海尔集团公司均为北洋天青第一大客户，主要受我国家电行业品牌集中度高、家电生产厂商所在区域比较集中等因素影响，且标的公司地处青岛，相比其他地区竞争对手可以更好地为本地家电企业提供服务，因此也更容易获得本地家电企业的订单。北洋天青从海尔集团公司采购产品的主要原因系其下属青岛好品海智信息技术有限公司拥有工业服务物联网电商平台好品海智，当好品海智电商平台在产品品质、交付期和价格等方面具备优势时，北洋天青选择在好品海智电商平台采购原材料。因此，海尔集团公司既是第一大客户又是第一大供应商具有商业合理性。</w:t>
      </w:r>
    </w:p>
    <w:p w14:paraId="09B1E8DB"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）补充披露北洋天青是否在采购、销售、技术和生产等方面对海尔集团公司存在较大依赖。</w:t>
      </w:r>
    </w:p>
    <w:p w14:paraId="093ECF70"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一、北洋天青在采购、销售、技术和生产等方面对海尔集团公司不存在较大依赖</w:t>
      </w:r>
    </w:p>
    <w:p w14:paraId="49A89FCD"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（一）北洋天青在采购方面对海尔集团公司不存在较大依赖</w:t>
      </w:r>
    </w:p>
    <w:p w14:paraId="65076A7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bookmarkStart w:id="22" w:name="_Hlk49790695"/>
      <w:r>
        <w:rPr>
          <w:rFonts w:ascii="Times New Roman" w:hAnsi="Times New Roman" w:cs="Times New Roman" w:hint="eastAsia"/>
          <w:bCs/>
          <w:color w:val="000000"/>
          <w:szCs w:val="21"/>
          <w:lang w:val="en-GB"/>
        </w:rPr>
        <w:t>报告期内，北洋天青前五大供应商对应的采购金额及占采购总额的比例情况如下：</w:t>
      </w:r>
    </w:p>
    <w:p w14:paraId="688B4B43"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60"/>
        <w:gridCol w:w="3700"/>
        <w:gridCol w:w="2695"/>
        <w:gridCol w:w="1467"/>
      </w:tblGrid>
      <w:tr w:rsidR="00C02929" w14:paraId="2647089E" w14:textId="77777777">
        <w:trPr>
          <w:trHeight w:val="397"/>
          <w:tblHeader/>
        </w:trPr>
        <w:tc>
          <w:tcPr>
            <w:tcW w:w="387" w:type="pct"/>
            <w:tcBorders>
              <w:top w:val="single" w:sz="12" w:space="0" w:color="auto"/>
              <w:bottom w:val="single" w:sz="4" w:space="0" w:color="auto"/>
              <w:right w:val="single" w:sz="4" w:space="0" w:color="auto"/>
            </w:tcBorders>
            <w:shd w:val="clear" w:color="auto" w:fill="auto"/>
            <w:vAlign w:val="center"/>
          </w:tcPr>
          <w:bookmarkEnd w:id="22"/>
          <w:p w14:paraId="42D33DDA" w14:textId="77777777" w:rsidR="00C02929" w:rsidRDefault="006116D1">
            <w:pPr>
              <w:keepNext/>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序号</w:t>
            </w:r>
          </w:p>
        </w:tc>
        <w:tc>
          <w:tcPr>
            <w:tcW w:w="2171" w:type="pct"/>
            <w:tcBorders>
              <w:top w:val="single" w:sz="12" w:space="0" w:color="auto"/>
              <w:left w:val="single" w:sz="4" w:space="0" w:color="auto"/>
              <w:bottom w:val="single" w:sz="4" w:space="0" w:color="auto"/>
              <w:right w:val="single" w:sz="4" w:space="0" w:color="auto"/>
            </w:tcBorders>
            <w:shd w:val="clear" w:color="auto" w:fill="auto"/>
            <w:vAlign w:val="center"/>
          </w:tcPr>
          <w:p w14:paraId="3CF8BF58"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公司名称</w:t>
            </w:r>
          </w:p>
        </w:tc>
        <w:tc>
          <w:tcPr>
            <w:tcW w:w="1581" w:type="pct"/>
            <w:tcBorders>
              <w:top w:val="single" w:sz="12" w:space="0" w:color="auto"/>
              <w:left w:val="single" w:sz="4" w:space="0" w:color="auto"/>
              <w:bottom w:val="single" w:sz="4" w:space="0" w:color="auto"/>
              <w:right w:val="single" w:sz="4" w:space="0" w:color="auto"/>
            </w:tcBorders>
            <w:shd w:val="clear" w:color="auto" w:fill="auto"/>
            <w:vAlign w:val="center"/>
          </w:tcPr>
          <w:p w14:paraId="2DD16312"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采购金额</w:t>
            </w:r>
          </w:p>
        </w:tc>
        <w:tc>
          <w:tcPr>
            <w:tcW w:w="861" w:type="pct"/>
            <w:tcBorders>
              <w:top w:val="single" w:sz="12" w:space="0" w:color="auto"/>
              <w:left w:val="single" w:sz="4" w:space="0" w:color="auto"/>
              <w:bottom w:val="single" w:sz="4" w:space="0" w:color="auto"/>
            </w:tcBorders>
            <w:shd w:val="clear" w:color="auto" w:fill="auto"/>
            <w:vAlign w:val="center"/>
          </w:tcPr>
          <w:p w14:paraId="54D263AF"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占当期采购总额的比重</w:t>
            </w:r>
          </w:p>
        </w:tc>
      </w:tr>
      <w:tr w:rsidR="00C02929" w14:paraId="56C80EB9" w14:textId="77777777">
        <w:trPr>
          <w:trHeight w:val="397"/>
        </w:trPr>
        <w:tc>
          <w:tcPr>
            <w:tcW w:w="5000" w:type="pct"/>
            <w:gridSpan w:val="4"/>
            <w:tcBorders>
              <w:top w:val="single" w:sz="4" w:space="0" w:color="auto"/>
            </w:tcBorders>
            <w:shd w:val="clear" w:color="auto" w:fill="auto"/>
            <w:vAlign w:val="center"/>
          </w:tcPr>
          <w:p w14:paraId="0E225949"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年度</w:t>
            </w:r>
          </w:p>
        </w:tc>
      </w:tr>
      <w:tr w:rsidR="00C02929" w14:paraId="0F8287F3" w14:textId="77777777">
        <w:trPr>
          <w:trHeight w:val="397"/>
        </w:trPr>
        <w:tc>
          <w:tcPr>
            <w:tcW w:w="387" w:type="pct"/>
            <w:shd w:val="clear" w:color="auto" w:fill="auto"/>
            <w:vAlign w:val="center"/>
          </w:tcPr>
          <w:p w14:paraId="53E9BACE"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171" w:type="pct"/>
            <w:shd w:val="clear" w:color="auto" w:fill="auto"/>
            <w:vAlign w:val="center"/>
          </w:tcPr>
          <w:p w14:paraId="48B04461"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沃得精机（中国）有限公司</w:t>
            </w:r>
          </w:p>
        </w:tc>
        <w:tc>
          <w:tcPr>
            <w:tcW w:w="1581" w:type="pct"/>
            <w:shd w:val="clear" w:color="auto" w:fill="auto"/>
            <w:vAlign w:val="center"/>
          </w:tcPr>
          <w:p w14:paraId="2D3C2B62"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1,851.90</w:t>
            </w:r>
          </w:p>
        </w:tc>
        <w:tc>
          <w:tcPr>
            <w:tcW w:w="861" w:type="pct"/>
            <w:shd w:val="clear" w:color="auto" w:fill="auto"/>
            <w:vAlign w:val="center"/>
          </w:tcPr>
          <w:p w14:paraId="785928E3" w14:textId="77777777" w:rsidR="00C02929" w:rsidRDefault="006116D1">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13.48%</w:t>
            </w:r>
          </w:p>
        </w:tc>
      </w:tr>
      <w:tr w:rsidR="00C02929" w14:paraId="4E954C35" w14:textId="77777777">
        <w:trPr>
          <w:trHeight w:val="397"/>
        </w:trPr>
        <w:tc>
          <w:tcPr>
            <w:tcW w:w="387" w:type="pct"/>
            <w:shd w:val="clear" w:color="auto" w:fill="auto"/>
            <w:vAlign w:val="center"/>
          </w:tcPr>
          <w:p w14:paraId="1DA635F1"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171" w:type="pct"/>
            <w:shd w:val="clear" w:color="auto" w:fill="auto"/>
            <w:vAlign w:val="center"/>
          </w:tcPr>
          <w:p w14:paraId="0C702F07"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北京机械工业自动化研究所有限公司</w:t>
            </w:r>
          </w:p>
        </w:tc>
        <w:tc>
          <w:tcPr>
            <w:tcW w:w="1581" w:type="pct"/>
            <w:shd w:val="clear" w:color="auto" w:fill="auto"/>
            <w:vAlign w:val="center"/>
          </w:tcPr>
          <w:p w14:paraId="46C8D62A"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1,235.00</w:t>
            </w:r>
          </w:p>
        </w:tc>
        <w:tc>
          <w:tcPr>
            <w:tcW w:w="861" w:type="pct"/>
            <w:shd w:val="clear" w:color="auto" w:fill="auto"/>
            <w:vAlign w:val="center"/>
          </w:tcPr>
          <w:p w14:paraId="21CCF30F" w14:textId="77777777" w:rsidR="00C02929" w:rsidRDefault="006116D1">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8.99%</w:t>
            </w:r>
          </w:p>
        </w:tc>
      </w:tr>
      <w:tr w:rsidR="00C02929" w14:paraId="419A66A9" w14:textId="77777777">
        <w:trPr>
          <w:trHeight w:val="397"/>
        </w:trPr>
        <w:tc>
          <w:tcPr>
            <w:tcW w:w="387" w:type="pct"/>
            <w:shd w:val="clear" w:color="auto" w:fill="auto"/>
            <w:vAlign w:val="center"/>
          </w:tcPr>
          <w:p w14:paraId="50996B3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171" w:type="pct"/>
            <w:shd w:val="clear" w:color="auto" w:fill="auto"/>
            <w:vAlign w:val="center"/>
          </w:tcPr>
          <w:p w14:paraId="28B2EE48"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海尔集团公司</w:t>
            </w:r>
          </w:p>
        </w:tc>
        <w:tc>
          <w:tcPr>
            <w:tcW w:w="1581" w:type="pct"/>
            <w:shd w:val="clear" w:color="auto" w:fill="auto"/>
            <w:vAlign w:val="center"/>
          </w:tcPr>
          <w:p w14:paraId="736BF6B4"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687.67</w:t>
            </w:r>
          </w:p>
        </w:tc>
        <w:tc>
          <w:tcPr>
            <w:tcW w:w="861" w:type="pct"/>
            <w:shd w:val="clear" w:color="auto" w:fill="auto"/>
            <w:vAlign w:val="center"/>
          </w:tcPr>
          <w:p w14:paraId="0FE43A39" w14:textId="77777777" w:rsidR="00C02929" w:rsidRDefault="006116D1">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5.01%</w:t>
            </w:r>
          </w:p>
        </w:tc>
      </w:tr>
      <w:tr w:rsidR="00C02929" w14:paraId="32E31C73" w14:textId="77777777">
        <w:trPr>
          <w:trHeight w:val="397"/>
        </w:trPr>
        <w:tc>
          <w:tcPr>
            <w:tcW w:w="387" w:type="pct"/>
            <w:shd w:val="clear" w:color="auto" w:fill="auto"/>
            <w:vAlign w:val="center"/>
          </w:tcPr>
          <w:p w14:paraId="5B6145F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171" w:type="pct"/>
            <w:shd w:val="clear" w:color="auto" w:fill="auto"/>
            <w:vAlign w:val="center"/>
          </w:tcPr>
          <w:p w14:paraId="3DC54BFA"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昆山欧赛斯悬挂输送系统有限公司</w:t>
            </w:r>
          </w:p>
        </w:tc>
        <w:tc>
          <w:tcPr>
            <w:tcW w:w="1581" w:type="pct"/>
            <w:shd w:val="clear" w:color="auto" w:fill="auto"/>
            <w:vAlign w:val="center"/>
          </w:tcPr>
          <w:p w14:paraId="55008159"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686.50</w:t>
            </w:r>
          </w:p>
        </w:tc>
        <w:tc>
          <w:tcPr>
            <w:tcW w:w="861" w:type="pct"/>
            <w:shd w:val="clear" w:color="auto" w:fill="auto"/>
            <w:vAlign w:val="center"/>
          </w:tcPr>
          <w:p w14:paraId="0F6F10C5" w14:textId="77777777" w:rsidR="00C02929" w:rsidRDefault="006116D1">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5.00%</w:t>
            </w:r>
          </w:p>
        </w:tc>
      </w:tr>
      <w:tr w:rsidR="00C02929" w14:paraId="6421F8D4" w14:textId="77777777">
        <w:trPr>
          <w:trHeight w:val="397"/>
        </w:trPr>
        <w:tc>
          <w:tcPr>
            <w:tcW w:w="387" w:type="pct"/>
            <w:shd w:val="clear" w:color="auto" w:fill="auto"/>
            <w:vAlign w:val="center"/>
          </w:tcPr>
          <w:p w14:paraId="4DC73B2C"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171" w:type="pct"/>
            <w:shd w:val="clear" w:color="auto" w:fill="auto"/>
            <w:vAlign w:val="center"/>
          </w:tcPr>
          <w:p w14:paraId="6F35E731"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青岛海西鸿皓源机电有限公司</w:t>
            </w:r>
          </w:p>
        </w:tc>
        <w:tc>
          <w:tcPr>
            <w:tcW w:w="1581" w:type="pct"/>
            <w:shd w:val="clear" w:color="auto" w:fill="auto"/>
            <w:vAlign w:val="center"/>
          </w:tcPr>
          <w:p w14:paraId="01F32556"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rPr>
              <w:t>586.67</w:t>
            </w:r>
          </w:p>
        </w:tc>
        <w:tc>
          <w:tcPr>
            <w:tcW w:w="861" w:type="pct"/>
            <w:shd w:val="clear" w:color="auto" w:fill="auto"/>
            <w:vAlign w:val="center"/>
          </w:tcPr>
          <w:p w14:paraId="67EC0252" w14:textId="77777777" w:rsidR="00C02929" w:rsidRDefault="006116D1">
            <w:pPr>
              <w:jc w:val="right"/>
              <w:textAlignment w:val="center"/>
              <w:rPr>
                <w:rFonts w:ascii="Times New Roman" w:hAnsi="Times New Roman" w:cs="Times New Roman"/>
                <w:color w:val="000000"/>
                <w:sz w:val="21"/>
                <w:szCs w:val="21"/>
              </w:rPr>
            </w:pPr>
            <w:r>
              <w:rPr>
                <w:rFonts w:ascii="Times New Roman" w:eastAsia="等线" w:hAnsi="Times New Roman" w:cs="Times New Roman"/>
                <w:color w:val="000000"/>
                <w:sz w:val="21"/>
                <w:szCs w:val="21"/>
                <w:lang w:bidi="ar"/>
              </w:rPr>
              <w:t>4.27%</w:t>
            </w:r>
          </w:p>
        </w:tc>
      </w:tr>
      <w:tr w:rsidR="00C02929" w14:paraId="0FC98461" w14:textId="77777777">
        <w:trPr>
          <w:trHeight w:val="397"/>
        </w:trPr>
        <w:tc>
          <w:tcPr>
            <w:tcW w:w="387" w:type="pct"/>
            <w:shd w:val="clear" w:color="auto" w:fill="auto"/>
            <w:vAlign w:val="center"/>
          </w:tcPr>
          <w:p w14:paraId="0653C339" w14:textId="77777777" w:rsidR="00C02929" w:rsidRDefault="00C02929">
            <w:pPr>
              <w:adjustRightInd w:val="0"/>
              <w:snapToGrid w:val="0"/>
              <w:jc w:val="center"/>
              <w:rPr>
                <w:rFonts w:ascii="Times New Roman" w:hAnsi="Times New Roman" w:cs="Times New Roman"/>
                <w:b/>
                <w:sz w:val="21"/>
                <w:szCs w:val="21"/>
              </w:rPr>
            </w:pPr>
          </w:p>
        </w:tc>
        <w:tc>
          <w:tcPr>
            <w:tcW w:w="2171" w:type="pct"/>
            <w:shd w:val="clear" w:color="auto" w:fill="auto"/>
            <w:vAlign w:val="center"/>
          </w:tcPr>
          <w:p w14:paraId="56750BE4" w14:textId="77777777" w:rsidR="00C02929" w:rsidRDefault="006116D1">
            <w:pPr>
              <w:jc w:val="center"/>
              <w:textAlignment w:val="center"/>
              <w:rPr>
                <w:rFonts w:ascii="Times New Roman" w:hAnsi="Times New Roman" w:cs="Times New Roman"/>
                <w:b/>
                <w:bCs/>
                <w:sz w:val="21"/>
                <w:szCs w:val="21"/>
              </w:rPr>
            </w:pPr>
            <w:r>
              <w:rPr>
                <w:rFonts w:hint="eastAsia"/>
                <w:b/>
                <w:bCs/>
                <w:color w:val="000000"/>
                <w:sz w:val="21"/>
                <w:szCs w:val="21"/>
                <w:lang w:bidi="ar"/>
              </w:rPr>
              <w:t>合计</w:t>
            </w:r>
          </w:p>
        </w:tc>
        <w:tc>
          <w:tcPr>
            <w:tcW w:w="1581" w:type="pct"/>
            <w:shd w:val="clear" w:color="auto" w:fill="auto"/>
            <w:vAlign w:val="center"/>
          </w:tcPr>
          <w:p w14:paraId="63560DC8" w14:textId="77777777" w:rsidR="00C02929" w:rsidRDefault="006116D1">
            <w:pPr>
              <w:jc w:val="right"/>
              <w:textAlignment w:val="center"/>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lang w:bidi="ar"/>
              </w:rPr>
              <w:t>5,047.74</w:t>
            </w:r>
          </w:p>
        </w:tc>
        <w:tc>
          <w:tcPr>
            <w:tcW w:w="861" w:type="pct"/>
            <w:shd w:val="clear" w:color="auto" w:fill="auto"/>
            <w:vAlign w:val="center"/>
          </w:tcPr>
          <w:p w14:paraId="775B9755" w14:textId="77777777" w:rsidR="00C02929" w:rsidRDefault="006116D1">
            <w:pPr>
              <w:jc w:val="right"/>
              <w:textAlignment w:val="center"/>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lang w:bidi="ar"/>
              </w:rPr>
              <w:t>36.75%</w:t>
            </w:r>
          </w:p>
        </w:tc>
      </w:tr>
      <w:tr w:rsidR="00C02929" w14:paraId="26B8AD1F" w14:textId="77777777">
        <w:trPr>
          <w:trHeight w:val="397"/>
        </w:trPr>
        <w:tc>
          <w:tcPr>
            <w:tcW w:w="5000" w:type="pct"/>
            <w:gridSpan w:val="4"/>
            <w:shd w:val="clear" w:color="auto" w:fill="auto"/>
            <w:vAlign w:val="center"/>
          </w:tcPr>
          <w:p w14:paraId="40E83150"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w:t>
            </w:r>
          </w:p>
        </w:tc>
      </w:tr>
      <w:tr w:rsidR="00C02929" w14:paraId="25CD7B5B" w14:textId="77777777">
        <w:trPr>
          <w:trHeight w:val="397"/>
        </w:trPr>
        <w:tc>
          <w:tcPr>
            <w:tcW w:w="387" w:type="pct"/>
            <w:shd w:val="clear" w:color="auto" w:fill="auto"/>
            <w:vAlign w:val="center"/>
          </w:tcPr>
          <w:p w14:paraId="15D636B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171" w:type="pct"/>
            <w:shd w:val="clear" w:color="auto" w:fill="auto"/>
            <w:vAlign w:val="center"/>
          </w:tcPr>
          <w:p w14:paraId="55FCA8CC"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581" w:type="pct"/>
            <w:shd w:val="clear" w:color="auto" w:fill="auto"/>
            <w:vAlign w:val="center"/>
          </w:tcPr>
          <w:p w14:paraId="58E4700D"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2,156.84</w:t>
            </w:r>
          </w:p>
        </w:tc>
        <w:tc>
          <w:tcPr>
            <w:tcW w:w="861" w:type="pct"/>
            <w:shd w:val="clear" w:color="auto" w:fill="auto"/>
            <w:vAlign w:val="center"/>
          </w:tcPr>
          <w:p w14:paraId="4EAB89A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28.57%</w:t>
            </w:r>
          </w:p>
        </w:tc>
      </w:tr>
      <w:tr w:rsidR="00C02929" w14:paraId="49C68D56" w14:textId="77777777">
        <w:trPr>
          <w:trHeight w:val="397"/>
        </w:trPr>
        <w:tc>
          <w:tcPr>
            <w:tcW w:w="387" w:type="pct"/>
            <w:shd w:val="clear" w:color="auto" w:fill="auto"/>
            <w:vAlign w:val="center"/>
          </w:tcPr>
          <w:p w14:paraId="57020CC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171" w:type="pct"/>
            <w:shd w:val="clear" w:color="auto" w:fill="auto"/>
            <w:vAlign w:val="center"/>
          </w:tcPr>
          <w:p w14:paraId="04B1FDE7"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沃得精机（中国）有限公司</w:t>
            </w:r>
          </w:p>
        </w:tc>
        <w:tc>
          <w:tcPr>
            <w:tcW w:w="1581" w:type="pct"/>
            <w:shd w:val="clear" w:color="auto" w:fill="auto"/>
            <w:vAlign w:val="center"/>
          </w:tcPr>
          <w:p w14:paraId="3B6629D6"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476.92</w:t>
            </w:r>
          </w:p>
        </w:tc>
        <w:tc>
          <w:tcPr>
            <w:tcW w:w="861" w:type="pct"/>
            <w:shd w:val="clear" w:color="auto" w:fill="auto"/>
            <w:vAlign w:val="center"/>
          </w:tcPr>
          <w:p w14:paraId="595FC2F1"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6.32%</w:t>
            </w:r>
          </w:p>
        </w:tc>
      </w:tr>
      <w:tr w:rsidR="00C02929" w14:paraId="5852BA8E" w14:textId="77777777">
        <w:trPr>
          <w:trHeight w:val="397"/>
        </w:trPr>
        <w:tc>
          <w:tcPr>
            <w:tcW w:w="387" w:type="pct"/>
            <w:shd w:val="clear" w:color="auto" w:fill="auto"/>
            <w:vAlign w:val="center"/>
          </w:tcPr>
          <w:p w14:paraId="61290AC2"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171" w:type="pct"/>
            <w:shd w:val="clear" w:color="auto" w:fill="auto"/>
            <w:vAlign w:val="center"/>
          </w:tcPr>
          <w:p w14:paraId="7E8EB19A"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上海</w:t>
            </w:r>
            <w:r>
              <w:rPr>
                <w:rFonts w:ascii="Times New Roman" w:hAnsi="Times New Roman" w:cs="Times New Roman" w:hint="eastAsia"/>
                <w:color w:val="000000"/>
                <w:sz w:val="21"/>
                <w:szCs w:val="21"/>
              </w:rPr>
              <w:t>ABB</w:t>
            </w:r>
            <w:r>
              <w:rPr>
                <w:rFonts w:ascii="Times New Roman" w:hAnsi="Times New Roman" w:cs="Times New Roman" w:hint="eastAsia"/>
                <w:color w:val="000000"/>
                <w:sz w:val="21"/>
                <w:szCs w:val="21"/>
              </w:rPr>
              <w:t>工程有限公司</w:t>
            </w:r>
          </w:p>
        </w:tc>
        <w:tc>
          <w:tcPr>
            <w:tcW w:w="1581" w:type="pct"/>
            <w:shd w:val="clear" w:color="auto" w:fill="auto"/>
            <w:vAlign w:val="center"/>
          </w:tcPr>
          <w:p w14:paraId="43406E2F"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315.26</w:t>
            </w:r>
          </w:p>
        </w:tc>
        <w:tc>
          <w:tcPr>
            <w:tcW w:w="861" w:type="pct"/>
            <w:shd w:val="clear" w:color="auto" w:fill="auto"/>
            <w:vAlign w:val="center"/>
          </w:tcPr>
          <w:p w14:paraId="19CFEA0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4.18%</w:t>
            </w:r>
          </w:p>
        </w:tc>
      </w:tr>
      <w:tr w:rsidR="00C02929" w14:paraId="417BFC14" w14:textId="77777777">
        <w:trPr>
          <w:trHeight w:val="397"/>
        </w:trPr>
        <w:tc>
          <w:tcPr>
            <w:tcW w:w="387" w:type="pct"/>
            <w:shd w:val="clear" w:color="auto" w:fill="auto"/>
            <w:vAlign w:val="center"/>
          </w:tcPr>
          <w:p w14:paraId="78CBBE8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171" w:type="pct"/>
            <w:shd w:val="clear" w:color="auto" w:fill="auto"/>
            <w:vAlign w:val="center"/>
          </w:tcPr>
          <w:p w14:paraId="3B589B21"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青岛宏标机械有限公司</w:t>
            </w:r>
          </w:p>
        </w:tc>
        <w:tc>
          <w:tcPr>
            <w:tcW w:w="1581" w:type="pct"/>
            <w:shd w:val="clear" w:color="auto" w:fill="auto"/>
            <w:vAlign w:val="center"/>
          </w:tcPr>
          <w:p w14:paraId="51441E6C"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248.51</w:t>
            </w:r>
          </w:p>
        </w:tc>
        <w:tc>
          <w:tcPr>
            <w:tcW w:w="861" w:type="pct"/>
            <w:shd w:val="clear" w:color="auto" w:fill="auto"/>
            <w:vAlign w:val="center"/>
          </w:tcPr>
          <w:p w14:paraId="3D50027B"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3.29%</w:t>
            </w:r>
          </w:p>
        </w:tc>
      </w:tr>
      <w:tr w:rsidR="00C02929" w14:paraId="79BE391A" w14:textId="77777777">
        <w:trPr>
          <w:trHeight w:val="397"/>
        </w:trPr>
        <w:tc>
          <w:tcPr>
            <w:tcW w:w="387" w:type="pct"/>
            <w:shd w:val="clear" w:color="auto" w:fill="auto"/>
            <w:vAlign w:val="center"/>
          </w:tcPr>
          <w:p w14:paraId="4C826B79"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lastRenderedPageBreak/>
              <w:t>5</w:t>
            </w:r>
          </w:p>
        </w:tc>
        <w:tc>
          <w:tcPr>
            <w:tcW w:w="2171" w:type="pct"/>
            <w:shd w:val="clear" w:color="auto" w:fill="auto"/>
            <w:vAlign w:val="center"/>
          </w:tcPr>
          <w:p w14:paraId="4261E37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南京埃斯顿机器人工程有限公司</w:t>
            </w:r>
          </w:p>
        </w:tc>
        <w:tc>
          <w:tcPr>
            <w:tcW w:w="1581" w:type="pct"/>
            <w:shd w:val="clear" w:color="auto" w:fill="auto"/>
            <w:vAlign w:val="center"/>
          </w:tcPr>
          <w:p w14:paraId="406106C8"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238.50</w:t>
            </w:r>
          </w:p>
        </w:tc>
        <w:tc>
          <w:tcPr>
            <w:tcW w:w="861" w:type="pct"/>
            <w:shd w:val="clear" w:color="auto" w:fill="auto"/>
            <w:vAlign w:val="center"/>
          </w:tcPr>
          <w:p w14:paraId="654DEE5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3.16%</w:t>
            </w:r>
          </w:p>
        </w:tc>
      </w:tr>
      <w:tr w:rsidR="00C02929" w14:paraId="1087AF37" w14:textId="77777777">
        <w:trPr>
          <w:trHeight w:val="397"/>
        </w:trPr>
        <w:tc>
          <w:tcPr>
            <w:tcW w:w="387" w:type="pct"/>
            <w:shd w:val="clear" w:color="auto" w:fill="auto"/>
            <w:vAlign w:val="center"/>
          </w:tcPr>
          <w:p w14:paraId="11A19A0D" w14:textId="77777777" w:rsidR="00C02929" w:rsidRDefault="00C02929">
            <w:pPr>
              <w:adjustRightInd w:val="0"/>
              <w:snapToGrid w:val="0"/>
              <w:jc w:val="center"/>
              <w:rPr>
                <w:rFonts w:ascii="Times New Roman" w:hAnsi="Times New Roman" w:cs="Times New Roman"/>
                <w:b/>
                <w:sz w:val="21"/>
                <w:szCs w:val="21"/>
              </w:rPr>
            </w:pPr>
          </w:p>
        </w:tc>
        <w:tc>
          <w:tcPr>
            <w:tcW w:w="2171" w:type="pct"/>
            <w:shd w:val="clear" w:color="auto" w:fill="auto"/>
            <w:vAlign w:val="center"/>
          </w:tcPr>
          <w:p w14:paraId="7F9FA515"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color w:val="000000"/>
                <w:sz w:val="21"/>
                <w:szCs w:val="21"/>
              </w:rPr>
              <w:t>合计</w:t>
            </w:r>
          </w:p>
        </w:tc>
        <w:tc>
          <w:tcPr>
            <w:tcW w:w="1581" w:type="pct"/>
            <w:shd w:val="clear" w:color="auto" w:fill="auto"/>
            <w:vAlign w:val="center"/>
          </w:tcPr>
          <w:p w14:paraId="2A8D17F5"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3,436.03</w:t>
            </w:r>
          </w:p>
        </w:tc>
        <w:tc>
          <w:tcPr>
            <w:tcW w:w="861" w:type="pct"/>
            <w:shd w:val="clear" w:color="auto" w:fill="auto"/>
            <w:vAlign w:val="center"/>
          </w:tcPr>
          <w:p w14:paraId="01DCD944"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color w:val="000000"/>
                <w:sz w:val="21"/>
                <w:szCs w:val="21"/>
              </w:rPr>
              <w:t>45.52%</w:t>
            </w:r>
          </w:p>
        </w:tc>
      </w:tr>
      <w:tr w:rsidR="00C02929" w14:paraId="48D8FB89" w14:textId="77777777">
        <w:trPr>
          <w:trHeight w:val="397"/>
        </w:trPr>
        <w:tc>
          <w:tcPr>
            <w:tcW w:w="5000" w:type="pct"/>
            <w:gridSpan w:val="4"/>
            <w:shd w:val="clear" w:color="auto" w:fill="auto"/>
            <w:vAlign w:val="center"/>
          </w:tcPr>
          <w:p w14:paraId="40599C96"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w:t>
            </w:r>
          </w:p>
        </w:tc>
      </w:tr>
      <w:tr w:rsidR="00C02929" w14:paraId="5FB4F5AF" w14:textId="77777777">
        <w:trPr>
          <w:trHeight w:val="397"/>
        </w:trPr>
        <w:tc>
          <w:tcPr>
            <w:tcW w:w="387" w:type="pct"/>
            <w:shd w:val="clear" w:color="auto" w:fill="auto"/>
            <w:vAlign w:val="center"/>
          </w:tcPr>
          <w:p w14:paraId="473696D4"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1</w:t>
            </w:r>
          </w:p>
        </w:tc>
        <w:tc>
          <w:tcPr>
            <w:tcW w:w="2171" w:type="pct"/>
            <w:shd w:val="clear" w:color="auto" w:fill="auto"/>
            <w:vAlign w:val="center"/>
          </w:tcPr>
          <w:p w14:paraId="1445179D"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上海</w:t>
            </w:r>
            <w:r>
              <w:rPr>
                <w:rFonts w:ascii="Times New Roman" w:hAnsi="Times New Roman" w:cs="Times New Roman" w:hint="eastAsia"/>
                <w:color w:val="000000"/>
                <w:sz w:val="21"/>
                <w:szCs w:val="21"/>
              </w:rPr>
              <w:t>ABB</w:t>
            </w:r>
            <w:r>
              <w:rPr>
                <w:rFonts w:ascii="Times New Roman" w:hAnsi="Times New Roman" w:cs="Times New Roman" w:hint="eastAsia"/>
                <w:color w:val="000000"/>
                <w:sz w:val="21"/>
                <w:szCs w:val="21"/>
              </w:rPr>
              <w:t>工程有限公司</w:t>
            </w:r>
          </w:p>
        </w:tc>
        <w:tc>
          <w:tcPr>
            <w:tcW w:w="1581" w:type="pct"/>
            <w:shd w:val="clear" w:color="auto" w:fill="auto"/>
            <w:vAlign w:val="center"/>
          </w:tcPr>
          <w:p w14:paraId="39A79849"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3,268.84</w:t>
            </w:r>
          </w:p>
        </w:tc>
        <w:tc>
          <w:tcPr>
            <w:tcW w:w="861" w:type="pct"/>
            <w:shd w:val="clear" w:color="auto" w:fill="auto"/>
            <w:vAlign w:val="center"/>
          </w:tcPr>
          <w:p w14:paraId="6D89EF7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49.51%</w:t>
            </w:r>
          </w:p>
        </w:tc>
      </w:tr>
      <w:tr w:rsidR="00C02929" w14:paraId="6ED88B0B" w14:textId="77777777">
        <w:trPr>
          <w:trHeight w:val="397"/>
        </w:trPr>
        <w:tc>
          <w:tcPr>
            <w:tcW w:w="387" w:type="pct"/>
            <w:shd w:val="clear" w:color="auto" w:fill="auto"/>
            <w:vAlign w:val="center"/>
          </w:tcPr>
          <w:p w14:paraId="3C4216D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2</w:t>
            </w:r>
          </w:p>
        </w:tc>
        <w:tc>
          <w:tcPr>
            <w:tcW w:w="2171" w:type="pct"/>
            <w:shd w:val="clear" w:color="auto" w:fill="auto"/>
            <w:vAlign w:val="center"/>
          </w:tcPr>
          <w:p w14:paraId="4E71F40A"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海尔集团公司</w:t>
            </w:r>
          </w:p>
        </w:tc>
        <w:tc>
          <w:tcPr>
            <w:tcW w:w="1581" w:type="pct"/>
            <w:shd w:val="clear" w:color="auto" w:fill="auto"/>
            <w:vAlign w:val="center"/>
          </w:tcPr>
          <w:p w14:paraId="04AC129B"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856.44</w:t>
            </w:r>
          </w:p>
        </w:tc>
        <w:tc>
          <w:tcPr>
            <w:tcW w:w="861" w:type="pct"/>
            <w:shd w:val="clear" w:color="auto" w:fill="auto"/>
            <w:vAlign w:val="center"/>
          </w:tcPr>
          <w:p w14:paraId="58527828"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12.97%</w:t>
            </w:r>
          </w:p>
        </w:tc>
      </w:tr>
      <w:tr w:rsidR="00C02929" w14:paraId="22A16C0E" w14:textId="77777777">
        <w:trPr>
          <w:trHeight w:val="397"/>
        </w:trPr>
        <w:tc>
          <w:tcPr>
            <w:tcW w:w="387" w:type="pct"/>
            <w:shd w:val="clear" w:color="auto" w:fill="auto"/>
            <w:vAlign w:val="center"/>
          </w:tcPr>
          <w:p w14:paraId="045B1026"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3</w:t>
            </w:r>
          </w:p>
        </w:tc>
        <w:tc>
          <w:tcPr>
            <w:tcW w:w="2171" w:type="pct"/>
            <w:shd w:val="clear" w:color="auto" w:fill="auto"/>
            <w:vAlign w:val="center"/>
          </w:tcPr>
          <w:p w14:paraId="34872BB1"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青岛海诚达物资有限公司</w:t>
            </w:r>
          </w:p>
        </w:tc>
        <w:tc>
          <w:tcPr>
            <w:tcW w:w="1581" w:type="pct"/>
            <w:shd w:val="clear" w:color="auto" w:fill="auto"/>
            <w:vAlign w:val="center"/>
          </w:tcPr>
          <w:p w14:paraId="40A3ED62"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220.28</w:t>
            </w:r>
          </w:p>
        </w:tc>
        <w:tc>
          <w:tcPr>
            <w:tcW w:w="861" w:type="pct"/>
            <w:shd w:val="clear" w:color="auto" w:fill="auto"/>
            <w:vAlign w:val="center"/>
          </w:tcPr>
          <w:p w14:paraId="6BD69866"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3.34%</w:t>
            </w:r>
          </w:p>
        </w:tc>
      </w:tr>
      <w:tr w:rsidR="00C02929" w14:paraId="1B9D2096" w14:textId="77777777">
        <w:trPr>
          <w:trHeight w:val="397"/>
        </w:trPr>
        <w:tc>
          <w:tcPr>
            <w:tcW w:w="387" w:type="pct"/>
            <w:shd w:val="clear" w:color="auto" w:fill="auto"/>
            <w:vAlign w:val="center"/>
          </w:tcPr>
          <w:p w14:paraId="25BB1740"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4</w:t>
            </w:r>
          </w:p>
        </w:tc>
        <w:tc>
          <w:tcPr>
            <w:tcW w:w="2171" w:type="pct"/>
            <w:shd w:val="clear" w:color="auto" w:fill="auto"/>
            <w:vAlign w:val="center"/>
          </w:tcPr>
          <w:p w14:paraId="1577B4A4"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青岛金海东工贸有限公司</w:t>
            </w:r>
          </w:p>
        </w:tc>
        <w:tc>
          <w:tcPr>
            <w:tcW w:w="1581" w:type="pct"/>
            <w:shd w:val="clear" w:color="auto" w:fill="auto"/>
            <w:vAlign w:val="center"/>
          </w:tcPr>
          <w:p w14:paraId="2C59A882"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156.08</w:t>
            </w:r>
          </w:p>
        </w:tc>
        <w:tc>
          <w:tcPr>
            <w:tcW w:w="861" w:type="pct"/>
            <w:shd w:val="clear" w:color="auto" w:fill="auto"/>
            <w:vAlign w:val="center"/>
          </w:tcPr>
          <w:p w14:paraId="06A24E2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2.36%</w:t>
            </w:r>
          </w:p>
        </w:tc>
      </w:tr>
      <w:tr w:rsidR="00C02929" w14:paraId="6445FA0F" w14:textId="77777777">
        <w:trPr>
          <w:trHeight w:val="397"/>
        </w:trPr>
        <w:tc>
          <w:tcPr>
            <w:tcW w:w="387" w:type="pct"/>
            <w:shd w:val="clear" w:color="auto" w:fill="auto"/>
            <w:vAlign w:val="center"/>
          </w:tcPr>
          <w:p w14:paraId="75F7DBFA"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sz w:val="21"/>
                <w:szCs w:val="21"/>
              </w:rPr>
              <w:t>5</w:t>
            </w:r>
          </w:p>
        </w:tc>
        <w:tc>
          <w:tcPr>
            <w:tcW w:w="2171" w:type="pct"/>
            <w:shd w:val="clear" w:color="auto" w:fill="auto"/>
            <w:vAlign w:val="center"/>
          </w:tcPr>
          <w:p w14:paraId="40BEFC95" w14:textId="77777777" w:rsidR="00C02929" w:rsidRDefault="006116D1">
            <w:pPr>
              <w:adjustRightInd w:val="0"/>
              <w:snapToGrid w:val="0"/>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青岛海纳鑫机电设备有限公司</w:t>
            </w:r>
          </w:p>
        </w:tc>
        <w:tc>
          <w:tcPr>
            <w:tcW w:w="1581" w:type="pct"/>
            <w:shd w:val="clear" w:color="auto" w:fill="auto"/>
            <w:vAlign w:val="center"/>
          </w:tcPr>
          <w:p w14:paraId="79ECB638" w14:textId="77777777" w:rsidR="00C02929" w:rsidRDefault="006116D1">
            <w:pPr>
              <w:adjustRightInd w:val="0"/>
              <w:snapToGrid w:val="0"/>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104.66</w:t>
            </w:r>
          </w:p>
        </w:tc>
        <w:tc>
          <w:tcPr>
            <w:tcW w:w="861" w:type="pct"/>
            <w:shd w:val="clear" w:color="auto" w:fill="auto"/>
            <w:vAlign w:val="center"/>
          </w:tcPr>
          <w:p w14:paraId="0917773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color w:val="000000"/>
                <w:sz w:val="21"/>
                <w:szCs w:val="21"/>
              </w:rPr>
              <w:t>1.59%</w:t>
            </w:r>
          </w:p>
        </w:tc>
      </w:tr>
      <w:tr w:rsidR="00C02929" w14:paraId="60F59A7C" w14:textId="77777777">
        <w:trPr>
          <w:trHeight w:val="397"/>
        </w:trPr>
        <w:tc>
          <w:tcPr>
            <w:tcW w:w="387" w:type="pct"/>
            <w:shd w:val="clear" w:color="auto" w:fill="auto"/>
            <w:vAlign w:val="center"/>
          </w:tcPr>
          <w:p w14:paraId="6B96F34E" w14:textId="77777777" w:rsidR="00C02929" w:rsidRDefault="00C02929">
            <w:pPr>
              <w:adjustRightInd w:val="0"/>
              <w:snapToGrid w:val="0"/>
              <w:jc w:val="center"/>
              <w:rPr>
                <w:rFonts w:ascii="Times New Roman" w:hAnsi="Times New Roman" w:cs="Times New Roman"/>
                <w:b/>
                <w:sz w:val="21"/>
                <w:szCs w:val="21"/>
              </w:rPr>
            </w:pPr>
          </w:p>
        </w:tc>
        <w:tc>
          <w:tcPr>
            <w:tcW w:w="2171" w:type="pct"/>
            <w:shd w:val="clear" w:color="auto" w:fill="auto"/>
            <w:vAlign w:val="center"/>
          </w:tcPr>
          <w:p w14:paraId="1900D9B8"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color w:val="000000"/>
                <w:sz w:val="21"/>
                <w:szCs w:val="21"/>
              </w:rPr>
              <w:t>合计</w:t>
            </w:r>
          </w:p>
        </w:tc>
        <w:tc>
          <w:tcPr>
            <w:tcW w:w="1581" w:type="pct"/>
            <w:shd w:val="clear" w:color="auto" w:fill="auto"/>
            <w:vAlign w:val="center"/>
          </w:tcPr>
          <w:p w14:paraId="50AD2E5A"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4,606.31</w:t>
            </w:r>
          </w:p>
        </w:tc>
        <w:tc>
          <w:tcPr>
            <w:tcW w:w="861" w:type="pct"/>
            <w:shd w:val="clear" w:color="auto" w:fill="auto"/>
            <w:vAlign w:val="center"/>
          </w:tcPr>
          <w:p w14:paraId="1ED8099D"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color w:val="000000"/>
                <w:sz w:val="21"/>
                <w:szCs w:val="21"/>
              </w:rPr>
              <w:t>69.77%</w:t>
            </w:r>
          </w:p>
        </w:tc>
      </w:tr>
    </w:tbl>
    <w:p w14:paraId="493467B4" w14:textId="77777777" w:rsidR="00C02929" w:rsidRDefault="006116D1">
      <w:pPr>
        <w:pStyle w:val="affffd"/>
        <w:spacing w:beforeLines="0" w:line="240" w:lineRule="auto"/>
        <w:ind w:firstLineChars="0" w:firstLine="0"/>
        <w:rPr>
          <w:sz w:val="21"/>
          <w:szCs w:val="18"/>
        </w:rPr>
      </w:pPr>
      <w:r>
        <w:rPr>
          <w:rFonts w:hint="eastAsia"/>
          <w:sz w:val="21"/>
          <w:szCs w:val="18"/>
        </w:rPr>
        <w:t>注：上表中对于受同一实际控制人控制的供应商，合并计算采购额。</w:t>
      </w:r>
    </w:p>
    <w:p w14:paraId="7A7B4A5D"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北洋天青通常会与选定的合格供应商建立战略合作，同时始终保持拥有两家较为稳定的供应商，以确保货源和价格的稳定。</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年度、</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年度、</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年度，北洋天青前五大供应商的采购金额占当期采购总额的比重分别为</w:t>
      </w:r>
      <w:r>
        <w:rPr>
          <w:rFonts w:ascii="Times New Roman" w:hAnsi="Times New Roman" w:cs="Times New Roman"/>
          <w:bCs/>
          <w:color w:val="000000"/>
          <w:szCs w:val="21"/>
          <w:lang w:val="en-GB"/>
        </w:rPr>
        <w:t>69.77%</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45.52%</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36.75%</w:t>
      </w:r>
      <w:r>
        <w:rPr>
          <w:rFonts w:ascii="Times New Roman" w:hAnsi="Times New Roman" w:cs="Times New Roman" w:hint="eastAsia"/>
          <w:bCs/>
          <w:color w:val="000000"/>
          <w:szCs w:val="21"/>
          <w:lang w:val="en-GB"/>
        </w:rPr>
        <w:t>，供应商集中度逐渐降低，每年前五大供应商均有一定变化，不存在对单一供应商重大依赖的情形。</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年度，北洋天青向海尔集团公司的采购金额占当期采购总额的比重仅为</w:t>
      </w:r>
      <w:r>
        <w:rPr>
          <w:rFonts w:ascii="Times New Roman" w:hAnsi="Times New Roman" w:cs="Times New Roman"/>
          <w:bCs/>
          <w:color w:val="000000"/>
          <w:szCs w:val="21"/>
          <w:lang w:val="en-GB"/>
        </w:rPr>
        <w:t>5.01%</w:t>
      </w:r>
      <w:r>
        <w:rPr>
          <w:rFonts w:ascii="Times New Roman" w:hAnsi="Times New Roman" w:cs="Times New Roman" w:hint="eastAsia"/>
          <w:bCs/>
          <w:color w:val="000000"/>
          <w:szCs w:val="21"/>
          <w:lang w:val="en-GB"/>
        </w:rPr>
        <w:t>，标的公司自海尔集团公司采购的原材料亦可从其他供应商处进行采购，且北洋天青董事、监事、高级管理人员和核心技术人员及其他主要关联方、北洋天青控股股东在海尔集团公司不存在持有权益的情况。因此，北洋天青在采购方面对海尔集团公司不存在较大依赖。</w:t>
      </w:r>
    </w:p>
    <w:p w14:paraId="66E0DA27" w14:textId="77777777" w:rsidR="00C02929" w:rsidRDefault="006116D1" w:rsidP="001F3E46">
      <w:pPr>
        <w:suppressAutoHyphens/>
        <w:spacing w:beforeLines="50" w:before="156" w:line="360" w:lineRule="auto"/>
        <w:ind w:firstLineChars="200" w:firstLine="482"/>
        <w:jc w:val="both"/>
        <w:outlineLvl w:val="3"/>
        <w:rPr>
          <w:rFonts w:ascii="Times New Roman" w:hAnsi="Times New Roman" w:cs="Times New Roman"/>
          <w:b/>
          <w:color w:val="000000"/>
          <w:lang w:eastAsia="ar-SA"/>
        </w:rPr>
      </w:pPr>
      <w:r>
        <w:rPr>
          <w:rFonts w:ascii="Times New Roman" w:hAnsi="Times New Roman" w:cs="Times New Roman" w:hint="eastAsia"/>
          <w:b/>
          <w:color w:val="000000"/>
        </w:rPr>
        <w:t>（二）</w:t>
      </w:r>
      <w:r>
        <w:rPr>
          <w:rFonts w:ascii="Times New Roman" w:hAnsi="Times New Roman" w:cs="Times New Roman" w:hint="eastAsia"/>
          <w:b/>
          <w:color w:val="000000"/>
          <w:lang w:eastAsia="ar-SA"/>
        </w:rPr>
        <w:t>北洋天青在销售方面对海尔集团公司不存在较大依赖</w:t>
      </w:r>
    </w:p>
    <w:p w14:paraId="5B1DFA7C"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工业自动化是制造业转型升级的动力，随着家电行业的高速增长，传统家电行业面临着诸多问题：从业人员流动性大、人员成本逐年增高、资金压力大等等。众多家电企业需要寻求全新的解决方案——自动化升级改造。国家产业政策的大力支持，给产业转型升级提供了政策导向，给自动化提供了很好的发展环境。</w:t>
      </w:r>
    </w:p>
    <w:p w14:paraId="281F4B9A"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一方面，标的公司深耕家电行业，凭借过硬的产品质量、丰富的行业经验、优质的服务团队和先进的技术理念，与海尔集团公司、澳柯玛股份有限公司、海信集团有限公司等众多家电行业优质下游客户保持了良好的合作关系。家电行业下游客户对于供应商的选定有着严格的标准和程序，标的公司深度掌握下游客户</w:t>
      </w:r>
      <w:r>
        <w:rPr>
          <w:rFonts w:ascii="Times New Roman" w:hAnsi="Times New Roman" w:cs="Times New Roman" w:hint="eastAsia"/>
          <w:bCs/>
          <w:color w:val="000000"/>
          <w:szCs w:val="21"/>
          <w:lang w:val="en-GB"/>
        </w:rPr>
        <w:lastRenderedPageBreak/>
        <w:t>的技术改造需求和产品加工工艺，一旦合作关系确立，将不会轻易变更。此外，北洋天青同时也在积极开拓新的客户，加强自身在家电智能制造领域的优势。</w:t>
      </w:r>
    </w:p>
    <w:p w14:paraId="53A423A4"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另一方面，标的公司在深耕家电行业的同时，也在积极拓展其他行业。在食品饮料领域，标的公司以现有技术及软件为基础，已经为青岛饮料集团有限公司提供了相应的自动化、企业信息化服务。在</w:t>
      </w:r>
      <w:r>
        <w:rPr>
          <w:rFonts w:ascii="Times New Roman" w:hAnsi="Times New Roman" w:cs="Times New Roman"/>
          <w:bCs/>
          <w:color w:val="000000"/>
          <w:szCs w:val="21"/>
          <w:lang w:val="en-GB"/>
        </w:rPr>
        <w:t>3C</w:t>
      </w:r>
      <w:r>
        <w:rPr>
          <w:rFonts w:ascii="Times New Roman" w:hAnsi="Times New Roman" w:cs="Times New Roman" w:hint="eastAsia"/>
          <w:bCs/>
          <w:color w:val="000000"/>
          <w:szCs w:val="21"/>
          <w:lang w:val="en-GB"/>
        </w:rPr>
        <w:t>领域，</w:t>
      </w:r>
      <w:r>
        <w:rPr>
          <w:rFonts w:ascii="Times New Roman" w:hAnsi="Times New Roman" w:cs="Times New Roman" w:hint="eastAsia"/>
          <w:bCs/>
          <w:color w:val="000000"/>
          <w:lang w:val="en-GB"/>
        </w:rPr>
        <w:t>标的公司</w:t>
      </w:r>
      <w:r>
        <w:rPr>
          <w:rFonts w:ascii="Times New Roman" w:hAnsi="Times New Roman" w:cs="Times New Roman" w:hint="eastAsia"/>
          <w:bCs/>
          <w:color w:val="000000"/>
          <w:szCs w:val="21"/>
          <w:lang w:val="en-GB"/>
        </w:rPr>
        <w:t>主要以现有的物流悬挂输送系统为切入的技术基础，以液晶显示器模组生产为主推市场，拟开发机器人视觉追踪应用技术，柔性部件组装技术、以及任意曲面屏组装技术，并引入行业内有资深自动化行业经验的高水平技术及管理人才，积极拓展</w:t>
      </w:r>
      <w:r>
        <w:rPr>
          <w:rFonts w:ascii="Times New Roman" w:hAnsi="Times New Roman" w:cs="Times New Roman"/>
          <w:bCs/>
          <w:color w:val="000000"/>
          <w:szCs w:val="21"/>
          <w:lang w:val="en-GB"/>
        </w:rPr>
        <w:t>3C</w:t>
      </w:r>
      <w:r>
        <w:rPr>
          <w:rFonts w:ascii="Times New Roman" w:hAnsi="Times New Roman" w:cs="Times New Roman" w:hint="eastAsia"/>
          <w:bCs/>
          <w:color w:val="000000"/>
          <w:szCs w:val="21"/>
          <w:lang w:val="en-GB"/>
        </w:rPr>
        <w:t>领域自动化市场。新能源电池作为我国及世界的发展方向，标的公司计划在未来进入新能源电池自动化领域拓展业务。在化工领域，标的公司与青岛海湾集团有限公司就智能工厂整体规划、企业信息化等业务展开初步接触。</w:t>
      </w:r>
    </w:p>
    <w:p w14:paraId="5AF83C78"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综上所述，从市场需求、行业趋势、标的公司发展战略等情况来看，标的公司的营业收入均具备可持续性，具备独立获取订单的能力，不存在对海尔集团公司的较大依赖。</w:t>
      </w:r>
    </w:p>
    <w:p w14:paraId="0034A509" w14:textId="77777777" w:rsidR="00C02929" w:rsidRDefault="006116D1" w:rsidP="001F3E46">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（三）北洋天青在技术方面对海尔集团公司不存在较大依赖</w:t>
      </w:r>
    </w:p>
    <w:p w14:paraId="7EABEAC9"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围绕智能制造主线，以信息化赋能自动化设备，实现了信息化与自动化的深度融合与相互促进。北洋天青目前形成了七大技术产品线，即：工业机器人本体及系统集成、智能制造装备、机器视觉、测试系统集成、模具立体库自动换模系统、物流悬挂输送系统和企业信息化七大板块，相关技术均已在多个大型项目中实际应用。</w:t>
      </w:r>
    </w:p>
    <w:p w14:paraId="245B1AC8"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业务涉及智能制造领域的全周期、全过程，在智能制造解决方案各个层面，均有自己的产品及其相关的集成应用。标的公司拥有数字化工厂的全集成优势，能为客户打造完全自主可控和定制化的智能制造及数字化工厂，以信息化技术为驱动核心，以定制化智能制造装备为基础，能为客户提供工业自动化、数字化、网络化、智能化的端到端、一站式产品和服务。标的公司作为工业自动化和智能制造领域的高新技术企业，是国内早期进行“智能制造全集成”布局的企业之一。</w:t>
      </w:r>
    </w:p>
    <w:p w14:paraId="561F32F6"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lastRenderedPageBreak/>
        <w:t>北洋天青的各个技术产品涵盖了数字化工厂网络层、执行层及应用层各个层面，其中网络层产品包括企业信息化</w:t>
      </w:r>
      <w:r>
        <w:rPr>
          <w:rFonts w:ascii="Times New Roman" w:hAnsi="Times New Roman" w:cs="Times New Roman"/>
          <w:bCs/>
          <w:color w:val="000000"/>
          <w:szCs w:val="21"/>
          <w:lang w:val="en-GB"/>
        </w:rPr>
        <w:t>SCADA</w:t>
      </w:r>
      <w:r>
        <w:rPr>
          <w:rFonts w:ascii="Times New Roman" w:hAnsi="Times New Roman" w:cs="Times New Roman" w:hint="eastAsia"/>
          <w:bCs/>
          <w:color w:val="000000"/>
          <w:szCs w:val="21"/>
          <w:lang w:val="en-GB"/>
        </w:rPr>
        <w:t>等相关产品，执行层产品包括机器人执行方案及智能制造装备等产品，应用层产品包括依托综合集成应用能力形成的“自动化生产线智能工厂”等关键产品，能为客户提供系统集成及自动化生产解决方案等技术支持。</w:t>
      </w:r>
    </w:p>
    <w:p w14:paraId="05F2EC13"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拥有独立的研发机构和研发团队，采取自主研发的模式，其各项技术均为自主独立研发取得。北洋天青以项目为基础，以研发促进项目质量，具有一定的技术壁垒与产品竞争力，在项目实施和研发阶段逐渐形成多项专利和软件著作权。截至本核查意见出具日，北洋天青已获得专利</w:t>
      </w:r>
      <w:r>
        <w:rPr>
          <w:rFonts w:ascii="Times New Roman" w:hAnsi="Times New Roman" w:cs="Times New Roman"/>
          <w:bCs/>
          <w:color w:val="000000"/>
          <w:szCs w:val="21"/>
          <w:lang w:val="en-GB"/>
        </w:rPr>
        <w:t>3</w:t>
      </w:r>
      <w:r>
        <w:rPr>
          <w:rFonts w:ascii="Times New Roman" w:hAnsi="Times New Roman" w:cs="Times New Roman" w:hint="eastAsia"/>
          <w:bCs/>
          <w:color w:val="000000"/>
          <w:szCs w:val="21"/>
          <w:lang w:val="en-GB"/>
        </w:rPr>
        <w:t>项以及软件著作权</w:t>
      </w:r>
      <w:r>
        <w:rPr>
          <w:rFonts w:ascii="Times New Roman" w:hAnsi="Times New Roman" w:cs="Times New Roman"/>
          <w:bCs/>
          <w:color w:val="000000"/>
          <w:szCs w:val="21"/>
          <w:lang w:val="en-GB"/>
        </w:rPr>
        <w:t>8</w:t>
      </w:r>
      <w:r>
        <w:rPr>
          <w:rFonts w:ascii="Times New Roman" w:hAnsi="Times New Roman" w:cs="Times New Roman" w:hint="eastAsia"/>
          <w:bCs/>
          <w:color w:val="000000"/>
          <w:szCs w:val="21"/>
          <w:lang w:val="en-GB"/>
        </w:rPr>
        <w:t>项，同时正在申请的专利有</w:t>
      </w:r>
      <w:r>
        <w:rPr>
          <w:rFonts w:ascii="Times New Roman" w:hAnsi="Times New Roman" w:cs="Times New Roman"/>
          <w:bCs/>
          <w:color w:val="000000"/>
          <w:szCs w:val="21"/>
          <w:lang w:val="en-GB"/>
        </w:rPr>
        <w:t>20</w:t>
      </w:r>
      <w:r>
        <w:rPr>
          <w:rFonts w:ascii="Times New Roman" w:hAnsi="Times New Roman" w:cs="Times New Roman" w:hint="eastAsia"/>
          <w:bCs/>
          <w:color w:val="000000"/>
          <w:szCs w:val="21"/>
          <w:lang w:val="en-GB"/>
        </w:rPr>
        <w:t>项，不存在在技术方面对海尔集团公司较大依赖的情况。</w:t>
      </w:r>
    </w:p>
    <w:p w14:paraId="53574D2C" w14:textId="77777777" w:rsidR="00C02929" w:rsidRDefault="006116D1" w:rsidP="001F3E46">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（四）北洋天青在生产方面对海尔集团公司不存在较大依赖</w:t>
      </w:r>
    </w:p>
    <w:p w14:paraId="57387AA2"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深耕家电自动化领域，主要从事家电行业的生产线智能化、信息化建设、升级和改造。标的公司产品属于非标类产品，定制化要求较高，需要根据客户需求，按照不同的工艺要求及合同要求，分别进行研发、设计、制造和系统集成，因此主要采用“以销定产”的订单生产模式。一方面，北洋天青通过独立研发、设计与生产，向海尔集团公司提供智能化、信息化生产线和数字化生产车间的整体解决方案；另一方面，北洋天青将采购的原材料进行加工和系统集成，生产出与海尔集团公司的智能化、信息化生产线和数字化生产车间的整体解决方案相配套的智能制造装备。因此，北洋天青依靠多年的项目实施经验积累，形成了独有的生产模式，产品的生产过程均由北洋天青独立完成，在生产方面不存在对海尔集团公司的较大依赖。</w:t>
      </w:r>
    </w:p>
    <w:p w14:paraId="2CC5770A" w14:textId="77777777"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二、补充披露情况</w:t>
      </w:r>
    </w:p>
    <w:p w14:paraId="2E747A79"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上市公司已在《重组报告书》“第四节</w:t>
      </w:r>
      <w:r>
        <w:rPr>
          <w:rFonts w:ascii="Times New Roman" w:hAnsi="Times New Roman" w:cs="Times New Roman"/>
          <w:bCs/>
          <w:color w:val="000000"/>
          <w:szCs w:val="21"/>
          <w:lang w:val="en-GB"/>
        </w:rPr>
        <w:t xml:space="preserve"> </w:t>
      </w:r>
      <w:r>
        <w:rPr>
          <w:rFonts w:ascii="Times New Roman" w:hAnsi="Times New Roman" w:cs="Times New Roman" w:hint="eastAsia"/>
          <w:bCs/>
          <w:color w:val="000000"/>
          <w:szCs w:val="21"/>
          <w:lang w:val="en-GB"/>
        </w:rPr>
        <w:t>交易标的基本情况”之“五、主营业务发展情况”之“（十一）北洋天青在采购、销售、技术和生产等方面对海尔集团公司不存在较大依赖”进行了补充披露。</w:t>
      </w:r>
    </w:p>
    <w:p w14:paraId="458B4481" w14:textId="6DF2C78A"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w:t>
      </w:r>
      <w:r w:rsid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0ACFECD2" w14:textId="77777777" w:rsidR="00C02929" w:rsidRDefault="006116D1" w:rsidP="001F3E46">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color w:val="000000"/>
          <w:szCs w:val="21"/>
          <w:lang w:val="en-GB"/>
        </w:rPr>
        <w:lastRenderedPageBreak/>
        <w:t>经核查，独立财务顾问认为：北洋天青在采购、销售、技术和生产等方面对海尔集团公司均不存在较大依赖。</w:t>
      </w:r>
    </w:p>
    <w:p w14:paraId="65BCF39A" w14:textId="77777777" w:rsidR="00C02929" w:rsidRDefault="00C02929" w:rsidP="001F3E46">
      <w:pPr>
        <w:pStyle w:val="afffff"/>
        <w:sectPr w:rsidR="00C02929">
          <w:pgSz w:w="11906" w:h="16838"/>
          <w:pgMar w:top="1440" w:right="1800" w:bottom="1440" w:left="1800" w:header="851" w:footer="992" w:gutter="0"/>
          <w:cols w:space="720"/>
          <w:docGrid w:type="lines" w:linePitch="312"/>
        </w:sectPr>
      </w:pPr>
      <w:bookmarkStart w:id="23" w:name="_Toc69256871"/>
      <w:bookmarkStart w:id="24" w:name="_Toc69256851"/>
      <w:bookmarkEnd w:id="20"/>
      <w:bookmarkEnd w:id="21"/>
    </w:p>
    <w:p w14:paraId="1CDA4772" w14:textId="77777777" w:rsidR="00C02929" w:rsidRDefault="006116D1" w:rsidP="001F3E46">
      <w:pPr>
        <w:pStyle w:val="afffff"/>
      </w:pPr>
      <w:r>
        <w:rPr>
          <w:rFonts w:hint="eastAsia"/>
        </w:rPr>
        <w:lastRenderedPageBreak/>
        <w:t>第五题</w:t>
      </w:r>
    </w:p>
    <w:p w14:paraId="7CF3947C" w14:textId="77777777" w:rsidR="00C02929" w:rsidRDefault="006116D1" w:rsidP="001F3E46">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）标的资产共有大学本科及以上学历人员</w:t>
      </w:r>
      <w:r>
        <w:rPr>
          <w:rFonts w:ascii="Times New Roman" w:eastAsia="黑体" w:hAnsi="Times New Roman" w:cs="Times New Roman" w:hint="eastAsia"/>
          <w:b/>
          <w:color w:val="000000"/>
          <w:szCs w:val="21"/>
        </w:rPr>
        <w:t>31</w:t>
      </w:r>
      <w:r>
        <w:rPr>
          <w:rFonts w:ascii="Times New Roman" w:eastAsia="黑体" w:hAnsi="Times New Roman" w:cs="Times New Roman" w:hint="eastAsia"/>
          <w:b/>
          <w:color w:val="000000"/>
          <w:szCs w:val="21"/>
        </w:rPr>
        <w:t>人，占全体人员比例的</w:t>
      </w:r>
      <w:r>
        <w:rPr>
          <w:rFonts w:ascii="Times New Roman" w:eastAsia="黑体" w:hAnsi="Times New Roman" w:cs="Times New Roman" w:hint="eastAsia"/>
          <w:b/>
          <w:color w:val="000000"/>
          <w:szCs w:val="21"/>
        </w:rPr>
        <w:t>18.67%</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）但</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月</w:t>
      </w:r>
      <w:r>
        <w:rPr>
          <w:rFonts w:ascii="Times New Roman" w:eastAsia="黑体" w:hAnsi="Times New Roman" w:cs="Times New Roman" w:hint="eastAsia"/>
          <w:b/>
          <w:color w:val="000000"/>
          <w:szCs w:val="21"/>
        </w:rPr>
        <w:t>22</w:t>
      </w:r>
      <w:r>
        <w:rPr>
          <w:rFonts w:ascii="Times New Roman" w:eastAsia="黑体" w:hAnsi="Times New Roman" w:cs="Times New Roman" w:hint="eastAsia"/>
          <w:b/>
          <w:color w:val="000000"/>
          <w:szCs w:val="21"/>
        </w:rPr>
        <w:t>日你公司披露标的资产研发人员约</w:t>
      </w:r>
      <w:r>
        <w:rPr>
          <w:rFonts w:ascii="Times New Roman" w:eastAsia="黑体" w:hAnsi="Times New Roman" w:cs="Times New Roman" w:hint="eastAsia"/>
          <w:b/>
          <w:color w:val="000000"/>
          <w:szCs w:val="21"/>
        </w:rPr>
        <w:t>50</w:t>
      </w:r>
      <w:r>
        <w:rPr>
          <w:rFonts w:ascii="Times New Roman" w:eastAsia="黑体" w:hAnsi="Times New Roman" w:cs="Times New Roman" w:hint="eastAsia"/>
          <w:b/>
          <w:color w:val="000000"/>
          <w:szCs w:val="21"/>
        </w:rPr>
        <w:t>人，均为大学本科以上学历，占标的资产人员比例约</w:t>
      </w:r>
      <w:r>
        <w:rPr>
          <w:rFonts w:ascii="Times New Roman" w:eastAsia="黑体" w:hAnsi="Times New Roman" w:cs="Times New Roman" w:hint="eastAsia"/>
          <w:b/>
          <w:color w:val="000000"/>
          <w:szCs w:val="21"/>
        </w:rPr>
        <w:t>30%</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）标的资产属于家电行业的领先企业，研发实力出色，截至</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月</w:t>
      </w:r>
      <w:r>
        <w:rPr>
          <w:rFonts w:ascii="Times New Roman" w:eastAsia="黑体" w:hAnsi="Times New Roman" w:cs="Times New Roman" w:hint="eastAsia"/>
          <w:b/>
          <w:color w:val="000000"/>
          <w:szCs w:val="21"/>
        </w:rPr>
        <w:t>30</w:t>
      </w:r>
      <w:r>
        <w:rPr>
          <w:rFonts w:ascii="Times New Roman" w:eastAsia="黑体" w:hAnsi="Times New Roman" w:cs="Times New Roman" w:hint="eastAsia"/>
          <w:b/>
          <w:color w:val="000000"/>
          <w:szCs w:val="21"/>
        </w:rPr>
        <w:t>日，共有技术人员</w:t>
      </w:r>
      <w:r>
        <w:rPr>
          <w:rFonts w:ascii="Times New Roman" w:eastAsia="黑体" w:hAnsi="Times New Roman" w:cs="Times New Roman" w:hint="eastAsia"/>
          <w:b/>
          <w:color w:val="000000"/>
          <w:szCs w:val="21"/>
        </w:rPr>
        <w:t>44</w:t>
      </w:r>
      <w:r>
        <w:rPr>
          <w:rFonts w:ascii="Times New Roman" w:eastAsia="黑体" w:hAnsi="Times New Roman" w:cs="Times New Roman" w:hint="eastAsia"/>
          <w:b/>
          <w:color w:val="000000"/>
          <w:szCs w:val="21"/>
        </w:rPr>
        <w:t>人，核心技术人员</w:t>
      </w:r>
      <w:r>
        <w:rPr>
          <w:rFonts w:ascii="Times New Roman" w:eastAsia="黑体" w:hAnsi="Times New Roman" w:cs="Times New Roman" w:hint="eastAsia"/>
          <w:b/>
          <w:color w:val="000000"/>
          <w:szCs w:val="21"/>
        </w:rPr>
        <w:t>5</w:t>
      </w:r>
      <w:r>
        <w:rPr>
          <w:rFonts w:ascii="Times New Roman" w:eastAsia="黑体" w:hAnsi="Times New Roman" w:cs="Times New Roman" w:hint="eastAsia"/>
          <w:b/>
          <w:color w:val="000000"/>
          <w:szCs w:val="21"/>
        </w:rPr>
        <w:t>人，拥有实用新型专利</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项，正在申请中的专利</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项，其中</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项从</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年开始申请。请你公司：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标的资产技术人员准确数量和学历水平，研发费用占营业收入的比重，以及同行业可比公司的专利数量、技术储备、研发获奖情况、主要产品技术发展水平等，补充披露认定标的资产属于“家电行业的领先企业”、“研发实力出色”的依据是否充分。</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项专利申请的最新进展，全部或部分专利尚未申请成功的原因。</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）标的资产核心技术人员在其他企事业单位任职或投资情况（如有）及其原因，该等行为是否违反与标的资产签订的竞业限制等相关协议。</w:t>
      </w: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）报告期内标的资产技术人员离职情况，防止交易完成后核心技术人员流失的措施及其充分性。请独立财务顾问和律师核查并发表明确意见。</w:t>
      </w:r>
    </w:p>
    <w:p w14:paraId="27946278" w14:textId="77777777" w:rsidR="00C02929" w:rsidRDefault="006116D1" w:rsidP="001F3E46">
      <w:pPr>
        <w:pStyle w:val="affffd"/>
        <w:spacing w:before="156"/>
        <w:ind w:firstLine="482"/>
        <w:rPr>
          <w:b/>
        </w:rPr>
      </w:pPr>
      <w:r>
        <w:rPr>
          <w:rFonts w:hint="eastAsia"/>
          <w:b/>
        </w:rPr>
        <w:t>【回复说明】</w:t>
      </w:r>
    </w:p>
    <w:p w14:paraId="02924E2B" w14:textId="77777777" w:rsidR="00C02929" w:rsidRDefault="006116D1" w:rsidP="001F3E46">
      <w:pPr>
        <w:spacing w:beforeLines="50" w:before="156" w:line="360" w:lineRule="auto"/>
        <w:ind w:firstLineChars="200" w:firstLine="482"/>
        <w:jc w:val="both"/>
        <w:outlineLvl w:val="1"/>
        <w:rPr>
          <w:rFonts w:ascii="Times New Roman" w:eastAsia="黑体" w:hAnsi="Times New Roman" w:cs="Times New Roman"/>
          <w:b/>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标的资产技术人员准确数量和学历水平，研发费用占营业收入的比重，以及同行业可比公司的专利数量、技术储备、研发获奖情况、主要产品技术发展水平等，补充披露认定标的资产属于“家电行业的领先企业”、“研发实力出色”的依据是否充分。</w:t>
      </w:r>
    </w:p>
    <w:p w14:paraId="41CD806B" w14:textId="77777777" w:rsidR="00C02929" w:rsidRDefault="006116D1" w:rsidP="001F3E46">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一、标的资产技术人员及研发情况</w:t>
      </w:r>
    </w:p>
    <w:p w14:paraId="03C45694" w14:textId="77777777" w:rsidR="00C02929" w:rsidRDefault="006116D1" w:rsidP="001F3E46">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（一）标的公司技术人员情况</w:t>
      </w:r>
    </w:p>
    <w:p w14:paraId="1E3A1DBF"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bookmarkStart w:id="25" w:name="_Hlk66958172"/>
      <w:r>
        <w:rPr>
          <w:rFonts w:ascii="Times New Roman" w:hAnsi="Times New Roman" w:cs="Times New Roman" w:hint="eastAsia"/>
          <w:bCs/>
          <w:color w:val="000000"/>
          <w:szCs w:val="21"/>
          <w:lang w:val="en-GB"/>
        </w:rPr>
        <w:t>截至</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9</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30</w:t>
      </w:r>
      <w:r>
        <w:rPr>
          <w:rFonts w:ascii="Times New Roman" w:hAnsi="Times New Roman" w:cs="Times New Roman" w:hint="eastAsia"/>
          <w:bCs/>
          <w:color w:val="000000"/>
          <w:szCs w:val="21"/>
          <w:lang w:val="en-GB"/>
        </w:rPr>
        <w:t>日及</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12</w:t>
      </w:r>
      <w:r>
        <w:rPr>
          <w:rFonts w:ascii="Times New Roman" w:hAnsi="Times New Roman" w:cs="Times New Roman" w:hint="eastAsia"/>
          <w:bCs/>
          <w:color w:val="000000"/>
          <w:szCs w:val="21"/>
          <w:lang w:val="en-GB"/>
        </w:rPr>
        <w:t>月</w:t>
      </w:r>
      <w:r>
        <w:rPr>
          <w:rFonts w:ascii="Times New Roman" w:hAnsi="Times New Roman" w:cs="Times New Roman"/>
          <w:bCs/>
          <w:color w:val="000000"/>
          <w:szCs w:val="21"/>
          <w:lang w:val="en-GB"/>
        </w:rPr>
        <w:t>31</w:t>
      </w:r>
      <w:r>
        <w:rPr>
          <w:rFonts w:ascii="Times New Roman" w:hAnsi="Times New Roman" w:cs="Times New Roman" w:hint="eastAsia"/>
          <w:bCs/>
          <w:color w:val="000000"/>
          <w:szCs w:val="21"/>
          <w:lang w:val="en-GB"/>
        </w:rPr>
        <w:t>日，标的公司任职结构及教育程度情况如下：</w:t>
      </w:r>
    </w:p>
    <w:p w14:paraId="3693E1C8" w14:textId="77777777" w:rsidR="00C02929" w:rsidRDefault="006116D1" w:rsidP="001F3E46">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1</w:t>
      </w:r>
      <w:r>
        <w:rPr>
          <w:rFonts w:ascii="Times New Roman" w:hAnsi="Times New Roman" w:cs="Times New Roman" w:hint="eastAsia"/>
          <w:bCs/>
          <w:color w:val="000000"/>
          <w:szCs w:val="21"/>
          <w:lang w:val="en-GB"/>
        </w:rPr>
        <w:t>）任职结构</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25"/>
        <w:gridCol w:w="1560"/>
        <w:gridCol w:w="1861"/>
        <w:gridCol w:w="1745"/>
        <w:gridCol w:w="1831"/>
      </w:tblGrid>
      <w:tr w:rsidR="00C02929" w14:paraId="741F7408" w14:textId="77777777">
        <w:trPr>
          <w:trHeight w:val="397"/>
          <w:tblHeader/>
          <w:jc w:val="center"/>
        </w:trPr>
        <w:tc>
          <w:tcPr>
            <w:tcW w:w="895" w:type="pct"/>
            <w:tcBorders>
              <w:top w:val="single" w:sz="12" w:space="0" w:color="auto"/>
              <w:left w:val="nil"/>
              <w:bottom w:val="single" w:sz="4" w:space="0" w:color="auto"/>
              <w:right w:val="single" w:sz="4" w:space="0" w:color="auto"/>
            </w:tcBorders>
            <w:vAlign w:val="center"/>
          </w:tcPr>
          <w:p w14:paraId="624994BD" w14:textId="77777777" w:rsidR="00C02929" w:rsidRDefault="006116D1">
            <w:pPr>
              <w:snapToGrid w:val="0"/>
              <w:jc w:val="center"/>
              <w:rPr>
                <w:rFonts w:ascii="Times New Roman" w:hAnsi="Times New Roman" w:cs="Times New Roman"/>
                <w:b/>
                <w:sz w:val="21"/>
                <w:szCs w:val="21"/>
              </w:rPr>
            </w:pPr>
            <w:r>
              <w:rPr>
                <w:rFonts w:ascii="Times New Roman" w:hAnsi="Times New Roman" w:cs="Times New Roman" w:hint="eastAsia"/>
                <w:b/>
                <w:sz w:val="21"/>
                <w:szCs w:val="21"/>
              </w:rPr>
              <w:lastRenderedPageBreak/>
              <w:t>类别</w:t>
            </w:r>
          </w:p>
        </w:tc>
        <w:tc>
          <w:tcPr>
            <w:tcW w:w="915" w:type="pct"/>
            <w:tcBorders>
              <w:top w:val="single" w:sz="12" w:space="0" w:color="auto"/>
              <w:left w:val="single" w:sz="4" w:space="0" w:color="auto"/>
              <w:bottom w:val="single" w:sz="4" w:space="0" w:color="auto"/>
              <w:right w:val="single" w:sz="4" w:space="0" w:color="auto"/>
            </w:tcBorders>
            <w:vAlign w:val="center"/>
          </w:tcPr>
          <w:p w14:paraId="3BDC03C2" w14:textId="77777777" w:rsidR="00C02929" w:rsidRDefault="006116D1">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日人数</w:t>
            </w:r>
          </w:p>
        </w:tc>
        <w:tc>
          <w:tcPr>
            <w:tcW w:w="1092" w:type="pct"/>
            <w:tcBorders>
              <w:top w:val="single" w:sz="12" w:space="0" w:color="auto"/>
              <w:left w:val="single" w:sz="4" w:space="0" w:color="auto"/>
              <w:bottom w:val="single" w:sz="4" w:space="0" w:color="auto"/>
              <w:right w:val="single" w:sz="4" w:space="0" w:color="auto"/>
            </w:tcBorders>
            <w:vAlign w:val="center"/>
          </w:tcPr>
          <w:p w14:paraId="0288EEF0" w14:textId="77777777" w:rsidR="00C02929" w:rsidRDefault="006116D1">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日占员工总数比例</w:t>
            </w:r>
          </w:p>
        </w:tc>
        <w:tc>
          <w:tcPr>
            <w:tcW w:w="1024" w:type="pct"/>
            <w:tcBorders>
              <w:top w:val="single" w:sz="12" w:space="0" w:color="auto"/>
              <w:left w:val="single" w:sz="4" w:space="0" w:color="auto"/>
              <w:bottom w:val="single" w:sz="4" w:space="0" w:color="auto"/>
              <w:right w:val="single" w:sz="4" w:space="0" w:color="auto"/>
            </w:tcBorders>
            <w:vAlign w:val="center"/>
          </w:tcPr>
          <w:p w14:paraId="5A432F46" w14:textId="77777777" w:rsidR="00C02929" w:rsidRDefault="006116D1">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日人数</w:t>
            </w:r>
          </w:p>
        </w:tc>
        <w:tc>
          <w:tcPr>
            <w:tcW w:w="1075" w:type="pct"/>
            <w:tcBorders>
              <w:top w:val="single" w:sz="12" w:space="0" w:color="auto"/>
              <w:left w:val="single" w:sz="4" w:space="0" w:color="auto"/>
              <w:bottom w:val="single" w:sz="4" w:space="0" w:color="auto"/>
              <w:right w:val="nil"/>
            </w:tcBorders>
            <w:vAlign w:val="center"/>
          </w:tcPr>
          <w:p w14:paraId="5E797236" w14:textId="77777777" w:rsidR="00C02929" w:rsidRDefault="006116D1">
            <w:pPr>
              <w:snapToGrid w:val="0"/>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日占员工总数比例</w:t>
            </w:r>
          </w:p>
        </w:tc>
      </w:tr>
      <w:tr w:rsidR="00C02929" w14:paraId="6E65A22A"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75B33EC1" w14:textId="77777777" w:rsidR="00C02929" w:rsidRDefault="006116D1">
            <w:pPr>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综合管理部</w:t>
            </w:r>
          </w:p>
        </w:tc>
        <w:tc>
          <w:tcPr>
            <w:tcW w:w="915" w:type="pct"/>
            <w:tcBorders>
              <w:top w:val="single" w:sz="4" w:space="0" w:color="auto"/>
              <w:left w:val="single" w:sz="4" w:space="0" w:color="auto"/>
              <w:bottom w:val="single" w:sz="4" w:space="0" w:color="auto"/>
              <w:right w:val="single" w:sz="4" w:space="0" w:color="auto"/>
            </w:tcBorders>
            <w:vAlign w:val="center"/>
          </w:tcPr>
          <w:p w14:paraId="787B690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092" w:type="pct"/>
            <w:tcBorders>
              <w:top w:val="single" w:sz="4" w:space="0" w:color="auto"/>
              <w:left w:val="single" w:sz="4" w:space="0" w:color="auto"/>
              <w:bottom w:val="single" w:sz="4" w:space="0" w:color="auto"/>
              <w:right w:val="single" w:sz="4" w:space="0" w:color="auto"/>
            </w:tcBorders>
            <w:vAlign w:val="center"/>
          </w:tcPr>
          <w:p w14:paraId="3178EF36"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1.81%</w:t>
            </w:r>
          </w:p>
        </w:tc>
        <w:tc>
          <w:tcPr>
            <w:tcW w:w="1024" w:type="pct"/>
            <w:tcBorders>
              <w:top w:val="single" w:sz="4" w:space="0" w:color="auto"/>
              <w:left w:val="single" w:sz="4" w:space="0" w:color="auto"/>
              <w:bottom w:val="single" w:sz="4" w:space="0" w:color="auto"/>
              <w:right w:val="single" w:sz="4" w:space="0" w:color="auto"/>
            </w:tcBorders>
            <w:vAlign w:val="center"/>
          </w:tcPr>
          <w:p w14:paraId="077DB0FB"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075" w:type="pct"/>
            <w:tcBorders>
              <w:top w:val="single" w:sz="4" w:space="0" w:color="auto"/>
              <w:left w:val="single" w:sz="4" w:space="0" w:color="auto"/>
              <w:bottom w:val="single" w:sz="4" w:space="0" w:color="auto"/>
              <w:right w:val="nil"/>
            </w:tcBorders>
            <w:vAlign w:val="center"/>
          </w:tcPr>
          <w:p w14:paraId="7BFB2FCC"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4.73%</w:t>
            </w:r>
          </w:p>
        </w:tc>
      </w:tr>
      <w:tr w:rsidR="00C02929" w14:paraId="4A40C0D9"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4C0B053E" w14:textId="77777777" w:rsidR="00C02929" w:rsidRDefault="006116D1">
            <w:pPr>
              <w:snapToGrid w:val="0"/>
              <w:jc w:val="center"/>
              <w:rPr>
                <w:rFonts w:ascii="Times New Roman" w:hAnsi="Times New Roman" w:cs="Times New Roman"/>
                <w:sz w:val="21"/>
                <w:szCs w:val="21"/>
              </w:rPr>
            </w:pPr>
            <w:r>
              <w:rPr>
                <w:rFonts w:ascii="Times New Roman" w:hAnsi="Times New Roman" w:cs="Times New Roman" w:hint="eastAsia"/>
                <w:color w:val="000000"/>
                <w:sz w:val="21"/>
                <w:szCs w:val="21"/>
              </w:rPr>
              <w:t>采购部</w:t>
            </w:r>
          </w:p>
        </w:tc>
        <w:tc>
          <w:tcPr>
            <w:tcW w:w="915" w:type="pct"/>
            <w:tcBorders>
              <w:top w:val="single" w:sz="4" w:space="0" w:color="auto"/>
              <w:left w:val="single" w:sz="4" w:space="0" w:color="auto"/>
              <w:bottom w:val="single" w:sz="4" w:space="0" w:color="auto"/>
              <w:right w:val="single" w:sz="4" w:space="0" w:color="auto"/>
            </w:tcBorders>
            <w:vAlign w:val="center"/>
          </w:tcPr>
          <w:p w14:paraId="5DD4E93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092" w:type="pct"/>
            <w:tcBorders>
              <w:top w:val="single" w:sz="4" w:space="0" w:color="auto"/>
              <w:left w:val="single" w:sz="4" w:space="0" w:color="auto"/>
              <w:bottom w:val="single" w:sz="4" w:space="0" w:color="auto"/>
              <w:right w:val="single" w:sz="4" w:space="0" w:color="auto"/>
            </w:tcBorders>
            <w:vAlign w:val="center"/>
          </w:tcPr>
          <w:p w14:paraId="4C041768"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3.01%</w:t>
            </w:r>
          </w:p>
        </w:tc>
        <w:tc>
          <w:tcPr>
            <w:tcW w:w="1024" w:type="pct"/>
            <w:tcBorders>
              <w:top w:val="single" w:sz="4" w:space="0" w:color="auto"/>
              <w:left w:val="single" w:sz="4" w:space="0" w:color="auto"/>
              <w:bottom w:val="single" w:sz="4" w:space="0" w:color="auto"/>
              <w:right w:val="single" w:sz="4" w:space="0" w:color="auto"/>
            </w:tcBorders>
            <w:vAlign w:val="center"/>
          </w:tcPr>
          <w:p w14:paraId="5402D99B"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075" w:type="pct"/>
            <w:tcBorders>
              <w:top w:val="single" w:sz="4" w:space="0" w:color="auto"/>
              <w:left w:val="single" w:sz="4" w:space="0" w:color="auto"/>
              <w:bottom w:val="single" w:sz="4" w:space="0" w:color="auto"/>
              <w:right w:val="nil"/>
            </w:tcBorders>
            <w:vAlign w:val="center"/>
          </w:tcPr>
          <w:p w14:paraId="0C62ED92"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3.55%</w:t>
            </w:r>
          </w:p>
        </w:tc>
      </w:tr>
      <w:tr w:rsidR="00C02929" w14:paraId="599CE1FC"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31331143" w14:textId="77777777" w:rsidR="00C02929" w:rsidRDefault="006116D1">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财务部</w:t>
            </w:r>
          </w:p>
        </w:tc>
        <w:tc>
          <w:tcPr>
            <w:tcW w:w="915" w:type="pct"/>
            <w:tcBorders>
              <w:top w:val="single" w:sz="4" w:space="0" w:color="auto"/>
              <w:left w:val="single" w:sz="4" w:space="0" w:color="auto"/>
              <w:bottom w:val="single" w:sz="4" w:space="0" w:color="auto"/>
              <w:right w:val="single" w:sz="4" w:space="0" w:color="auto"/>
            </w:tcBorders>
            <w:vAlign w:val="center"/>
          </w:tcPr>
          <w:p w14:paraId="0F29F54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092" w:type="pct"/>
            <w:tcBorders>
              <w:top w:val="single" w:sz="4" w:space="0" w:color="auto"/>
              <w:left w:val="single" w:sz="4" w:space="0" w:color="auto"/>
              <w:bottom w:val="single" w:sz="4" w:space="0" w:color="auto"/>
              <w:right w:val="single" w:sz="4" w:space="0" w:color="auto"/>
            </w:tcBorders>
            <w:vAlign w:val="center"/>
          </w:tcPr>
          <w:p w14:paraId="57B4937E"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3.61%</w:t>
            </w:r>
          </w:p>
        </w:tc>
        <w:tc>
          <w:tcPr>
            <w:tcW w:w="1024" w:type="pct"/>
            <w:tcBorders>
              <w:top w:val="single" w:sz="4" w:space="0" w:color="auto"/>
              <w:left w:val="single" w:sz="4" w:space="0" w:color="auto"/>
              <w:bottom w:val="single" w:sz="4" w:space="0" w:color="auto"/>
              <w:right w:val="single" w:sz="4" w:space="0" w:color="auto"/>
            </w:tcBorders>
            <w:vAlign w:val="center"/>
          </w:tcPr>
          <w:p w14:paraId="458B20AA"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075" w:type="pct"/>
            <w:tcBorders>
              <w:top w:val="single" w:sz="4" w:space="0" w:color="auto"/>
              <w:left w:val="single" w:sz="4" w:space="0" w:color="auto"/>
              <w:bottom w:val="single" w:sz="4" w:space="0" w:color="auto"/>
              <w:right w:val="nil"/>
            </w:tcBorders>
            <w:vAlign w:val="center"/>
          </w:tcPr>
          <w:p w14:paraId="0570F613"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2.96%</w:t>
            </w:r>
          </w:p>
        </w:tc>
      </w:tr>
      <w:tr w:rsidR="00C02929" w14:paraId="2531FAA0"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72966B64" w14:textId="77777777" w:rsidR="00C02929" w:rsidRDefault="006116D1">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软件开发部</w:t>
            </w:r>
          </w:p>
        </w:tc>
        <w:tc>
          <w:tcPr>
            <w:tcW w:w="915" w:type="pct"/>
            <w:tcBorders>
              <w:top w:val="single" w:sz="4" w:space="0" w:color="auto"/>
              <w:left w:val="single" w:sz="4" w:space="0" w:color="auto"/>
              <w:bottom w:val="single" w:sz="4" w:space="0" w:color="auto"/>
              <w:right w:val="single" w:sz="4" w:space="0" w:color="auto"/>
            </w:tcBorders>
            <w:vAlign w:val="center"/>
          </w:tcPr>
          <w:p w14:paraId="0FA2DC4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092" w:type="pct"/>
            <w:tcBorders>
              <w:top w:val="single" w:sz="4" w:space="0" w:color="auto"/>
              <w:left w:val="single" w:sz="4" w:space="0" w:color="auto"/>
              <w:bottom w:val="single" w:sz="4" w:space="0" w:color="auto"/>
              <w:right w:val="single" w:sz="4" w:space="0" w:color="auto"/>
            </w:tcBorders>
            <w:vAlign w:val="center"/>
          </w:tcPr>
          <w:p w14:paraId="75E980DB"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4.22%</w:t>
            </w:r>
          </w:p>
        </w:tc>
        <w:tc>
          <w:tcPr>
            <w:tcW w:w="1024" w:type="pct"/>
            <w:tcBorders>
              <w:top w:val="single" w:sz="4" w:space="0" w:color="auto"/>
              <w:left w:val="single" w:sz="4" w:space="0" w:color="auto"/>
              <w:bottom w:val="single" w:sz="4" w:space="0" w:color="auto"/>
              <w:right w:val="single" w:sz="4" w:space="0" w:color="auto"/>
            </w:tcBorders>
            <w:vAlign w:val="center"/>
          </w:tcPr>
          <w:p w14:paraId="1A01556F"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075" w:type="pct"/>
            <w:tcBorders>
              <w:top w:val="single" w:sz="4" w:space="0" w:color="auto"/>
              <w:left w:val="single" w:sz="4" w:space="0" w:color="auto"/>
              <w:bottom w:val="single" w:sz="4" w:space="0" w:color="auto"/>
              <w:right w:val="nil"/>
            </w:tcBorders>
            <w:vAlign w:val="center"/>
          </w:tcPr>
          <w:p w14:paraId="4037512D"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4.73%</w:t>
            </w:r>
          </w:p>
        </w:tc>
      </w:tr>
      <w:tr w:rsidR="00C02929" w14:paraId="196EB428"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09688659" w14:textId="77777777" w:rsidR="00C02929" w:rsidRDefault="006116D1">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业务规划部</w:t>
            </w:r>
          </w:p>
        </w:tc>
        <w:tc>
          <w:tcPr>
            <w:tcW w:w="915" w:type="pct"/>
            <w:tcBorders>
              <w:top w:val="single" w:sz="4" w:space="0" w:color="auto"/>
              <w:left w:val="single" w:sz="4" w:space="0" w:color="auto"/>
              <w:bottom w:val="single" w:sz="4" w:space="0" w:color="auto"/>
              <w:right w:val="single" w:sz="4" w:space="0" w:color="auto"/>
            </w:tcBorders>
            <w:vAlign w:val="center"/>
          </w:tcPr>
          <w:p w14:paraId="09F6BCF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092" w:type="pct"/>
            <w:tcBorders>
              <w:top w:val="single" w:sz="4" w:space="0" w:color="auto"/>
              <w:left w:val="single" w:sz="4" w:space="0" w:color="auto"/>
              <w:bottom w:val="single" w:sz="4" w:space="0" w:color="auto"/>
              <w:right w:val="single" w:sz="4" w:space="0" w:color="auto"/>
            </w:tcBorders>
            <w:vAlign w:val="center"/>
          </w:tcPr>
          <w:p w14:paraId="59BCA8F2"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6.63%</w:t>
            </w:r>
          </w:p>
        </w:tc>
        <w:tc>
          <w:tcPr>
            <w:tcW w:w="1024" w:type="pct"/>
            <w:tcBorders>
              <w:top w:val="single" w:sz="4" w:space="0" w:color="auto"/>
              <w:left w:val="single" w:sz="4" w:space="0" w:color="auto"/>
              <w:bottom w:val="single" w:sz="4" w:space="0" w:color="auto"/>
              <w:right w:val="single" w:sz="4" w:space="0" w:color="auto"/>
            </w:tcBorders>
            <w:vAlign w:val="center"/>
          </w:tcPr>
          <w:p w14:paraId="35AA3BDC"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075" w:type="pct"/>
            <w:tcBorders>
              <w:top w:val="single" w:sz="4" w:space="0" w:color="auto"/>
              <w:left w:val="single" w:sz="4" w:space="0" w:color="auto"/>
              <w:bottom w:val="single" w:sz="4" w:space="0" w:color="auto"/>
              <w:right w:val="nil"/>
            </w:tcBorders>
            <w:vAlign w:val="center"/>
          </w:tcPr>
          <w:p w14:paraId="5EC728A2"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4.73%</w:t>
            </w:r>
          </w:p>
        </w:tc>
      </w:tr>
      <w:tr w:rsidR="00C02929" w14:paraId="500D2929"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47022C30" w14:textId="77777777" w:rsidR="00C02929" w:rsidRDefault="006116D1">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悬挂链事业部</w:t>
            </w:r>
          </w:p>
        </w:tc>
        <w:tc>
          <w:tcPr>
            <w:tcW w:w="915" w:type="pct"/>
            <w:tcBorders>
              <w:top w:val="single" w:sz="4" w:space="0" w:color="auto"/>
              <w:left w:val="single" w:sz="4" w:space="0" w:color="auto"/>
              <w:bottom w:val="single" w:sz="4" w:space="0" w:color="auto"/>
              <w:right w:val="single" w:sz="4" w:space="0" w:color="auto"/>
            </w:tcBorders>
            <w:vAlign w:val="center"/>
          </w:tcPr>
          <w:p w14:paraId="3965F61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26</w:t>
            </w:r>
          </w:p>
        </w:tc>
        <w:tc>
          <w:tcPr>
            <w:tcW w:w="1092" w:type="pct"/>
            <w:tcBorders>
              <w:top w:val="single" w:sz="4" w:space="0" w:color="auto"/>
              <w:left w:val="single" w:sz="4" w:space="0" w:color="auto"/>
              <w:bottom w:val="single" w:sz="4" w:space="0" w:color="auto"/>
              <w:right w:val="single" w:sz="4" w:space="0" w:color="auto"/>
            </w:tcBorders>
            <w:vAlign w:val="center"/>
          </w:tcPr>
          <w:p w14:paraId="179FBE15"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15.66%</w:t>
            </w:r>
          </w:p>
        </w:tc>
        <w:tc>
          <w:tcPr>
            <w:tcW w:w="1024" w:type="pct"/>
            <w:tcBorders>
              <w:top w:val="single" w:sz="4" w:space="0" w:color="auto"/>
              <w:left w:val="single" w:sz="4" w:space="0" w:color="auto"/>
              <w:bottom w:val="single" w:sz="4" w:space="0" w:color="auto"/>
              <w:right w:val="single" w:sz="4" w:space="0" w:color="auto"/>
            </w:tcBorders>
            <w:vAlign w:val="center"/>
          </w:tcPr>
          <w:p w14:paraId="664BF5A8"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075" w:type="pct"/>
            <w:tcBorders>
              <w:top w:val="single" w:sz="4" w:space="0" w:color="auto"/>
              <w:left w:val="single" w:sz="4" w:space="0" w:color="auto"/>
              <w:bottom w:val="single" w:sz="4" w:space="0" w:color="auto"/>
              <w:right w:val="nil"/>
            </w:tcBorders>
            <w:vAlign w:val="center"/>
          </w:tcPr>
          <w:p w14:paraId="0B1C198F"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C02929" w14:paraId="30E47798"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23F0FC2A" w14:textId="77777777" w:rsidR="00C02929" w:rsidRDefault="006116D1">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技术部</w:t>
            </w:r>
          </w:p>
        </w:tc>
        <w:tc>
          <w:tcPr>
            <w:tcW w:w="915" w:type="pct"/>
            <w:tcBorders>
              <w:top w:val="single" w:sz="4" w:space="0" w:color="auto"/>
              <w:left w:val="single" w:sz="4" w:space="0" w:color="auto"/>
              <w:bottom w:val="single" w:sz="4" w:space="0" w:color="auto"/>
              <w:right w:val="single" w:sz="4" w:space="0" w:color="auto"/>
            </w:tcBorders>
            <w:vAlign w:val="center"/>
          </w:tcPr>
          <w:p w14:paraId="6F068AC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32</w:t>
            </w:r>
          </w:p>
        </w:tc>
        <w:tc>
          <w:tcPr>
            <w:tcW w:w="1092" w:type="pct"/>
            <w:tcBorders>
              <w:top w:val="single" w:sz="4" w:space="0" w:color="auto"/>
              <w:left w:val="single" w:sz="4" w:space="0" w:color="auto"/>
              <w:bottom w:val="single" w:sz="4" w:space="0" w:color="auto"/>
              <w:right w:val="single" w:sz="4" w:space="0" w:color="auto"/>
            </w:tcBorders>
            <w:vAlign w:val="center"/>
          </w:tcPr>
          <w:p w14:paraId="6907FFD6"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19.28%</w:t>
            </w:r>
          </w:p>
        </w:tc>
        <w:tc>
          <w:tcPr>
            <w:tcW w:w="1024" w:type="pct"/>
            <w:tcBorders>
              <w:top w:val="single" w:sz="4" w:space="0" w:color="auto"/>
              <w:left w:val="single" w:sz="4" w:space="0" w:color="auto"/>
              <w:bottom w:val="single" w:sz="4" w:space="0" w:color="auto"/>
              <w:right w:val="single" w:sz="4" w:space="0" w:color="auto"/>
            </w:tcBorders>
            <w:vAlign w:val="center"/>
          </w:tcPr>
          <w:p w14:paraId="72EEB072"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1075" w:type="pct"/>
            <w:tcBorders>
              <w:top w:val="single" w:sz="4" w:space="0" w:color="auto"/>
              <w:left w:val="single" w:sz="4" w:space="0" w:color="auto"/>
              <w:bottom w:val="single" w:sz="4" w:space="0" w:color="auto"/>
              <w:right w:val="nil"/>
            </w:tcBorders>
            <w:vAlign w:val="center"/>
          </w:tcPr>
          <w:p w14:paraId="49F40158"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23.67%</w:t>
            </w:r>
          </w:p>
        </w:tc>
      </w:tr>
      <w:tr w:rsidR="00C02929" w14:paraId="155C6510"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47CCC7E7" w14:textId="77777777" w:rsidR="00C02929" w:rsidRDefault="006116D1">
            <w:pPr>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生产部</w:t>
            </w:r>
          </w:p>
        </w:tc>
        <w:tc>
          <w:tcPr>
            <w:tcW w:w="915" w:type="pct"/>
            <w:tcBorders>
              <w:top w:val="single" w:sz="4" w:space="0" w:color="auto"/>
              <w:left w:val="single" w:sz="4" w:space="0" w:color="auto"/>
              <w:bottom w:val="single" w:sz="4" w:space="0" w:color="auto"/>
              <w:right w:val="single" w:sz="4" w:space="0" w:color="auto"/>
            </w:tcBorders>
            <w:vAlign w:val="center"/>
          </w:tcPr>
          <w:p w14:paraId="161DBFE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76</w:t>
            </w:r>
          </w:p>
        </w:tc>
        <w:tc>
          <w:tcPr>
            <w:tcW w:w="1092" w:type="pct"/>
            <w:tcBorders>
              <w:top w:val="single" w:sz="4" w:space="0" w:color="auto"/>
              <w:left w:val="single" w:sz="4" w:space="0" w:color="auto"/>
              <w:bottom w:val="single" w:sz="4" w:space="0" w:color="auto"/>
              <w:right w:val="single" w:sz="4" w:space="0" w:color="auto"/>
            </w:tcBorders>
            <w:vAlign w:val="center"/>
          </w:tcPr>
          <w:p w14:paraId="0E582311" w14:textId="77777777" w:rsidR="00C02929" w:rsidRDefault="006116D1">
            <w:pPr>
              <w:jc w:val="right"/>
              <w:textAlignment w:val="center"/>
              <w:rPr>
                <w:rFonts w:ascii="Times New Roman" w:hAnsi="Times New Roman" w:cs="Times New Roman"/>
                <w:color w:val="000000"/>
                <w:sz w:val="21"/>
                <w:szCs w:val="21"/>
                <w:lang w:bidi="ar"/>
              </w:rPr>
            </w:pPr>
            <w:r>
              <w:rPr>
                <w:rFonts w:ascii="Times New Roman" w:hAnsi="Times New Roman" w:cs="Times New Roman"/>
                <w:color w:val="000000"/>
                <w:sz w:val="21"/>
                <w:szCs w:val="21"/>
              </w:rPr>
              <w:t>45.78%</w:t>
            </w:r>
          </w:p>
        </w:tc>
        <w:tc>
          <w:tcPr>
            <w:tcW w:w="1024" w:type="pct"/>
            <w:tcBorders>
              <w:top w:val="single" w:sz="4" w:space="0" w:color="auto"/>
              <w:left w:val="single" w:sz="4" w:space="0" w:color="auto"/>
              <w:bottom w:val="single" w:sz="4" w:space="0" w:color="auto"/>
              <w:right w:val="single" w:sz="4" w:space="0" w:color="auto"/>
            </w:tcBorders>
            <w:vAlign w:val="center"/>
          </w:tcPr>
          <w:p w14:paraId="6645F959"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94</w:t>
            </w:r>
          </w:p>
        </w:tc>
        <w:tc>
          <w:tcPr>
            <w:tcW w:w="1075" w:type="pct"/>
            <w:tcBorders>
              <w:top w:val="single" w:sz="4" w:space="0" w:color="auto"/>
              <w:left w:val="single" w:sz="4" w:space="0" w:color="auto"/>
              <w:bottom w:val="single" w:sz="4" w:space="0" w:color="auto"/>
              <w:right w:val="nil"/>
            </w:tcBorders>
            <w:vAlign w:val="center"/>
          </w:tcPr>
          <w:p w14:paraId="257BB1B0"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55.62%</w:t>
            </w:r>
          </w:p>
        </w:tc>
      </w:tr>
      <w:tr w:rsidR="00C02929" w14:paraId="2E471C2D" w14:textId="77777777">
        <w:trPr>
          <w:trHeight w:val="397"/>
          <w:jc w:val="center"/>
        </w:trPr>
        <w:tc>
          <w:tcPr>
            <w:tcW w:w="895" w:type="pct"/>
            <w:tcBorders>
              <w:top w:val="single" w:sz="4" w:space="0" w:color="auto"/>
              <w:left w:val="nil"/>
              <w:bottom w:val="single" w:sz="12" w:space="0" w:color="auto"/>
              <w:right w:val="single" w:sz="4" w:space="0" w:color="auto"/>
            </w:tcBorders>
            <w:vAlign w:val="center"/>
          </w:tcPr>
          <w:p w14:paraId="149DCC2A" w14:textId="77777777" w:rsidR="00C02929" w:rsidRDefault="006116D1">
            <w:pPr>
              <w:snapToGrid w:val="0"/>
              <w:jc w:val="center"/>
              <w:rPr>
                <w:rFonts w:ascii="Times New Roman" w:hAnsi="Times New Roman" w:cs="Times New Roman"/>
                <w:b/>
                <w:sz w:val="21"/>
                <w:szCs w:val="21"/>
              </w:rPr>
            </w:pPr>
            <w:r>
              <w:rPr>
                <w:rFonts w:ascii="Times New Roman" w:hAnsi="Times New Roman" w:cs="Times New Roman" w:hint="eastAsia"/>
                <w:b/>
                <w:color w:val="000000"/>
                <w:sz w:val="21"/>
                <w:szCs w:val="21"/>
              </w:rPr>
              <w:t>合计</w:t>
            </w:r>
          </w:p>
        </w:tc>
        <w:tc>
          <w:tcPr>
            <w:tcW w:w="915" w:type="pct"/>
            <w:tcBorders>
              <w:top w:val="single" w:sz="4" w:space="0" w:color="auto"/>
              <w:left w:val="single" w:sz="4" w:space="0" w:color="auto"/>
              <w:bottom w:val="single" w:sz="12" w:space="0" w:color="auto"/>
              <w:right w:val="single" w:sz="4" w:space="0" w:color="auto"/>
            </w:tcBorders>
            <w:vAlign w:val="center"/>
          </w:tcPr>
          <w:p w14:paraId="04AE2753" w14:textId="77777777" w:rsidR="00C02929" w:rsidRDefault="006116D1">
            <w:pPr>
              <w:jc w:val="right"/>
              <w:rPr>
                <w:rFonts w:ascii="Times New Roman" w:hAnsi="Times New Roman" w:cs="Times New Roman"/>
                <w:b/>
                <w:color w:val="000000"/>
                <w:sz w:val="21"/>
                <w:szCs w:val="21"/>
              </w:rPr>
            </w:pPr>
            <w:r>
              <w:rPr>
                <w:rFonts w:ascii="Times New Roman" w:hAnsi="Times New Roman" w:cs="Times New Roman"/>
                <w:b/>
                <w:color w:val="000000"/>
                <w:sz w:val="21"/>
                <w:szCs w:val="21"/>
              </w:rPr>
              <w:t>166</w:t>
            </w:r>
          </w:p>
        </w:tc>
        <w:tc>
          <w:tcPr>
            <w:tcW w:w="1092" w:type="pct"/>
            <w:tcBorders>
              <w:top w:val="single" w:sz="4" w:space="0" w:color="auto"/>
              <w:left w:val="single" w:sz="4" w:space="0" w:color="auto"/>
              <w:bottom w:val="single" w:sz="12" w:space="0" w:color="auto"/>
              <w:right w:val="single" w:sz="4" w:space="0" w:color="auto"/>
            </w:tcBorders>
            <w:vAlign w:val="center"/>
          </w:tcPr>
          <w:p w14:paraId="28275A3E" w14:textId="77777777" w:rsidR="00C02929" w:rsidRDefault="006116D1">
            <w:pPr>
              <w:jc w:val="right"/>
              <w:rPr>
                <w:rFonts w:ascii="Times New Roman" w:hAnsi="Times New Roman" w:cs="Times New Roman"/>
                <w:b/>
                <w:color w:val="000000"/>
                <w:sz w:val="21"/>
                <w:szCs w:val="21"/>
              </w:rPr>
            </w:pPr>
            <w:r>
              <w:rPr>
                <w:rFonts w:ascii="Times New Roman" w:hAnsi="Times New Roman" w:cs="Times New Roman"/>
                <w:b/>
                <w:color w:val="000000"/>
                <w:sz w:val="21"/>
                <w:szCs w:val="21"/>
              </w:rPr>
              <w:t>100.00%</w:t>
            </w:r>
          </w:p>
        </w:tc>
        <w:tc>
          <w:tcPr>
            <w:tcW w:w="1024" w:type="pct"/>
            <w:tcBorders>
              <w:top w:val="single" w:sz="4" w:space="0" w:color="auto"/>
              <w:left w:val="single" w:sz="4" w:space="0" w:color="auto"/>
              <w:bottom w:val="single" w:sz="12" w:space="0" w:color="auto"/>
              <w:right w:val="single" w:sz="4" w:space="0" w:color="auto"/>
            </w:tcBorders>
            <w:vAlign w:val="center"/>
          </w:tcPr>
          <w:p w14:paraId="08BDD41E" w14:textId="77777777" w:rsidR="00C02929" w:rsidRDefault="006116D1">
            <w:pPr>
              <w:jc w:val="right"/>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169</w:t>
            </w:r>
          </w:p>
        </w:tc>
        <w:tc>
          <w:tcPr>
            <w:tcW w:w="1075" w:type="pct"/>
            <w:tcBorders>
              <w:top w:val="single" w:sz="4" w:space="0" w:color="auto"/>
              <w:left w:val="single" w:sz="4" w:space="0" w:color="auto"/>
              <w:bottom w:val="single" w:sz="12" w:space="0" w:color="auto"/>
              <w:right w:val="nil"/>
            </w:tcBorders>
            <w:vAlign w:val="center"/>
          </w:tcPr>
          <w:p w14:paraId="757F4355" w14:textId="77777777" w:rsidR="00C02929" w:rsidRDefault="006116D1">
            <w:pPr>
              <w:jc w:val="right"/>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7910AD68" w14:textId="77777777" w:rsidR="00C02929" w:rsidRDefault="006116D1">
      <w:pPr>
        <w:pStyle w:val="affffd"/>
        <w:spacing w:beforeLines="0" w:line="240" w:lineRule="auto"/>
        <w:ind w:firstLineChars="0" w:firstLine="0"/>
        <w:rPr>
          <w:sz w:val="21"/>
          <w:szCs w:val="18"/>
        </w:rPr>
      </w:pPr>
      <w:bookmarkStart w:id="26" w:name="_Hlk63424652"/>
      <w:r>
        <w:rPr>
          <w:rFonts w:hint="eastAsia"/>
          <w:sz w:val="21"/>
          <w:szCs w:val="18"/>
        </w:rPr>
        <w:t>注：</w:t>
      </w:r>
      <w:r>
        <w:rPr>
          <w:sz w:val="21"/>
          <w:szCs w:val="18"/>
        </w:rPr>
        <w:t>2020</w:t>
      </w:r>
      <w:r>
        <w:rPr>
          <w:rFonts w:hint="eastAsia"/>
          <w:sz w:val="21"/>
          <w:szCs w:val="18"/>
        </w:rPr>
        <w:t>年</w:t>
      </w:r>
      <w:r>
        <w:rPr>
          <w:sz w:val="21"/>
          <w:szCs w:val="18"/>
        </w:rPr>
        <w:t>11</w:t>
      </w:r>
      <w:r>
        <w:rPr>
          <w:rFonts w:hint="eastAsia"/>
          <w:sz w:val="21"/>
          <w:szCs w:val="18"/>
        </w:rPr>
        <w:t>月，北洋天青进行部门调整，将悬挂链事业部人员调整至其他部门。</w:t>
      </w:r>
      <w:bookmarkEnd w:id="26"/>
    </w:p>
    <w:bookmarkEnd w:id="25"/>
    <w:p w14:paraId="0FD95E6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w:t>
      </w:r>
      <w:r>
        <w:rPr>
          <w:rFonts w:ascii="Times New Roman" w:hAnsi="Times New Roman" w:cs="Times New Roman" w:hint="eastAsia"/>
          <w:bCs/>
          <w:color w:val="000000"/>
          <w:szCs w:val="21"/>
          <w:lang w:val="en-GB"/>
        </w:rPr>
        <w:t>）教育程度情况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26"/>
        <w:gridCol w:w="1560"/>
        <w:gridCol w:w="1861"/>
        <w:gridCol w:w="1733"/>
        <w:gridCol w:w="1842"/>
      </w:tblGrid>
      <w:tr w:rsidR="00C02929" w14:paraId="2B0A4289" w14:textId="77777777">
        <w:trPr>
          <w:trHeight w:val="397"/>
          <w:tblHeader/>
          <w:jc w:val="center"/>
        </w:trPr>
        <w:tc>
          <w:tcPr>
            <w:tcW w:w="895" w:type="pct"/>
            <w:tcBorders>
              <w:top w:val="single" w:sz="12" w:space="0" w:color="auto"/>
              <w:left w:val="nil"/>
              <w:bottom w:val="single" w:sz="4" w:space="0" w:color="auto"/>
              <w:right w:val="single" w:sz="4" w:space="0" w:color="auto"/>
            </w:tcBorders>
            <w:vAlign w:val="center"/>
          </w:tcPr>
          <w:p w14:paraId="210847F4"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学历</w:t>
            </w:r>
          </w:p>
        </w:tc>
        <w:tc>
          <w:tcPr>
            <w:tcW w:w="915" w:type="pct"/>
            <w:tcBorders>
              <w:top w:val="single" w:sz="12" w:space="0" w:color="auto"/>
              <w:left w:val="single" w:sz="4" w:space="0" w:color="auto"/>
              <w:bottom w:val="single" w:sz="4" w:space="0" w:color="auto"/>
              <w:right w:val="single" w:sz="4" w:space="0" w:color="auto"/>
            </w:tcBorders>
            <w:vAlign w:val="center"/>
          </w:tcPr>
          <w:p w14:paraId="55BD12A3"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日人数</w:t>
            </w:r>
          </w:p>
        </w:tc>
        <w:tc>
          <w:tcPr>
            <w:tcW w:w="1092" w:type="pct"/>
            <w:tcBorders>
              <w:top w:val="single" w:sz="12" w:space="0" w:color="auto"/>
              <w:left w:val="single" w:sz="4" w:space="0" w:color="auto"/>
              <w:bottom w:val="single" w:sz="4" w:space="0" w:color="auto"/>
              <w:right w:val="single" w:sz="4" w:space="0" w:color="auto"/>
            </w:tcBorders>
            <w:vAlign w:val="center"/>
          </w:tcPr>
          <w:p w14:paraId="5180DD7E"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日占员工总数比例</w:t>
            </w:r>
          </w:p>
        </w:tc>
        <w:tc>
          <w:tcPr>
            <w:tcW w:w="1017" w:type="pct"/>
            <w:tcBorders>
              <w:top w:val="single" w:sz="12" w:space="0" w:color="auto"/>
              <w:left w:val="single" w:sz="4" w:space="0" w:color="auto"/>
              <w:bottom w:val="single" w:sz="4" w:space="0" w:color="auto"/>
              <w:right w:val="single" w:sz="4" w:space="0" w:color="auto"/>
            </w:tcBorders>
            <w:vAlign w:val="center"/>
          </w:tcPr>
          <w:p w14:paraId="57BE024A"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日人数</w:t>
            </w:r>
          </w:p>
        </w:tc>
        <w:tc>
          <w:tcPr>
            <w:tcW w:w="1081" w:type="pct"/>
            <w:tcBorders>
              <w:top w:val="single" w:sz="12" w:space="0" w:color="auto"/>
              <w:left w:val="single" w:sz="4" w:space="0" w:color="auto"/>
              <w:bottom w:val="single" w:sz="4" w:space="0" w:color="auto"/>
              <w:right w:val="nil"/>
            </w:tcBorders>
            <w:vAlign w:val="center"/>
          </w:tcPr>
          <w:p w14:paraId="2F6AB0B8"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日占员工总数比例</w:t>
            </w:r>
          </w:p>
        </w:tc>
      </w:tr>
      <w:tr w:rsidR="00C02929" w14:paraId="1E37C7BB"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43A7446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硕士及以上</w:t>
            </w:r>
          </w:p>
        </w:tc>
        <w:tc>
          <w:tcPr>
            <w:tcW w:w="915" w:type="pct"/>
            <w:tcBorders>
              <w:top w:val="single" w:sz="4" w:space="0" w:color="auto"/>
              <w:left w:val="single" w:sz="4" w:space="0" w:color="auto"/>
              <w:bottom w:val="single" w:sz="4" w:space="0" w:color="auto"/>
              <w:right w:val="single" w:sz="4" w:space="0" w:color="auto"/>
            </w:tcBorders>
            <w:vAlign w:val="center"/>
          </w:tcPr>
          <w:p w14:paraId="02F7297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092" w:type="pct"/>
            <w:tcBorders>
              <w:top w:val="single" w:sz="4" w:space="0" w:color="auto"/>
              <w:left w:val="single" w:sz="4" w:space="0" w:color="auto"/>
              <w:bottom w:val="single" w:sz="4" w:space="0" w:color="auto"/>
              <w:right w:val="single" w:sz="4" w:space="0" w:color="auto"/>
            </w:tcBorders>
            <w:vAlign w:val="center"/>
          </w:tcPr>
          <w:p w14:paraId="5EFD6C4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0.60%</w:t>
            </w:r>
          </w:p>
        </w:tc>
        <w:tc>
          <w:tcPr>
            <w:tcW w:w="1017" w:type="pct"/>
            <w:tcBorders>
              <w:top w:val="single" w:sz="4" w:space="0" w:color="auto"/>
              <w:left w:val="single" w:sz="4" w:space="0" w:color="auto"/>
              <w:bottom w:val="single" w:sz="4" w:space="0" w:color="auto"/>
              <w:right w:val="single" w:sz="4" w:space="0" w:color="auto"/>
            </w:tcBorders>
            <w:vAlign w:val="center"/>
          </w:tcPr>
          <w:p w14:paraId="3B2EC6C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081" w:type="pct"/>
            <w:tcBorders>
              <w:top w:val="single" w:sz="4" w:space="0" w:color="auto"/>
              <w:left w:val="single" w:sz="4" w:space="0" w:color="auto"/>
              <w:bottom w:val="single" w:sz="4" w:space="0" w:color="auto"/>
              <w:right w:val="nil"/>
            </w:tcBorders>
            <w:vAlign w:val="center"/>
          </w:tcPr>
          <w:p w14:paraId="0C8D27A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0.59%</w:t>
            </w:r>
          </w:p>
        </w:tc>
      </w:tr>
      <w:tr w:rsidR="00C02929" w14:paraId="26B44BF0"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5CF6070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大学本科</w:t>
            </w:r>
          </w:p>
        </w:tc>
        <w:tc>
          <w:tcPr>
            <w:tcW w:w="915" w:type="pct"/>
            <w:tcBorders>
              <w:top w:val="single" w:sz="4" w:space="0" w:color="auto"/>
              <w:left w:val="single" w:sz="4" w:space="0" w:color="auto"/>
              <w:bottom w:val="single" w:sz="4" w:space="0" w:color="auto"/>
              <w:right w:val="single" w:sz="4" w:space="0" w:color="auto"/>
            </w:tcBorders>
            <w:vAlign w:val="center"/>
          </w:tcPr>
          <w:p w14:paraId="65789D4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1092" w:type="pct"/>
            <w:tcBorders>
              <w:top w:val="single" w:sz="4" w:space="0" w:color="auto"/>
              <w:left w:val="single" w:sz="4" w:space="0" w:color="auto"/>
              <w:bottom w:val="single" w:sz="4" w:space="0" w:color="auto"/>
              <w:right w:val="single" w:sz="4" w:space="0" w:color="auto"/>
            </w:tcBorders>
            <w:vAlign w:val="center"/>
          </w:tcPr>
          <w:p w14:paraId="5F37027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18.07%</w:t>
            </w:r>
          </w:p>
        </w:tc>
        <w:tc>
          <w:tcPr>
            <w:tcW w:w="1017" w:type="pct"/>
            <w:tcBorders>
              <w:top w:val="single" w:sz="4" w:space="0" w:color="auto"/>
              <w:left w:val="single" w:sz="4" w:space="0" w:color="auto"/>
              <w:bottom w:val="single" w:sz="4" w:space="0" w:color="auto"/>
              <w:right w:val="single" w:sz="4" w:space="0" w:color="auto"/>
            </w:tcBorders>
            <w:vAlign w:val="center"/>
          </w:tcPr>
          <w:p w14:paraId="5C6750B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31</w:t>
            </w:r>
          </w:p>
        </w:tc>
        <w:tc>
          <w:tcPr>
            <w:tcW w:w="1081" w:type="pct"/>
            <w:tcBorders>
              <w:top w:val="single" w:sz="4" w:space="0" w:color="auto"/>
              <w:left w:val="single" w:sz="4" w:space="0" w:color="auto"/>
              <w:bottom w:val="single" w:sz="4" w:space="0" w:color="auto"/>
              <w:right w:val="nil"/>
            </w:tcBorders>
            <w:vAlign w:val="center"/>
          </w:tcPr>
          <w:p w14:paraId="0291995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18.34%</w:t>
            </w:r>
          </w:p>
        </w:tc>
      </w:tr>
      <w:tr w:rsidR="00C02929" w14:paraId="63DE7651"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6DD20BE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大学专科</w:t>
            </w:r>
          </w:p>
        </w:tc>
        <w:tc>
          <w:tcPr>
            <w:tcW w:w="915" w:type="pct"/>
            <w:tcBorders>
              <w:top w:val="single" w:sz="4" w:space="0" w:color="auto"/>
              <w:left w:val="single" w:sz="4" w:space="0" w:color="auto"/>
              <w:bottom w:val="single" w:sz="4" w:space="0" w:color="auto"/>
              <w:right w:val="single" w:sz="4" w:space="0" w:color="auto"/>
            </w:tcBorders>
            <w:vAlign w:val="center"/>
          </w:tcPr>
          <w:p w14:paraId="2E1FAC5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59</w:t>
            </w:r>
          </w:p>
        </w:tc>
        <w:tc>
          <w:tcPr>
            <w:tcW w:w="1092" w:type="pct"/>
            <w:tcBorders>
              <w:top w:val="single" w:sz="4" w:space="0" w:color="auto"/>
              <w:left w:val="single" w:sz="4" w:space="0" w:color="auto"/>
              <w:bottom w:val="single" w:sz="4" w:space="0" w:color="auto"/>
              <w:right w:val="single" w:sz="4" w:space="0" w:color="auto"/>
            </w:tcBorders>
            <w:vAlign w:val="center"/>
          </w:tcPr>
          <w:p w14:paraId="102305D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35.54%</w:t>
            </w:r>
          </w:p>
        </w:tc>
        <w:tc>
          <w:tcPr>
            <w:tcW w:w="1017" w:type="pct"/>
            <w:tcBorders>
              <w:top w:val="single" w:sz="4" w:space="0" w:color="auto"/>
              <w:left w:val="single" w:sz="4" w:space="0" w:color="auto"/>
              <w:bottom w:val="single" w:sz="4" w:space="0" w:color="auto"/>
              <w:right w:val="single" w:sz="4" w:space="0" w:color="auto"/>
            </w:tcBorders>
            <w:vAlign w:val="center"/>
          </w:tcPr>
          <w:p w14:paraId="2AA384C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63</w:t>
            </w:r>
          </w:p>
        </w:tc>
        <w:tc>
          <w:tcPr>
            <w:tcW w:w="1081" w:type="pct"/>
            <w:tcBorders>
              <w:top w:val="single" w:sz="4" w:space="0" w:color="auto"/>
              <w:left w:val="single" w:sz="4" w:space="0" w:color="auto"/>
              <w:bottom w:val="single" w:sz="4" w:space="0" w:color="auto"/>
              <w:right w:val="nil"/>
            </w:tcBorders>
            <w:vAlign w:val="center"/>
          </w:tcPr>
          <w:p w14:paraId="5E28F22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37.28%</w:t>
            </w:r>
          </w:p>
        </w:tc>
      </w:tr>
      <w:tr w:rsidR="00C02929" w14:paraId="1A9656C0" w14:textId="77777777">
        <w:trPr>
          <w:trHeight w:val="397"/>
          <w:jc w:val="center"/>
        </w:trPr>
        <w:tc>
          <w:tcPr>
            <w:tcW w:w="895" w:type="pct"/>
            <w:tcBorders>
              <w:top w:val="single" w:sz="4" w:space="0" w:color="auto"/>
              <w:left w:val="nil"/>
              <w:bottom w:val="single" w:sz="4" w:space="0" w:color="auto"/>
              <w:right w:val="single" w:sz="4" w:space="0" w:color="auto"/>
            </w:tcBorders>
            <w:vAlign w:val="center"/>
          </w:tcPr>
          <w:p w14:paraId="686DEB7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中专及以下</w:t>
            </w:r>
          </w:p>
        </w:tc>
        <w:tc>
          <w:tcPr>
            <w:tcW w:w="915" w:type="pct"/>
            <w:tcBorders>
              <w:top w:val="single" w:sz="4" w:space="0" w:color="auto"/>
              <w:left w:val="single" w:sz="4" w:space="0" w:color="auto"/>
              <w:bottom w:val="single" w:sz="4" w:space="0" w:color="auto"/>
              <w:right w:val="single" w:sz="4" w:space="0" w:color="auto"/>
            </w:tcBorders>
            <w:vAlign w:val="center"/>
          </w:tcPr>
          <w:p w14:paraId="5BEE757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76</w:t>
            </w:r>
          </w:p>
        </w:tc>
        <w:tc>
          <w:tcPr>
            <w:tcW w:w="1092" w:type="pct"/>
            <w:tcBorders>
              <w:top w:val="single" w:sz="4" w:space="0" w:color="auto"/>
              <w:left w:val="single" w:sz="4" w:space="0" w:color="auto"/>
              <w:bottom w:val="single" w:sz="4" w:space="0" w:color="auto"/>
              <w:right w:val="single" w:sz="4" w:space="0" w:color="auto"/>
            </w:tcBorders>
            <w:vAlign w:val="center"/>
          </w:tcPr>
          <w:p w14:paraId="661C41A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45.78%</w:t>
            </w:r>
          </w:p>
        </w:tc>
        <w:tc>
          <w:tcPr>
            <w:tcW w:w="1017" w:type="pct"/>
            <w:tcBorders>
              <w:top w:val="single" w:sz="4" w:space="0" w:color="auto"/>
              <w:left w:val="single" w:sz="4" w:space="0" w:color="auto"/>
              <w:bottom w:val="single" w:sz="4" w:space="0" w:color="auto"/>
              <w:right w:val="single" w:sz="4" w:space="0" w:color="auto"/>
            </w:tcBorders>
            <w:vAlign w:val="center"/>
          </w:tcPr>
          <w:p w14:paraId="650F4FB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74</w:t>
            </w:r>
          </w:p>
        </w:tc>
        <w:tc>
          <w:tcPr>
            <w:tcW w:w="1081" w:type="pct"/>
            <w:tcBorders>
              <w:top w:val="single" w:sz="4" w:space="0" w:color="auto"/>
              <w:left w:val="single" w:sz="4" w:space="0" w:color="auto"/>
              <w:bottom w:val="single" w:sz="4" w:space="0" w:color="auto"/>
              <w:right w:val="nil"/>
            </w:tcBorders>
            <w:vAlign w:val="center"/>
          </w:tcPr>
          <w:p w14:paraId="177264E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43.79%</w:t>
            </w:r>
          </w:p>
        </w:tc>
      </w:tr>
      <w:tr w:rsidR="00C02929" w14:paraId="4927ECB5" w14:textId="77777777">
        <w:trPr>
          <w:trHeight w:val="397"/>
          <w:jc w:val="center"/>
        </w:trPr>
        <w:tc>
          <w:tcPr>
            <w:tcW w:w="895" w:type="pct"/>
            <w:tcBorders>
              <w:top w:val="single" w:sz="4" w:space="0" w:color="auto"/>
              <w:left w:val="nil"/>
              <w:bottom w:val="single" w:sz="12" w:space="0" w:color="auto"/>
              <w:right w:val="single" w:sz="4" w:space="0" w:color="auto"/>
            </w:tcBorders>
            <w:vAlign w:val="center"/>
          </w:tcPr>
          <w:p w14:paraId="148AD34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color w:val="000000"/>
                <w:sz w:val="21"/>
                <w:szCs w:val="21"/>
              </w:rPr>
              <w:t>合计</w:t>
            </w:r>
          </w:p>
        </w:tc>
        <w:tc>
          <w:tcPr>
            <w:tcW w:w="915" w:type="pct"/>
            <w:tcBorders>
              <w:top w:val="single" w:sz="4" w:space="0" w:color="auto"/>
              <w:left w:val="single" w:sz="4" w:space="0" w:color="auto"/>
              <w:bottom w:val="single" w:sz="12" w:space="0" w:color="auto"/>
              <w:right w:val="single" w:sz="4" w:space="0" w:color="auto"/>
            </w:tcBorders>
            <w:vAlign w:val="center"/>
          </w:tcPr>
          <w:p w14:paraId="2CD70D60" w14:textId="77777777" w:rsidR="00C02929" w:rsidRDefault="006116D1">
            <w:pPr>
              <w:jc w:val="right"/>
              <w:rPr>
                <w:rFonts w:ascii="Times New Roman" w:hAnsi="Times New Roman" w:cs="Times New Roman"/>
                <w:b/>
                <w:color w:val="000000"/>
                <w:sz w:val="21"/>
                <w:szCs w:val="21"/>
              </w:rPr>
            </w:pPr>
            <w:r>
              <w:rPr>
                <w:rFonts w:ascii="Times New Roman" w:hAnsi="Times New Roman" w:cs="Times New Roman"/>
                <w:b/>
                <w:color w:val="000000"/>
                <w:sz w:val="21"/>
                <w:szCs w:val="21"/>
              </w:rPr>
              <w:t>166</w:t>
            </w:r>
          </w:p>
        </w:tc>
        <w:tc>
          <w:tcPr>
            <w:tcW w:w="1092" w:type="pct"/>
            <w:tcBorders>
              <w:top w:val="single" w:sz="4" w:space="0" w:color="auto"/>
              <w:left w:val="single" w:sz="4" w:space="0" w:color="auto"/>
              <w:bottom w:val="single" w:sz="12" w:space="0" w:color="auto"/>
              <w:right w:val="single" w:sz="4" w:space="0" w:color="auto"/>
            </w:tcBorders>
            <w:vAlign w:val="center"/>
          </w:tcPr>
          <w:p w14:paraId="5128EE85"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c>
          <w:tcPr>
            <w:tcW w:w="1017" w:type="pct"/>
            <w:tcBorders>
              <w:top w:val="single" w:sz="4" w:space="0" w:color="auto"/>
              <w:left w:val="single" w:sz="4" w:space="0" w:color="auto"/>
              <w:bottom w:val="single" w:sz="12" w:space="0" w:color="auto"/>
              <w:right w:val="single" w:sz="4" w:space="0" w:color="auto"/>
            </w:tcBorders>
            <w:vAlign w:val="center"/>
          </w:tcPr>
          <w:p w14:paraId="2A534B92"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169</w:t>
            </w:r>
          </w:p>
        </w:tc>
        <w:tc>
          <w:tcPr>
            <w:tcW w:w="1081" w:type="pct"/>
            <w:tcBorders>
              <w:top w:val="single" w:sz="4" w:space="0" w:color="auto"/>
              <w:left w:val="single" w:sz="4" w:space="0" w:color="auto"/>
              <w:bottom w:val="single" w:sz="12" w:space="0" w:color="auto"/>
              <w:right w:val="nil"/>
            </w:tcBorders>
            <w:vAlign w:val="center"/>
          </w:tcPr>
          <w:p w14:paraId="5886DF0D"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1BB0C6AE"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3</w:t>
      </w:r>
      <w:r>
        <w:rPr>
          <w:rFonts w:ascii="Times New Roman" w:hAnsi="Times New Roman" w:cs="Times New Roman" w:hint="eastAsia"/>
          <w:bCs/>
          <w:color w:val="000000"/>
          <w:szCs w:val="21"/>
          <w:lang w:val="en-GB"/>
        </w:rPr>
        <w:t>）标的资产技术人员数量和学历情况</w:t>
      </w:r>
    </w:p>
    <w:tbl>
      <w:tblPr>
        <w:tblW w:w="5000" w:type="pct"/>
        <w:tblLook w:val="04A0" w:firstRow="1" w:lastRow="0" w:firstColumn="1" w:lastColumn="0" w:noHBand="0" w:noVBand="1"/>
      </w:tblPr>
      <w:tblGrid>
        <w:gridCol w:w="1476"/>
        <w:gridCol w:w="1686"/>
        <w:gridCol w:w="1674"/>
        <w:gridCol w:w="1004"/>
        <w:gridCol w:w="1678"/>
        <w:gridCol w:w="1004"/>
      </w:tblGrid>
      <w:tr w:rsidR="00C02929" w14:paraId="7AE887EB" w14:textId="77777777">
        <w:trPr>
          <w:trHeight w:val="397"/>
          <w:tblHeader/>
        </w:trPr>
        <w:tc>
          <w:tcPr>
            <w:tcW w:w="1825" w:type="pct"/>
            <w:gridSpan w:val="2"/>
            <w:vMerge w:val="restart"/>
            <w:tcBorders>
              <w:top w:val="single" w:sz="12" w:space="0" w:color="auto"/>
              <w:left w:val="nil"/>
              <w:bottom w:val="single" w:sz="4" w:space="0" w:color="auto"/>
              <w:right w:val="single" w:sz="4" w:space="0" w:color="auto"/>
            </w:tcBorders>
            <w:noWrap/>
            <w:vAlign w:val="center"/>
          </w:tcPr>
          <w:p w14:paraId="67C2BC6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586" w:type="pct"/>
            <w:gridSpan w:val="2"/>
            <w:tcBorders>
              <w:top w:val="single" w:sz="12" w:space="0" w:color="auto"/>
              <w:left w:val="nil"/>
              <w:bottom w:val="single" w:sz="4" w:space="0" w:color="auto"/>
              <w:right w:val="single" w:sz="4" w:space="0" w:color="auto"/>
            </w:tcBorders>
            <w:noWrap/>
            <w:vAlign w:val="center"/>
          </w:tcPr>
          <w:p w14:paraId="34C2A84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w:t>
            </w:r>
          </w:p>
        </w:tc>
        <w:tc>
          <w:tcPr>
            <w:tcW w:w="1589" w:type="pct"/>
            <w:gridSpan w:val="2"/>
            <w:tcBorders>
              <w:top w:val="single" w:sz="12" w:space="0" w:color="auto"/>
              <w:left w:val="nil"/>
              <w:bottom w:val="single" w:sz="4" w:space="0" w:color="auto"/>
              <w:right w:val="nil"/>
            </w:tcBorders>
            <w:noWrap/>
            <w:vAlign w:val="center"/>
          </w:tcPr>
          <w:p w14:paraId="2ABEF5C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sz w:val="21"/>
                <w:szCs w:val="21"/>
              </w:rPr>
              <w:t>截至</w:t>
            </w: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w:t>
            </w:r>
          </w:p>
        </w:tc>
      </w:tr>
      <w:tr w:rsidR="00C02929" w14:paraId="65BA0251" w14:textId="77777777">
        <w:trPr>
          <w:trHeight w:val="397"/>
          <w:tblHeader/>
        </w:trPr>
        <w:tc>
          <w:tcPr>
            <w:tcW w:w="0" w:type="auto"/>
            <w:gridSpan w:val="2"/>
            <w:vMerge/>
            <w:tcBorders>
              <w:top w:val="single" w:sz="12" w:space="0" w:color="auto"/>
              <w:left w:val="nil"/>
              <w:bottom w:val="single" w:sz="4" w:space="0" w:color="auto"/>
              <w:right w:val="single" w:sz="4" w:space="0" w:color="auto"/>
            </w:tcBorders>
            <w:vAlign w:val="center"/>
          </w:tcPr>
          <w:p w14:paraId="45B34964" w14:textId="77777777" w:rsidR="00C02929" w:rsidRDefault="00C02929">
            <w:pPr>
              <w:rPr>
                <w:rFonts w:ascii="Times New Roman" w:hAnsi="Times New Roman" w:cs="Times New Roman"/>
                <w:b/>
                <w:bCs/>
                <w:sz w:val="21"/>
                <w:szCs w:val="21"/>
              </w:rPr>
            </w:pPr>
          </w:p>
        </w:tc>
        <w:tc>
          <w:tcPr>
            <w:tcW w:w="1005" w:type="pct"/>
            <w:tcBorders>
              <w:top w:val="nil"/>
              <w:left w:val="nil"/>
              <w:bottom w:val="single" w:sz="4" w:space="0" w:color="auto"/>
              <w:right w:val="single" w:sz="4" w:space="0" w:color="auto"/>
            </w:tcBorders>
            <w:noWrap/>
            <w:vAlign w:val="center"/>
          </w:tcPr>
          <w:p w14:paraId="0A136776"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人数</w:t>
            </w:r>
          </w:p>
        </w:tc>
        <w:tc>
          <w:tcPr>
            <w:tcW w:w="582" w:type="pct"/>
            <w:tcBorders>
              <w:top w:val="nil"/>
              <w:left w:val="nil"/>
              <w:bottom w:val="single" w:sz="4" w:space="0" w:color="auto"/>
              <w:right w:val="single" w:sz="4" w:space="0" w:color="auto"/>
            </w:tcBorders>
            <w:noWrap/>
            <w:vAlign w:val="center"/>
          </w:tcPr>
          <w:p w14:paraId="2574BD16"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c>
          <w:tcPr>
            <w:tcW w:w="1007" w:type="pct"/>
            <w:tcBorders>
              <w:top w:val="nil"/>
              <w:left w:val="nil"/>
              <w:bottom w:val="single" w:sz="4" w:space="0" w:color="auto"/>
              <w:right w:val="single" w:sz="4" w:space="0" w:color="auto"/>
            </w:tcBorders>
            <w:noWrap/>
            <w:vAlign w:val="center"/>
          </w:tcPr>
          <w:p w14:paraId="0A86B6B5"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人数</w:t>
            </w:r>
          </w:p>
        </w:tc>
        <w:tc>
          <w:tcPr>
            <w:tcW w:w="582" w:type="pct"/>
            <w:tcBorders>
              <w:top w:val="nil"/>
              <w:left w:val="nil"/>
              <w:bottom w:val="single" w:sz="4" w:space="0" w:color="auto"/>
              <w:right w:val="nil"/>
            </w:tcBorders>
            <w:noWrap/>
            <w:vAlign w:val="center"/>
          </w:tcPr>
          <w:p w14:paraId="6D1BFCB1"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占比</w:t>
            </w:r>
          </w:p>
        </w:tc>
      </w:tr>
      <w:tr w:rsidR="00C02929" w14:paraId="2D4459E7" w14:textId="77777777">
        <w:trPr>
          <w:trHeight w:val="397"/>
        </w:trPr>
        <w:tc>
          <w:tcPr>
            <w:tcW w:w="852" w:type="pct"/>
            <w:vMerge w:val="restart"/>
            <w:tcBorders>
              <w:top w:val="nil"/>
              <w:left w:val="nil"/>
              <w:bottom w:val="single" w:sz="4" w:space="0" w:color="auto"/>
              <w:right w:val="single" w:sz="4" w:space="0" w:color="auto"/>
            </w:tcBorders>
            <w:noWrap/>
            <w:vAlign w:val="center"/>
          </w:tcPr>
          <w:p w14:paraId="2BF7CC8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业务部</w:t>
            </w:r>
          </w:p>
        </w:tc>
        <w:tc>
          <w:tcPr>
            <w:tcW w:w="973" w:type="pct"/>
            <w:tcBorders>
              <w:top w:val="nil"/>
              <w:left w:val="nil"/>
              <w:bottom w:val="single" w:sz="4" w:space="0" w:color="auto"/>
              <w:right w:val="single" w:sz="4" w:space="0" w:color="auto"/>
            </w:tcBorders>
            <w:noWrap/>
            <w:vAlign w:val="center"/>
          </w:tcPr>
          <w:p w14:paraId="5C6ED8A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237A1E3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w:t>
            </w:r>
          </w:p>
        </w:tc>
        <w:tc>
          <w:tcPr>
            <w:tcW w:w="582" w:type="pct"/>
            <w:tcBorders>
              <w:top w:val="nil"/>
              <w:left w:val="nil"/>
              <w:bottom w:val="single" w:sz="4" w:space="0" w:color="auto"/>
              <w:right w:val="single" w:sz="4" w:space="0" w:color="auto"/>
            </w:tcBorders>
            <w:noWrap/>
            <w:vAlign w:val="center"/>
          </w:tcPr>
          <w:p w14:paraId="1EE5E984"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4.55%</w:t>
            </w:r>
          </w:p>
        </w:tc>
        <w:tc>
          <w:tcPr>
            <w:tcW w:w="1007" w:type="pct"/>
            <w:tcBorders>
              <w:top w:val="nil"/>
              <w:left w:val="nil"/>
              <w:bottom w:val="single" w:sz="4" w:space="0" w:color="auto"/>
              <w:right w:val="single" w:sz="4" w:space="0" w:color="auto"/>
            </w:tcBorders>
            <w:noWrap/>
            <w:vAlign w:val="center"/>
          </w:tcPr>
          <w:p w14:paraId="753C3601"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21F0C864"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r>
      <w:tr w:rsidR="00C02929" w14:paraId="4482C452" w14:textId="77777777">
        <w:trPr>
          <w:trHeight w:val="397"/>
        </w:trPr>
        <w:tc>
          <w:tcPr>
            <w:tcW w:w="0" w:type="auto"/>
            <w:vMerge/>
            <w:tcBorders>
              <w:top w:val="nil"/>
              <w:left w:val="nil"/>
              <w:bottom w:val="single" w:sz="4" w:space="0" w:color="auto"/>
              <w:right w:val="single" w:sz="4" w:space="0" w:color="auto"/>
            </w:tcBorders>
            <w:vAlign w:val="center"/>
          </w:tcPr>
          <w:p w14:paraId="3239C7E3" w14:textId="77777777" w:rsidR="00C02929" w:rsidRDefault="00C02929">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6DB6288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003EA84E"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7ECB6E35"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5D4FD819"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5B220E13"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r>
      <w:tr w:rsidR="00C02929" w14:paraId="55034C66" w14:textId="77777777">
        <w:trPr>
          <w:trHeight w:val="397"/>
        </w:trPr>
        <w:tc>
          <w:tcPr>
            <w:tcW w:w="852" w:type="pct"/>
            <w:vMerge w:val="restart"/>
            <w:tcBorders>
              <w:top w:val="nil"/>
              <w:left w:val="nil"/>
              <w:bottom w:val="single" w:sz="4" w:space="0" w:color="auto"/>
              <w:right w:val="single" w:sz="4" w:space="0" w:color="auto"/>
            </w:tcBorders>
            <w:noWrap/>
            <w:vAlign w:val="center"/>
          </w:tcPr>
          <w:p w14:paraId="67B25A5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悬挂链事业部</w:t>
            </w:r>
          </w:p>
        </w:tc>
        <w:tc>
          <w:tcPr>
            <w:tcW w:w="973" w:type="pct"/>
            <w:tcBorders>
              <w:top w:val="nil"/>
              <w:left w:val="nil"/>
              <w:bottom w:val="single" w:sz="4" w:space="0" w:color="auto"/>
              <w:right w:val="single" w:sz="4" w:space="0" w:color="auto"/>
            </w:tcBorders>
            <w:noWrap/>
            <w:vAlign w:val="center"/>
          </w:tcPr>
          <w:p w14:paraId="4040088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73931B5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w:t>
            </w:r>
          </w:p>
        </w:tc>
        <w:tc>
          <w:tcPr>
            <w:tcW w:w="582" w:type="pct"/>
            <w:tcBorders>
              <w:top w:val="nil"/>
              <w:left w:val="nil"/>
              <w:bottom w:val="single" w:sz="4" w:space="0" w:color="auto"/>
              <w:right w:val="single" w:sz="4" w:space="0" w:color="auto"/>
            </w:tcBorders>
            <w:noWrap/>
            <w:vAlign w:val="center"/>
          </w:tcPr>
          <w:p w14:paraId="6D8D010B"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6.82%</w:t>
            </w:r>
          </w:p>
        </w:tc>
        <w:tc>
          <w:tcPr>
            <w:tcW w:w="1007" w:type="pct"/>
            <w:tcBorders>
              <w:top w:val="nil"/>
              <w:left w:val="nil"/>
              <w:bottom w:val="single" w:sz="4" w:space="0" w:color="auto"/>
              <w:right w:val="single" w:sz="4" w:space="0" w:color="auto"/>
            </w:tcBorders>
            <w:noWrap/>
            <w:vAlign w:val="center"/>
          </w:tcPr>
          <w:p w14:paraId="556DE96C"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74A0B9C2"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C02929" w14:paraId="642751A9" w14:textId="77777777">
        <w:trPr>
          <w:trHeight w:val="397"/>
        </w:trPr>
        <w:tc>
          <w:tcPr>
            <w:tcW w:w="0" w:type="auto"/>
            <w:vMerge/>
            <w:tcBorders>
              <w:top w:val="nil"/>
              <w:left w:val="nil"/>
              <w:bottom w:val="single" w:sz="4" w:space="0" w:color="auto"/>
              <w:right w:val="single" w:sz="4" w:space="0" w:color="auto"/>
            </w:tcBorders>
            <w:vAlign w:val="center"/>
          </w:tcPr>
          <w:p w14:paraId="7A96C7E2" w14:textId="77777777" w:rsidR="00C02929" w:rsidRDefault="00C02929">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057F195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77FC22B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w:t>
            </w:r>
          </w:p>
        </w:tc>
        <w:tc>
          <w:tcPr>
            <w:tcW w:w="582" w:type="pct"/>
            <w:tcBorders>
              <w:top w:val="nil"/>
              <w:left w:val="nil"/>
              <w:bottom w:val="single" w:sz="4" w:space="0" w:color="auto"/>
              <w:right w:val="single" w:sz="4" w:space="0" w:color="auto"/>
            </w:tcBorders>
            <w:noWrap/>
            <w:vAlign w:val="center"/>
          </w:tcPr>
          <w:p w14:paraId="1ECC3626"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2.27%</w:t>
            </w:r>
          </w:p>
        </w:tc>
        <w:tc>
          <w:tcPr>
            <w:tcW w:w="1007" w:type="pct"/>
            <w:tcBorders>
              <w:top w:val="nil"/>
              <w:left w:val="nil"/>
              <w:bottom w:val="single" w:sz="4" w:space="0" w:color="auto"/>
              <w:right w:val="single" w:sz="4" w:space="0" w:color="auto"/>
            </w:tcBorders>
            <w:noWrap/>
            <w:vAlign w:val="center"/>
          </w:tcPr>
          <w:p w14:paraId="1B4612DE"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6A4E97ED"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C02929" w14:paraId="55EED1B7" w14:textId="77777777">
        <w:trPr>
          <w:trHeight w:val="397"/>
        </w:trPr>
        <w:tc>
          <w:tcPr>
            <w:tcW w:w="852" w:type="pct"/>
            <w:vMerge w:val="restart"/>
            <w:tcBorders>
              <w:top w:val="nil"/>
              <w:left w:val="nil"/>
              <w:bottom w:val="single" w:sz="4" w:space="0" w:color="auto"/>
              <w:right w:val="single" w:sz="4" w:space="0" w:color="auto"/>
            </w:tcBorders>
            <w:noWrap/>
            <w:vAlign w:val="center"/>
          </w:tcPr>
          <w:p w14:paraId="5374B62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技术部</w:t>
            </w:r>
          </w:p>
        </w:tc>
        <w:tc>
          <w:tcPr>
            <w:tcW w:w="973" w:type="pct"/>
            <w:tcBorders>
              <w:top w:val="nil"/>
              <w:left w:val="nil"/>
              <w:bottom w:val="single" w:sz="4" w:space="0" w:color="auto"/>
              <w:right w:val="single" w:sz="4" w:space="0" w:color="auto"/>
            </w:tcBorders>
            <w:noWrap/>
            <w:vAlign w:val="center"/>
          </w:tcPr>
          <w:p w14:paraId="3F7DF13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5D9C3B3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21</w:t>
            </w:r>
          </w:p>
        </w:tc>
        <w:tc>
          <w:tcPr>
            <w:tcW w:w="582" w:type="pct"/>
            <w:tcBorders>
              <w:top w:val="nil"/>
              <w:left w:val="nil"/>
              <w:bottom w:val="single" w:sz="4" w:space="0" w:color="auto"/>
              <w:right w:val="single" w:sz="4" w:space="0" w:color="auto"/>
            </w:tcBorders>
            <w:noWrap/>
            <w:vAlign w:val="center"/>
          </w:tcPr>
          <w:p w14:paraId="4D97FA67"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47.73%</w:t>
            </w:r>
          </w:p>
        </w:tc>
        <w:tc>
          <w:tcPr>
            <w:tcW w:w="1007" w:type="pct"/>
            <w:tcBorders>
              <w:top w:val="nil"/>
              <w:left w:val="nil"/>
              <w:bottom w:val="single" w:sz="4" w:space="0" w:color="auto"/>
              <w:right w:val="single" w:sz="4" w:space="0" w:color="auto"/>
            </w:tcBorders>
            <w:noWrap/>
            <w:vAlign w:val="center"/>
          </w:tcPr>
          <w:p w14:paraId="5A6E2A51"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24</w:t>
            </w:r>
          </w:p>
        </w:tc>
        <w:tc>
          <w:tcPr>
            <w:tcW w:w="582" w:type="pct"/>
            <w:tcBorders>
              <w:top w:val="nil"/>
              <w:left w:val="nil"/>
              <w:bottom w:val="single" w:sz="4" w:space="0" w:color="auto"/>
              <w:right w:val="nil"/>
            </w:tcBorders>
            <w:noWrap/>
            <w:vAlign w:val="center"/>
          </w:tcPr>
          <w:p w14:paraId="4F5A4AA7"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60.00%</w:t>
            </w:r>
          </w:p>
        </w:tc>
      </w:tr>
      <w:tr w:rsidR="00C02929" w14:paraId="2CFA5F76" w14:textId="77777777">
        <w:trPr>
          <w:trHeight w:val="397"/>
        </w:trPr>
        <w:tc>
          <w:tcPr>
            <w:tcW w:w="0" w:type="auto"/>
            <w:vMerge/>
            <w:tcBorders>
              <w:top w:val="nil"/>
              <w:left w:val="nil"/>
              <w:bottom w:val="single" w:sz="4" w:space="0" w:color="auto"/>
              <w:right w:val="single" w:sz="4" w:space="0" w:color="auto"/>
            </w:tcBorders>
            <w:vAlign w:val="center"/>
          </w:tcPr>
          <w:p w14:paraId="45F04CA5" w14:textId="77777777" w:rsidR="00C02929" w:rsidRDefault="00C02929">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2EB936C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1276314E"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w:t>
            </w:r>
          </w:p>
        </w:tc>
        <w:tc>
          <w:tcPr>
            <w:tcW w:w="582" w:type="pct"/>
            <w:tcBorders>
              <w:top w:val="nil"/>
              <w:left w:val="nil"/>
              <w:bottom w:val="single" w:sz="4" w:space="0" w:color="auto"/>
              <w:right w:val="single" w:sz="4" w:space="0" w:color="auto"/>
            </w:tcBorders>
            <w:noWrap/>
            <w:vAlign w:val="center"/>
          </w:tcPr>
          <w:p w14:paraId="5B4E30BC"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9.09%</w:t>
            </w:r>
          </w:p>
        </w:tc>
        <w:tc>
          <w:tcPr>
            <w:tcW w:w="1007" w:type="pct"/>
            <w:tcBorders>
              <w:top w:val="nil"/>
              <w:left w:val="nil"/>
              <w:bottom w:val="single" w:sz="4" w:space="0" w:color="auto"/>
              <w:right w:val="single" w:sz="4" w:space="0" w:color="auto"/>
            </w:tcBorders>
            <w:noWrap/>
            <w:vAlign w:val="center"/>
          </w:tcPr>
          <w:p w14:paraId="61B08D5D"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4</w:t>
            </w:r>
          </w:p>
        </w:tc>
        <w:tc>
          <w:tcPr>
            <w:tcW w:w="582" w:type="pct"/>
            <w:tcBorders>
              <w:top w:val="nil"/>
              <w:left w:val="nil"/>
              <w:bottom w:val="single" w:sz="4" w:space="0" w:color="auto"/>
              <w:right w:val="nil"/>
            </w:tcBorders>
            <w:noWrap/>
            <w:vAlign w:val="center"/>
          </w:tcPr>
          <w:p w14:paraId="4D2C064C"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10.00%</w:t>
            </w:r>
          </w:p>
        </w:tc>
      </w:tr>
      <w:tr w:rsidR="00C02929" w14:paraId="0C576725" w14:textId="77777777">
        <w:trPr>
          <w:trHeight w:val="397"/>
        </w:trPr>
        <w:tc>
          <w:tcPr>
            <w:tcW w:w="852" w:type="pct"/>
            <w:vMerge w:val="restart"/>
            <w:tcBorders>
              <w:top w:val="nil"/>
              <w:left w:val="nil"/>
              <w:bottom w:val="single" w:sz="4" w:space="0" w:color="auto"/>
              <w:right w:val="single" w:sz="4" w:space="0" w:color="auto"/>
            </w:tcBorders>
            <w:vAlign w:val="center"/>
          </w:tcPr>
          <w:p w14:paraId="1C2D012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采购部</w:t>
            </w:r>
          </w:p>
        </w:tc>
        <w:tc>
          <w:tcPr>
            <w:tcW w:w="973" w:type="pct"/>
            <w:tcBorders>
              <w:top w:val="nil"/>
              <w:left w:val="nil"/>
              <w:bottom w:val="single" w:sz="4" w:space="0" w:color="auto"/>
              <w:right w:val="single" w:sz="4" w:space="0" w:color="auto"/>
            </w:tcBorders>
            <w:noWrap/>
            <w:vAlign w:val="center"/>
          </w:tcPr>
          <w:p w14:paraId="0591A2A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3F1A0C6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655AB18B"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635A1170"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1</w:t>
            </w:r>
          </w:p>
        </w:tc>
        <w:tc>
          <w:tcPr>
            <w:tcW w:w="582" w:type="pct"/>
            <w:tcBorders>
              <w:top w:val="nil"/>
              <w:left w:val="nil"/>
              <w:bottom w:val="single" w:sz="4" w:space="0" w:color="auto"/>
              <w:right w:val="nil"/>
            </w:tcBorders>
            <w:noWrap/>
            <w:vAlign w:val="center"/>
          </w:tcPr>
          <w:p w14:paraId="115BDDC4"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2.50%</w:t>
            </w:r>
          </w:p>
        </w:tc>
      </w:tr>
      <w:tr w:rsidR="00C02929" w14:paraId="63C69DC8" w14:textId="77777777">
        <w:trPr>
          <w:trHeight w:val="397"/>
        </w:trPr>
        <w:tc>
          <w:tcPr>
            <w:tcW w:w="0" w:type="auto"/>
            <w:vMerge/>
            <w:tcBorders>
              <w:top w:val="nil"/>
              <w:left w:val="nil"/>
              <w:bottom w:val="single" w:sz="4" w:space="0" w:color="auto"/>
              <w:right w:val="single" w:sz="4" w:space="0" w:color="auto"/>
            </w:tcBorders>
            <w:vAlign w:val="center"/>
          </w:tcPr>
          <w:p w14:paraId="101CC019" w14:textId="77777777" w:rsidR="00C02929" w:rsidRDefault="00C02929">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3A0247C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0487E50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6C69E135"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34F199C7"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33A533F2"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C02929" w14:paraId="5E2DBE97" w14:textId="77777777">
        <w:trPr>
          <w:trHeight w:val="397"/>
        </w:trPr>
        <w:tc>
          <w:tcPr>
            <w:tcW w:w="852" w:type="pct"/>
            <w:vMerge w:val="restart"/>
            <w:tcBorders>
              <w:top w:val="nil"/>
              <w:left w:val="nil"/>
              <w:bottom w:val="single" w:sz="4" w:space="0" w:color="auto"/>
              <w:right w:val="single" w:sz="4" w:space="0" w:color="auto"/>
            </w:tcBorders>
            <w:noWrap/>
            <w:vAlign w:val="center"/>
          </w:tcPr>
          <w:p w14:paraId="559FFDD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软件开发部</w:t>
            </w:r>
          </w:p>
        </w:tc>
        <w:tc>
          <w:tcPr>
            <w:tcW w:w="973" w:type="pct"/>
            <w:tcBorders>
              <w:top w:val="nil"/>
              <w:left w:val="nil"/>
              <w:bottom w:val="single" w:sz="4" w:space="0" w:color="auto"/>
              <w:right w:val="single" w:sz="4" w:space="0" w:color="auto"/>
            </w:tcBorders>
            <w:noWrap/>
            <w:vAlign w:val="center"/>
          </w:tcPr>
          <w:p w14:paraId="75D8ED9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1E1F188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w:t>
            </w:r>
          </w:p>
        </w:tc>
        <w:tc>
          <w:tcPr>
            <w:tcW w:w="582" w:type="pct"/>
            <w:tcBorders>
              <w:top w:val="nil"/>
              <w:left w:val="nil"/>
              <w:bottom w:val="single" w:sz="4" w:space="0" w:color="auto"/>
              <w:right w:val="single" w:sz="4" w:space="0" w:color="auto"/>
            </w:tcBorders>
            <w:noWrap/>
            <w:vAlign w:val="center"/>
          </w:tcPr>
          <w:p w14:paraId="29FC3A06"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13.64%</w:t>
            </w:r>
          </w:p>
        </w:tc>
        <w:tc>
          <w:tcPr>
            <w:tcW w:w="1007" w:type="pct"/>
            <w:tcBorders>
              <w:top w:val="nil"/>
              <w:left w:val="nil"/>
              <w:bottom w:val="single" w:sz="4" w:space="0" w:color="auto"/>
              <w:right w:val="single" w:sz="4" w:space="0" w:color="auto"/>
            </w:tcBorders>
            <w:noWrap/>
            <w:vAlign w:val="center"/>
          </w:tcPr>
          <w:p w14:paraId="4C4AC940"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6</w:t>
            </w:r>
          </w:p>
        </w:tc>
        <w:tc>
          <w:tcPr>
            <w:tcW w:w="582" w:type="pct"/>
            <w:tcBorders>
              <w:top w:val="nil"/>
              <w:left w:val="nil"/>
              <w:bottom w:val="single" w:sz="4" w:space="0" w:color="auto"/>
              <w:right w:val="nil"/>
            </w:tcBorders>
            <w:noWrap/>
            <w:vAlign w:val="center"/>
          </w:tcPr>
          <w:p w14:paraId="6C178A9E"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15.00%</w:t>
            </w:r>
          </w:p>
        </w:tc>
      </w:tr>
      <w:tr w:rsidR="00C02929" w14:paraId="1EDC657F" w14:textId="77777777">
        <w:trPr>
          <w:trHeight w:val="397"/>
        </w:trPr>
        <w:tc>
          <w:tcPr>
            <w:tcW w:w="0" w:type="auto"/>
            <w:vMerge/>
            <w:tcBorders>
              <w:top w:val="nil"/>
              <w:left w:val="nil"/>
              <w:bottom w:val="single" w:sz="4" w:space="0" w:color="auto"/>
              <w:right w:val="single" w:sz="4" w:space="0" w:color="auto"/>
            </w:tcBorders>
            <w:vAlign w:val="center"/>
          </w:tcPr>
          <w:p w14:paraId="1BF595FA" w14:textId="77777777" w:rsidR="00C02929" w:rsidRDefault="00C02929">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3787599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5E857B9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nil"/>
              <w:left w:val="nil"/>
              <w:bottom w:val="single" w:sz="4" w:space="0" w:color="auto"/>
              <w:right w:val="single" w:sz="4" w:space="0" w:color="auto"/>
            </w:tcBorders>
            <w:noWrap/>
            <w:vAlign w:val="center"/>
          </w:tcPr>
          <w:p w14:paraId="41E2C8AA"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w:t>
            </w:r>
          </w:p>
        </w:tc>
        <w:tc>
          <w:tcPr>
            <w:tcW w:w="1007" w:type="pct"/>
            <w:tcBorders>
              <w:top w:val="nil"/>
              <w:left w:val="nil"/>
              <w:bottom w:val="single" w:sz="4" w:space="0" w:color="auto"/>
              <w:right w:val="single" w:sz="4" w:space="0" w:color="auto"/>
            </w:tcBorders>
            <w:noWrap/>
            <w:vAlign w:val="center"/>
          </w:tcPr>
          <w:p w14:paraId="3438EAD0"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c>
          <w:tcPr>
            <w:tcW w:w="582" w:type="pct"/>
            <w:tcBorders>
              <w:top w:val="nil"/>
              <w:left w:val="nil"/>
              <w:bottom w:val="single" w:sz="4" w:space="0" w:color="auto"/>
              <w:right w:val="nil"/>
            </w:tcBorders>
            <w:noWrap/>
            <w:vAlign w:val="center"/>
          </w:tcPr>
          <w:p w14:paraId="06950B3A"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w:t>
            </w:r>
          </w:p>
        </w:tc>
      </w:tr>
      <w:tr w:rsidR="00C02929" w14:paraId="3CECD34D" w14:textId="77777777">
        <w:trPr>
          <w:trHeight w:val="397"/>
        </w:trPr>
        <w:tc>
          <w:tcPr>
            <w:tcW w:w="852" w:type="pct"/>
            <w:vMerge w:val="restart"/>
            <w:tcBorders>
              <w:top w:val="nil"/>
              <w:left w:val="nil"/>
              <w:bottom w:val="single" w:sz="4" w:space="0" w:color="auto"/>
              <w:right w:val="single" w:sz="4" w:space="0" w:color="auto"/>
            </w:tcBorders>
            <w:noWrap/>
            <w:vAlign w:val="center"/>
          </w:tcPr>
          <w:p w14:paraId="082E802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生产部</w:t>
            </w:r>
          </w:p>
        </w:tc>
        <w:tc>
          <w:tcPr>
            <w:tcW w:w="973" w:type="pct"/>
            <w:tcBorders>
              <w:top w:val="nil"/>
              <w:left w:val="nil"/>
              <w:bottom w:val="single" w:sz="4" w:space="0" w:color="auto"/>
              <w:right w:val="single" w:sz="4" w:space="0" w:color="auto"/>
            </w:tcBorders>
            <w:noWrap/>
            <w:vAlign w:val="center"/>
          </w:tcPr>
          <w:p w14:paraId="7AF7D2F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大学专科及以上</w:t>
            </w:r>
          </w:p>
        </w:tc>
        <w:tc>
          <w:tcPr>
            <w:tcW w:w="1005" w:type="pct"/>
            <w:tcBorders>
              <w:top w:val="nil"/>
              <w:left w:val="nil"/>
              <w:bottom w:val="single" w:sz="4" w:space="0" w:color="auto"/>
              <w:right w:val="single" w:sz="4" w:space="0" w:color="auto"/>
            </w:tcBorders>
            <w:noWrap/>
            <w:vAlign w:val="center"/>
          </w:tcPr>
          <w:p w14:paraId="1064B29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w:t>
            </w:r>
          </w:p>
        </w:tc>
        <w:tc>
          <w:tcPr>
            <w:tcW w:w="582" w:type="pct"/>
            <w:tcBorders>
              <w:top w:val="nil"/>
              <w:left w:val="nil"/>
              <w:bottom w:val="single" w:sz="4" w:space="0" w:color="auto"/>
              <w:right w:val="single" w:sz="4" w:space="0" w:color="auto"/>
            </w:tcBorders>
            <w:noWrap/>
            <w:vAlign w:val="center"/>
          </w:tcPr>
          <w:p w14:paraId="0224C7BE"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6.82%</w:t>
            </w:r>
          </w:p>
        </w:tc>
        <w:tc>
          <w:tcPr>
            <w:tcW w:w="1007" w:type="pct"/>
            <w:tcBorders>
              <w:top w:val="nil"/>
              <w:left w:val="nil"/>
              <w:bottom w:val="single" w:sz="4" w:space="0" w:color="auto"/>
              <w:right w:val="single" w:sz="4" w:space="0" w:color="auto"/>
            </w:tcBorders>
            <w:noWrap/>
            <w:vAlign w:val="center"/>
          </w:tcPr>
          <w:p w14:paraId="580F78EC"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2</w:t>
            </w:r>
          </w:p>
        </w:tc>
        <w:tc>
          <w:tcPr>
            <w:tcW w:w="582" w:type="pct"/>
            <w:tcBorders>
              <w:top w:val="nil"/>
              <w:left w:val="nil"/>
              <w:bottom w:val="single" w:sz="4" w:space="0" w:color="auto"/>
              <w:right w:val="nil"/>
            </w:tcBorders>
            <w:noWrap/>
            <w:vAlign w:val="center"/>
          </w:tcPr>
          <w:p w14:paraId="649ED8B7"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5.00%</w:t>
            </w:r>
          </w:p>
        </w:tc>
      </w:tr>
      <w:tr w:rsidR="00C02929" w14:paraId="4C3C4637" w14:textId="77777777">
        <w:trPr>
          <w:trHeight w:val="397"/>
        </w:trPr>
        <w:tc>
          <w:tcPr>
            <w:tcW w:w="0" w:type="auto"/>
            <w:vMerge/>
            <w:tcBorders>
              <w:top w:val="nil"/>
              <w:left w:val="nil"/>
              <w:bottom w:val="single" w:sz="4" w:space="0" w:color="auto"/>
              <w:right w:val="single" w:sz="4" w:space="0" w:color="auto"/>
            </w:tcBorders>
            <w:vAlign w:val="center"/>
          </w:tcPr>
          <w:p w14:paraId="6472FD3F" w14:textId="77777777" w:rsidR="00C02929" w:rsidRDefault="00C02929">
            <w:pPr>
              <w:rPr>
                <w:rFonts w:ascii="Times New Roman" w:hAnsi="Times New Roman" w:cs="Times New Roman"/>
                <w:sz w:val="21"/>
                <w:szCs w:val="21"/>
              </w:rPr>
            </w:pPr>
          </w:p>
        </w:tc>
        <w:tc>
          <w:tcPr>
            <w:tcW w:w="973" w:type="pct"/>
            <w:tcBorders>
              <w:top w:val="nil"/>
              <w:left w:val="nil"/>
              <w:bottom w:val="single" w:sz="4" w:space="0" w:color="auto"/>
              <w:right w:val="single" w:sz="4" w:space="0" w:color="auto"/>
            </w:tcBorders>
            <w:noWrap/>
            <w:vAlign w:val="center"/>
          </w:tcPr>
          <w:p w14:paraId="2A6A56A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其他</w:t>
            </w:r>
          </w:p>
        </w:tc>
        <w:tc>
          <w:tcPr>
            <w:tcW w:w="1005" w:type="pct"/>
            <w:tcBorders>
              <w:top w:val="nil"/>
              <w:left w:val="nil"/>
              <w:bottom w:val="single" w:sz="4" w:space="0" w:color="auto"/>
              <w:right w:val="single" w:sz="4" w:space="0" w:color="auto"/>
            </w:tcBorders>
            <w:noWrap/>
            <w:vAlign w:val="center"/>
          </w:tcPr>
          <w:p w14:paraId="4C8ABBF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w:t>
            </w:r>
          </w:p>
        </w:tc>
        <w:tc>
          <w:tcPr>
            <w:tcW w:w="582" w:type="pct"/>
            <w:tcBorders>
              <w:top w:val="nil"/>
              <w:left w:val="nil"/>
              <w:bottom w:val="single" w:sz="4" w:space="0" w:color="auto"/>
              <w:right w:val="single" w:sz="4" w:space="0" w:color="auto"/>
            </w:tcBorders>
            <w:noWrap/>
            <w:vAlign w:val="center"/>
          </w:tcPr>
          <w:p w14:paraId="015A3CF7"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9.09%</w:t>
            </w:r>
          </w:p>
        </w:tc>
        <w:tc>
          <w:tcPr>
            <w:tcW w:w="1007" w:type="pct"/>
            <w:tcBorders>
              <w:top w:val="nil"/>
              <w:left w:val="nil"/>
              <w:bottom w:val="single" w:sz="4" w:space="0" w:color="auto"/>
              <w:right w:val="single" w:sz="4" w:space="0" w:color="auto"/>
            </w:tcBorders>
            <w:noWrap/>
            <w:vAlign w:val="center"/>
          </w:tcPr>
          <w:p w14:paraId="7DE18CB8"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3</w:t>
            </w:r>
          </w:p>
        </w:tc>
        <w:tc>
          <w:tcPr>
            <w:tcW w:w="582" w:type="pct"/>
            <w:tcBorders>
              <w:top w:val="nil"/>
              <w:left w:val="nil"/>
              <w:bottom w:val="single" w:sz="4" w:space="0" w:color="auto"/>
              <w:right w:val="nil"/>
            </w:tcBorders>
            <w:noWrap/>
            <w:vAlign w:val="center"/>
          </w:tcPr>
          <w:p w14:paraId="50E06980" w14:textId="77777777" w:rsidR="00C02929" w:rsidRDefault="006116D1">
            <w:pPr>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7.50%</w:t>
            </w:r>
          </w:p>
        </w:tc>
      </w:tr>
      <w:tr w:rsidR="00C02929" w14:paraId="03A65907" w14:textId="77777777">
        <w:trPr>
          <w:trHeight w:val="397"/>
        </w:trPr>
        <w:tc>
          <w:tcPr>
            <w:tcW w:w="1825" w:type="pct"/>
            <w:gridSpan w:val="2"/>
            <w:tcBorders>
              <w:top w:val="single" w:sz="4" w:space="0" w:color="auto"/>
              <w:left w:val="nil"/>
              <w:bottom w:val="single" w:sz="12" w:space="0" w:color="auto"/>
              <w:right w:val="single" w:sz="4" w:space="0" w:color="000000"/>
            </w:tcBorders>
            <w:noWrap/>
            <w:vAlign w:val="center"/>
          </w:tcPr>
          <w:p w14:paraId="3F5E895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1005" w:type="pct"/>
            <w:tcBorders>
              <w:top w:val="nil"/>
              <w:left w:val="nil"/>
              <w:bottom w:val="single" w:sz="12" w:space="0" w:color="auto"/>
              <w:right w:val="single" w:sz="4" w:space="0" w:color="auto"/>
            </w:tcBorders>
            <w:noWrap/>
            <w:vAlign w:val="center"/>
          </w:tcPr>
          <w:p w14:paraId="28C7B4E2"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44</w:t>
            </w:r>
          </w:p>
        </w:tc>
        <w:tc>
          <w:tcPr>
            <w:tcW w:w="582" w:type="pct"/>
            <w:tcBorders>
              <w:top w:val="nil"/>
              <w:left w:val="nil"/>
              <w:bottom w:val="single" w:sz="12" w:space="0" w:color="auto"/>
              <w:right w:val="single" w:sz="4" w:space="0" w:color="auto"/>
            </w:tcBorders>
            <w:noWrap/>
            <w:vAlign w:val="center"/>
          </w:tcPr>
          <w:p w14:paraId="1073199F" w14:textId="77777777" w:rsidR="00C02929" w:rsidRDefault="006116D1">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100.00%</w:t>
            </w:r>
          </w:p>
        </w:tc>
        <w:tc>
          <w:tcPr>
            <w:tcW w:w="1007" w:type="pct"/>
            <w:tcBorders>
              <w:top w:val="nil"/>
              <w:left w:val="nil"/>
              <w:bottom w:val="single" w:sz="12" w:space="0" w:color="auto"/>
              <w:right w:val="single" w:sz="4" w:space="0" w:color="auto"/>
            </w:tcBorders>
            <w:noWrap/>
            <w:vAlign w:val="center"/>
          </w:tcPr>
          <w:p w14:paraId="2AAAA23C" w14:textId="77777777" w:rsidR="00C02929" w:rsidRDefault="006116D1">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40</w:t>
            </w:r>
          </w:p>
        </w:tc>
        <w:tc>
          <w:tcPr>
            <w:tcW w:w="582" w:type="pct"/>
            <w:tcBorders>
              <w:top w:val="nil"/>
              <w:left w:val="nil"/>
              <w:bottom w:val="single" w:sz="12" w:space="0" w:color="auto"/>
              <w:right w:val="nil"/>
            </w:tcBorders>
            <w:noWrap/>
            <w:vAlign w:val="center"/>
          </w:tcPr>
          <w:p w14:paraId="6F1E977C" w14:textId="77777777" w:rsidR="00C02929" w:rsidRDefault="006116D1">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100.00%</w:t>
            </w:r>
          </w:p>
        </w:tc>
      </w:tr>
    </w:tbl>
    <w:p w14:paraId="1FB20117" w14:textId="77777777" w:rsidR="00C02929" w:rsidRDefault="006116D1">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color w:val="000000"/>
          <w:szCs w:val="21"/>
        </w:rPr>
        <w:t>2020</w:t>
      </w:r>
      <w:r>
        <w:rPr>
          <w:rFonts w:ascii="Times New Roman" w:hAnsi="Times New Roman" w:cs="Times New Roman" w:hint="eastAsia"/>
          <w:color w:val="000000"/>
          <w:szCs w:val="21"/>
        </w:rPr>
        <w:t>年</w:t>
      </w:r>
      <w:r>
        <w:rPr>
          <w:rFonts w:ascii="Times New Roman" w:hAnsi="Times New Roman" w:cs="Times New Roman" w:hint="eastAsia"/>
          <w:color w:val="000000"/>
          <w:szCs w:val="21"/>
        </w:rPr>
        <w:t>9</w:t>
      </w:r>
      <w:r>
        <w:rPr>
          <w:rFonts w:ascii="Times New Roman" w:hAnsi="Times New Roman" w:cs="Times New Roman" w:hint="eastAsia"/>
          <w:color w:val="000000"/>
          <w:szCs w:val="21"/>
        </w:rPr>
        <w:t>月</w:t>
      </w:r>
      <w:r>
        <w:rPr>
          <w:rFonts w:ascii="Times New Roman" w:hAnsi="Times New Roman" w:cs="Times New Roman" w:hint="eastAsia"/>
          <w:color w:val="000000"/>
          <w:szCs w:val="21"/>
        </w:rPr>
        <w:t>30</w:t>
      </w:r>
      <w:r>
        <w:rPr>
          <w:rFonts w:ascii="Times New Roman" w:hAnsi="Times New Roman" w:cs="Times New Roman" w:hint="eastAsia"/>
          <w:color w:val="000000"/>
          <w:szCs w:val="21"/>
        </w:rPr>
        <w:t>日及</w:t>
      </w:r>
      <w:r>
        <w:rPr>
          <w:rFonts w:ascii="Times New Roman" w:hAnsi="Times New Roman" w:cs="Times New Roman" w:hint="eastAsia"/>
          <w:color w:val="000000"/>
          <w:szCs w:val="21"/>
        </w:rPr>
        <w:t>2020</w:t>
      </w:r>
      <w:r>
        <w:rPr>
          <w:rFonts w:ascii="Times New Roman" w:hAnsi="Times New Roman" w:cs="Times New Roman" w:hint="eastAsia"/>
          <w:color w:val="000000"/>
          <w:szCs w:val="21"/>
        </w:rPr>
        <w:t>年</w:t>
      </w:r>
      <w:r>
        <w:rPr>
          <w:rFonts w:ascii="Times New Roman" w:hAnsi="Times New Roman" w:cs="Times New Roman" w:hint="eastAsia"/>
          <w:color w:val="000000"/>
          <w:szCs w:val="21"/>
        </w:rPr>
        <w:t>12</w:t>
      </w:r>
      <w:r>
        <w:rPr>
          <w:rFonts w:ascii="Times New Roman" w:hAnsi="Times New Roman" w:cs="Times New Roman" w:hint="eastAsia"/>
          <w:color w:val="000000"/>
          <w:szCs w:val="21"/>
        </w:rPr>
        <w:t>月</w:t>
      </w:r>
      <w:r>
        <w:rPr>
          <w:rFonts w:ascii="Times New Roman" w:hAnsi="Times New Roman" w:cs="Times New Roman" w:hint="eastAsia"/>
          <w:color w:val="000000"/>
          <w:szCs w:val="21"/>
        </w:rPr>
        <w:t>31</w:t>
      </w:r>
      <w:r>
        <w:rPr>
          <w:rFonts w:ascii="Times New Roman" w:hAnsi="Times New Roman" w:cs="Times New Roman" w:hint="eastAsia"/>
          <w:color w:val="000000"/>
          <w:szCs w:val="21"/>
        </w:rPr>
        <w:t>日，标的公司技术人员数量分别为</w:t>
      </w:r>
      <w:r>
        <w:rPr>
          <w:rFonts w:ascii="Times New Roman" w:hAnsi="Times New Roman" w:cs="Times New Roman" w:hint="eastAsia"/>
          <w:color w:val="000000"/>
          <w:szCs w:val="21"/>
        </w:rPr>
        <w:t>44</w:t>
      </w:r>
      <w:r>
        <w:rPr>
          <w:rFonts w:ascii="Times New Roman" w:hAnsi="Times New Roman" w:cs="Times New Roman" w:hint="eastAsia"/>
          <w:color w:val="000000"/>
          <w:szCs w:val="21"/>
        </w:rPr>
        <w:t>人及</w:t>
      </w:r>
      <w:r>
        <w:rPr>
          <w:rFonts w:ascii="Times New Roman" w:hAnsi="Times New Roman" w:cs="Times New Roman" w:hint="eastAsia"/>
          <w:color w:val="000000"/>
          <w:szCs w:val="21"/>
        </w:rPr>
        <w:t>40</w:t>
      </w:r>
      <w:r>
        <w:rPr>
          <w:rFonts w:ascii="Times New Roman" w:hAnsi="Times New Roman" w:cs="Times New Roman" w:hint="eastAsia"/>
          <w:color w:val="000000"/>
          <w:szCs w:val="21"/>
        </w:rPr>
        <w:t>人，占标的公司总人数分别为</w:t>
      </w:r>
      <w:r>
        <w:rPr>
          <w:rFonts w:ascii="Times New Roman" w:hAnsi="Times New Roman" w:cs="Times New Roman" w:hint="eastAsia"/>
          <w:color w:val="000000"/>
          <w:szCs w:val="21"/>
        </w:rPr>
        <w:t>26.51%</w:t>
      </w:r>
      <w:r>
        <w:rPr>
          <w:rFonts w:ascii="Times New Roman" w:hAnsi="Times New Roman" w:cs="Times New Roman" w:hint="eastAsia"/>
          <w:color w:val="000000"/>
          <w:szCs w:val="21"/>
        </w:rPr>
        <w:t>及</w:t>
      </w:r>
      <w:r>
        <w:rPr>
          <w:rFonts w:ascii="Times New Roman" w:hAnsi="Times New Roman" w:cs="Times New Roman" w:hint="eastAsia"/>
          <w:color w:val="000000"/>
          <w:szCs w:val="21"/>
        </w:rPr>
        <w:t>23.67%</w:t>
      </w:r>
      <w:r>
        <w:rPr>
          <w:rFonts w:ascii="Times New Roman" w:hAnsi="Times New Roman" w:cs="Times New Roman" w:hint="eastAsia"/>
          <w:color w:val="000000"/>
          <w:szCs w:val="21"/>
        </w:rPr>
        <w:t>，技术人员中大学专科及以上占比分别为</w:t>
      </w:r>
      <w:r>
        <w:rPr>
          <w:rFonts w:ascii="Times New Roman" w:hAnsi="Times New Roman" w:cs="Times New Roman" w:hint="eastAsia"/>
          <w:color w:val="000000"/>
          <w:szCs w:val="21"/>
        </w:rPr>
        <w:t>79.55%</w:t>
      </w:r>
      <w:r>
        <w:rPr>
          <w:rFonts w:ascii="Times New Roman" w:hAnsi="Times New Roman" w:cs="Times New Roman" w:hint="eastAsia"/>
          <w:color w:val="000000"/>
          <w:szCs w:val="21"/>
        </w:rPr>
        <w:t>及</w:t>
      </w:r>
      <w:r>
        <w:rPr>
          <w:rFonts w:ascii="Times New Roman" w:hAnsi="Times New Roman" w:cs="Times New Roman" w:hint="eastAsia"/>
          <w:color w:val="000000"/>
          <w:szCs w:val="21"/>
        </w:rPr>
        <w:t>82.50%</w:t>
      </w:r>
      <w:r>
        <w:rPr>
          <w:rFonts w:ascii="Times New Roman" w:hAnsi="Times New Roman" w:cs="Times New Roman" w:hint="eastAsia"/>
          <w:color w:val="000000"/>
          <w:szCs w:val="21"/>
        </w:rPr>
        <w:t>。</w:t>
      </w:r>
    </w:p>
    <w:p w14:paraId="0AE094E4"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（二）研发费用占营业收入的比重情况</w:t>
      </w:r>
    </w:p>
    <w:p w14:paraId="64BCB7E2" w14:textId="77777777" w:rsidR="00C02929" w:rsidRDefault="006116D1">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color w:val="000000"/>
          <w:szCs w:val="21"/>
        </w:rPr>
        <w:t>报告期内，标的公司的研发费用构成情况如下：</w:t>
      </w:r>
    </w:p>
    <w:p w14:paraId="36E736C3"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26"/>
        <w:gridCol w:w="2132"/>
        <w:gridCol w:w="2132"/>
        <w:gridCol w:w="2132"/>
      </w:tblGrid>
      <w:tr w:rsidR="00C02929" w14:paraId="37FC6E7F" w14:textId="77777777">
        <w:trPr>
          <w:trHeight w:val="397"/>
          <w:tblHeader/>
        </w:trPr>
        <w:tc>
          <w:tcPr>
            <w:tcW w:w="1247" w:type="pct"/>
            <w:tcBorders>
              <w:top w:val="single" w:sz="12" w:space="0" w:color="auto"/>
              <w:left w:val="nil"/>
              <w:bottom w:val="single" w:sz="4" w:space="0" w:color="auto"/>
              <w:right w:val="single" w:sz="4" w:space="0" w:color="auto"/>
            </w:tcBorders>
            <w:vAlign w:val="center"/>
          </w:tcPr>
          <w:p w14:paraId="5F2CB2A0"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251" w:type="pct"/>
            <w:tcBorders>
              <w:top w:val="single" w:sz="12" w:space="0" w:color="auto"/>
              <w:left w:val="single" w:sz="4" w:space="0" w:color="auto"/>
              <w:bottom w:val="single" w:sz="4" w:space="0" w:color="auto"/>
              <w:right w:val="single" w:sz="4" w:space="0" w:color="auto"/>
            </w:tcBorders>
            <w:vAlign w:val="center"/>
          </w:tcPr>
          <w:p w14:paraId="50CD918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年度</w:t>
            </w:r>
          </w:p>
        </w:tc>
        <w:tc>
          <w:tcPr>
            <w:tcW w:w="1251" w:type="pct"/>
            <w:tcBorders>
              <w:top w:val="single" w:sz="12" w:space="0" w:color="auto"/>
              <w:left w:val="single" w:sz="4" w:space="0" w:color="auto"/>
              <w:bottom w:val="single" w:sz="4" w:space="0" w:color="auto"/>
              <w:right w:val="single" w:sz="4" w:space="0" w:color="auto"/>
            </w:tcBorders>
            <w:vAlign w:val="center"/>
          </w:tcPr>
          <w:p w14:paraId="79547CA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年度</w:t>
            </w:r>
          </w:p>
        </w:tc>
        <w:tc>
          <w:tcPr>
            <w:tcW w:w="1251" w:type="pct"/>
            <w:tcBorders>
              <w:top w:val="single" w:sz="12" w:space="0" w:color="auto"/>
              <w:left w:val="single" w:sz="4" w:space="0" w:color="auto"/>
              <w:bottom w:val="single" w:sz="4" w:space="0" w:color="auto"/>
              <w:right w:val="nil"/>
            </w:tcBorders>
            <w:vAlign w:val="center"/>
          </w:tcPr>
          <w:p w14:paraId="393EC44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年度</w:t>
            </w:r>
          </w:p>
        </w:tc>
      </w:tr>
      <w:tr w:rsidR="00C02929" w14:paraId="3CF133D0" w14:textId="77777777">
        <w:trPr>
          <w:trHeight w:val="397"/>
        </w:trPr>
        <w:tc>
          <w:tcPr>
            <w:tcW w:w="1247" w:type="pct"/>
            <w:tcBorders>
              <w:top w:val="single" w:sz="4" w:space="0" w:color="auto"/>
              <w:left w:val="nil"/>
              <w:bottom w:val="single" w:sz="4" w:space="0" w:color="auto"/>
              <w:right w:val="single" w:sz="4" w:space="0" w:color="auto"/>
            </w:tcBorders>
            <w:vAlign w:val="center"/>
          </w:tcPr>
          <w:p w14:paraId="6A27D966"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职工工资</w:t>
            </w:r>
          </w:p>
        </w:tc>
        <w:tc>
          <w:tcPr>
            <w:tcW w:w="1251" w:type="pct"/>
            <w:tcBorders>
              <w:top w:val="single" w:sz="4" w:space="0" w:color="auto"/>
              <w:left w:val="single" w:sz="4" w:space="0" w:color="auto"/>
              <w:bottom w:val="single" w:sz="4" w:space="0" w:color="auto"/>
              <w:right w:val="single" w:sz="4" w:space="0" w:color="auto"/>
            </w:tcBorders>
            <w:noWrap/>
            <w:vAlign w:val="center"/>
          </w:tcPr>
          <w:p w14:paraId="15CC010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532.78</w:t>
            </w:r>
          </w:p>
        </w:tc>
        <w:tc>
          <w:tcPr>
            <w:tcW w:w="1251" w:type="pct"/>
            <w:tcBorders>
              <w:top w:val="single" w:sz="4" w:space="0" w:color="auto"/>
              <w:left w:val="single" w:sz="4" w:space="0" w:color="auto"/>
              <w:bottom w:val="single" w:sz="4" w:space="0" w:color="auto"/>
              <w:right w:val="single" w:sz="4" w:space="0" w:color="auto"/>
            </w:tcBorders>
            <w:noWrap/>
            <w:vAlign w:val="center"/>
          </w:tcPr>
          <w:p w14:paraId="4E508E16"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514.04</w:t>
            </w:r>
          </w:p>
        </w:tc>
        <w:tc>
          <w:tcPr>
            <w:tcW w:w="1251" w:type="pct"/>
            <w:tcBorders>
              <w:top w:val="single" w:sz="4" w:space="0" w:color="auto"/>
              <w:left w:val="single" w:sz="4" w:space="0" w:color="auto"/>
              <w:bottom w:val="single" w:sz="4" w:space="0" w:color="auto"/>
              <w:right w:val="nil"/>
            </w:tcBorders>
            <w:noWrap/>
            <w:vAlign w:val="center"/>
          </w:tcPr>
          <w:p w14:paraId="0367B757"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204.74</w:t>
            </w:r>
          </w:p>
        </w:tc>
      </w:tr>
      <w:tr w:rsidR="00C02929" w14:paraId="426046BA" w14:textId="77777777">
        <w:trPr>
          <w:trHeight w:val="397"/>
        </w:trPr>
        <w:tc>
          <w:tcPr>
            <w:tcW w:w="1247" w:type="pct"/>
            <w:tcBorders>
              <w:top w:val="single" w:sz="4" w:space="0" w:color="auto"/>
              <w:left w:val="nil"/>
              <w:bottom w:val="single" w:sz="4" w:space="0" w:color="auto"/>
              <w:right w:val="single" w:sz="4" w:space="0" w:color="auto"/>
            </w:tcBorders>
            <w:vAlign w:val="center"/>
          </w:tcPr>
          <w:p w14:paraId="0C5D76AD"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材料费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789E829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389.52</w:t>
            </w:r>
          </w:p>
        </w:tc>
        <w:tc>
          <w:tcPr>
            <w:tcW w:w="1251" w:type="pct"/>
            <w:tcBorders>
              <w:top w:val="single" w:sz="4" w:space="0" w:color="auto"/>
              <w:left w:val="single" w:sz="4" w:space="0" w:color="auto"/>
              <w:bottom w:val="single" w:sz="4" w:space="0" w:color="auto"/>
              <w:right w:val="single" w:sz="4" w:space="0" w:color="auto"/>
            </w:tcBorders>
            <w:noWrap/>
            <w:vAlign w:val="center"/>
          </w:tcPr>
          <w:p w14:paraId="7404E073"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263.11</w:t>
            </w:r>
          </w:p>
        </w:tc>
        <w:tc>
          <w:tcPr>
            <w:tcW w:w="1251" w:type="pct"/>
            <w:tcBorders>
              <w:top w:val="single" w:sz="4" w:space="0" w:color="auto"/>
              <w:left w:val="single" w:sz="4" w:space="0" w:color="auto"/>
              <w:bottom w:val="single" w:sz="4" w:space="0" w:color="auto"/>
              <w:right w:val="nil"/>
            </w:tcBorders>
            <w:noWrap/>
            <w:vAlign w:val="center"/>
          </w:tcPr>
          <w:p w14:paraId="7A2396E2"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141.32</w:t>
            </w:r>
          </w:p>
        </w:tc>
      </w:tr>
      <w:tr w:rsidR="00C02929" w14:paraId="3666BBD4" w14:textId="77777777">
        <w:trPr>
          <w:trHeight w:val="397"/>
        </w:trPr>
        <w:tc>
          <w:tcPr>
            <w:tcW w:w="1247" w:type="pct"/>
            <w:tcBorders>
              <w:top w:val="single" w:sz="4" w:space="0" w:color="auto"/>
              <w:left w:val="nil"/>
              <w:bottom w:val="single" w:sz="4" w:space="0" w:color="auto"/>
              <w:right w:val="single" w:sz="4" w:space="0" w:color="auto"/>
            </w:tcBorders>
            <w:vAlign w:val="center"/>
          </w:tcPr>
          <w:p w14:paraId="02861355"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燃料动力费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6CA05B7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251" w:type="pct"/>
            <w:tcBorders>
              <w:top w:val="single" w:sz="4" w:space="0" w:color="auto"/>
              <w:left w:val="single" w:sz="4" w:space="0" w:color="auto"/>
              <w:bottom w:val="single" w:sz="4" w:space="0" w:color="auto"/>
              <w:right w:val="single" w:sz="4" w:space="0" w:color="auto"/>
            </w:tcBorders>
            <w:noWrap/>
            <w:vAlign w:val="center"/>
          </w:tcPr>
          <w:p w14:paraId="5EE2289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2.31</w:t>
            </w:r>
          </w:p>
        </w:tc>
        <w:tc>
          <w:tcPr>
            <w:tcW w:w="1251" w:type="pct"/>
            <w:tcBorders>
              <w:top w:val="single" w:sz="4" w:space="0" w:color="auto"/>
              <w:left w:val="single" w:sz="4" w:space="0" w:color="auto"/>
              <w:bottom w:val="single" w:sz="4" w:space="0" w:color="auto"/>
              <w:right w:val="nil"/>
            </w:tcBorders>
            <w:noWrap/>
            <w:vAlign w:val="center"/>
          </w:tcPr>
          <w:p w14:paraId="253D2951"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1.35</w:t>
            </w:r>
          </w:p>
        </w:tc>
      </w:tr>
      <w:tr w:rsidR="00C02929" w14:paraId="42114AF4" w14:textId="77777777">
        <w:trPr>
          <w:trHeight w:val="397"/>
        </w:trPr>
        <w:tc>
          <w:tcPr>
            <w:tcW w:w="1247" w:type="pct"/>
            <w:tcBorders>
              <w:top w:val="single" w:sz="4" w:space="0" w:color="auto"/>
              <w:left w:val="nil"/>
              <w:bottom w:val="single" w:sz="4" w:space="0" w:color="auto"/>
              <w:right w:val="single" w:sz="4" w:space="0" w:color="auto"/>
            </w:tcBorders>
            <w:vAlign w:val="center"/>
          </w:tcPr>
          <w:p w14:paraId="1E407EB9"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差旅费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2B4A365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20.26</w:t>
            </w:r>
          </w:p>
        </w:tc>
        <w:tc>
          <w:tcPr>
            <w:tcW w:w="1251" w:type="pct"/>
            <w:tcBorders>
              <w:top w:val="single" w:sz="4" w:space="0" w:color="auto"/>
              <w:left w:val="single" w:sz="4" w:space="0" w:color="auto"/>
              <w:bottom w:val="single" w:sz="4" w:space="0" w:color="auto"/>
              <w:right w:val="single" w:sz="4" w:space="0" w:color="auto"/>
            </w:tcBorders>
            <w:noWrap/>
            <w:vAlign w:val="center"/>
          </w:tcPr>
          <w:p w14:paraId="59140EE8"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19.47</w:t>
            </w:r>
          </w:p>
        </w:tc>
        <w:tc>
          <w:tcPr>
            <w:tcW w:w="1251" w:type="pct"/>
            <w:tcBorders>
              <w:top w:val="single" w:sz="4" w:space="0" w:color="auto"/>
              <w:left w:val="single" w:sz="4" w:space="0" w:color="auto"/>
              <w:bottom w:val="single" w:sz="4" w:space="0" w:color="auto"/>
              <w:right w:val="nil"/>
            </w:tcBorders>
            <w:noWrap/>
            <w:vAlign w:val="center"/>
          </w:tcPr>
          <w:p w14:paraId="718CCFEA"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2.48</w:t>
            </w:r>
          </w:p>
        </w:tc>
      </w:tr>
      <w:tr w:rsidR="00C02929" w14:paraId="42B82018" w14:textId="77777777">
        <w:trPr>
          <w:trHeight w:val="397"/>
        </w:trPr>
        <w:tc>
          <w:tcPr>
            <w:tcW w:w="1247" w:type="pct"/>
            <w:tcBorders>
              <w:top w:val="single" w:sz="4" w:space="0" w:color="auto"/>
              <w:left w:val="nil"/>
              <w:bottom w:val="single" w:sz="4" w:space="0" w:color="auto"/>
              <w:right w:val="single" w:sz="4" w:space="0" w:color="auto"/>
            </w:tcBorders>
            <w:vAlign w:val="center"/>
          </w:tcPr>
          <w:p w14:paraId="2C7551BA"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出版</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文献</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信息传播</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知识产权事务费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2BCD134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251" w:type="pct"/>
            <w:tcBorders>
              <w:top w:val="single" w:sz="4" w:space="0" w:color="auto"/>
              <w:left w:val="single" w:sz="4" w:space="0" w:color="auto"/>
              <w:bottom w:val="single" w:sz="4" w:space="0" w:color="auto"/>
              <w:right w:val="single" w:sz="4" w:space="0" w:color="auto"/>
            </w:tcBorders>
            <w:noWrap/>
            <w:vAlign w:val="center"/>
          </w:tcPr>
          <w:p w14:paraId="756A5CCB"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0.92</w:t>
            </w:r>
          </w:p>
        </w:tc>
        <w:tc>
          <w:tcPr>
            <w:tcW w:w="1251" w:type="pct"/>
            <w:tcBorders>
              <w:top w:val="single" w:sz="4" w:space="0" w:color="auto"/>
              <w:left w:val="single" w:sz="4" w:space="0" w:color="auto"/>
              <w:bottom w:val="single" w:sz="4" w:space="0" w:color="auto"/>
              <w:right w:val="nil"/>
            </w:tcBorders>
            <w:noWrap/>
            <w:vAlign w:val="center"/>
          </w:tcPr>
          <w:p w14:paraId="0C76C033"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4.88</w:t>
            </w:r>
          </w:p>
        </w:tc>
      </w:tr>
      <w:tr w:rsidR="00C02929" w14:paraId="703D23D3" w14:textId="77777777">
        <w:trPr>
          <w:trHeight w:val="397"/>
        </w:trPr>
        <w:tc>
          <w:tcPr>
            <w:tcW w:w="1247" w:type="pct"/>
            <w:tcBorders>
              <w:top w:val="single" w:sz="4" w:space="0" w:color="auto"/>
              <w:left w:val="nil"/>
              <w:bottom w:val="single" w:sz="4" w:space="0" w:color="auto"/>
              <w:right w:val="single" w:sz="4" w:space="0" w:color="auto"/>
            </w:tcBorders>
            <w:vAlign w:val="center"/>
          </w:tcPr>
          <w:p w14:paraId="2CB42212"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劳务费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158BCED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251" w:type="pct"/>
            <w:tcBorders>
              <w:top w:val="single" w:sz="4" w:space="0" w:color="auto"/>
              <w:left w:val="single" w:sz="4" w:space="0" w:color="auto"/>
              <w:bottom w:val="single" w:sz="4" w:space="0" w:color="auto"/>
              <w:right w:val="single" w:sz="4" w:space="0" w:color="auto"/>
            </w:tcBorders>
            <w:noWrap/>
            <w:vAlign w:val="center"/>
          </w:tcPr>
          <w:p w14:paraId="2F8B5185"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4.35</w:t>
            </w:r>
          </w:p>
        </w:tc>
        <w:tc>
          <w:tcPr>
            <w:tcW w:w="1251" w:type="pct"/>
            <w:tcBorders>
              <w:top w:val="single" w:sz="4" w:space="0" w:color="auto"/>
              <w:left w:val="single" w:sz="4" w:space="0" w:color="auto"/>
              <w:bottom w:val="single" w:sz="4" w:space="0" w:color="auto"/>
              <w:right w:val="nil"/>
            </w:tcBorders>
            <w:noWrap/>
            <w:vAlign w:val="center"/>
          </w:tcPr>
          <w:p w14:paraId="0EC32A5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3.50</w:t>
            </w:r>
          </w:p>
        </w:tc>
      </w:tr>
      <w:tr w:rsidR="00C02929" w14:paraId="6BC53CF2" w14:textId="77777777">
        <w:trPr>
          <w:trHeight w:val="397"/>
        </w:trPr>
        <w:tc>
          <w:tcPr>
            <w:tcW w:w="1247" w:type="pct"/>
            <w:tcBorders>
              <w:top w:val="single" w:sz="4" w:space="0" w:color="auto"/>
              <w:left w:val="nil"/>
              <w:bottom w:val="single" w:sz="4" w:space="0" w:color="auto"/>
              <w:right w:val="single" w:sz="4" w:space="0" w:color="auto"/>
            </w:tcBorders>
            <w:vAlign w:val="center"/>
          </w:tcPr>
          <w:p w14:paraId="74944106"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折旧费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768F684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11.12</w:t>
            </w:r>
          </w:p>
        </w:tc>
        <w:tc>
          <w:tcPr>
            <w:tcW w:w="1251" w:type="pct"/>
            <w:tcBorders>
              <w:top w:val="single" w:sz="4" w:space="0" w:color="auto"/>
              <w:left w:val="single" w:sz="4" w:space="0" w:color="auto"/>
              <w:bottom w:val="single" w:sz="4" w:space="0" w:color="auto"/>
              <w:right w:val="single" w:sz="4" w:space="0" w:color="auto"/>
            </w:tcBorders>
            <w:noWrap/>
            <w:vAlign w:val="center"/>
          </w:tcPr>
          <w:p w14:paraId="769F8729"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6.37</w:t>
            </w:r>
          </w:p>
        </w:tc>
        <w:tc>
          <w:tcPr>
            <w:tcW w:w="1251" w:type="pct"/>
            <w:tcBorders>
              <w:top w:val="single" w:sz="4" w:space="0" w:color="auto"/>
              <w:left w:val="single" w:sz="4" w:space="0" w:color="auto"/>
              <w:bottom w:val="single" w:sz="4" w:space="0" w:color="auto"/>
              <w:right w:val="nil"/>
            </w:tcBorders>
            <w:noWrap/>
            <w:vAlign w:val="center"/>
          </w:tcPr>
          <w:p w14:paraId="61113258"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3.43</w:t>
            </w:r>
          </w:p>
        </w:tc>
      </w:tr>
      <w:tr w:rsidR="00C02929" w14:paraId="3B66D24D" w14:textId="77777777">
        <w:trPr>
          <w:trHeight w:val="397"/>
        </w:trPr>
        <w:tc>
          <w:tcPr>
            <w:tcW w:w="1247" w:type="pct"/>
            <w:tcBorders>
              <w:top w:val="single" w:sz="4" w:space="0" w:color="auto"/>
              <w:left w:val="nil"/>
              <w:bottom w:val="single" w:sz="4" w:space="0" w:color="auto"/>
              <w:right w:val="single" w:sz="4" w:space="0" w:color="auto"/>
            </w:tcBorders>
            <w:vAlign w:val="center"/>
          </w:tcPr>
          <w:p w14:paraId="08C00E19"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设备费</w:t>
            </w:r>
          </w:p>
        </w:tc>
        <w:tc>
          <w:tcPr>
            <w:tcW w:w="1251" w:type="pct"/>
            <w:tcBorders>
              <w:top w:val="single" w:sz="4" w:space="0" w:color="auto"/>
              <w:left w:val="single" w:sz="4" w:space="0" w:color="auto"/>
              <w:bottom w:val="single" w:sz="4" w:space="0" w:color="auto"/>
              <w:right w:val="single" w:sz="4" w:space="0" w:color="auto"/>
            </w:tcBorders>
            <w:noWrap/>
            <w:vAlign w:val="center"/>
          </w:tcPr>
          <w:p w14:paraId="4AE9841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3.06</w:t>
            </w:r>
          </w:p>
        </w:tc>
        <w:tc>
          <w:tcPr>
            <w:tcW w:w="1251" w:type="pct"/>
            <w:tcBorders>
              <w:top w:val="single" w:sz="4" w:space="0" w:color="auto"/>
              <w:left w:val="single" w:sz="4" w:space="0" w:color="auto"/>
              <w:bottom w:val="single" w:sz="4" w:space="0" w:color="auto"/>
              <w:right w:val="single" w:sz="4" w:space="0" w:color="auto"/>
            </w:tcBorders>
            <w:noWrap/>
            <w:vAlign w:val="center"/>
          </w:tcPr>
          <w:p w14:paraId="7B7C2F61"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13.11</w:t>
            </w:r>
          </w:p>
        </w:tc>
        <w:tc>
          <w:tcPr>
            <w:tcW w:w="1251" w:type="pct"/>
            <w:tcBorders>
              <w:top w:val="single" w:sz="4" w:space="0" w:color="auto"/>
              <w:left w:val="single" w:sz="4" w:space="0" w:color="auto"/>
              <w:bottom w:val="single" w:sz="4" w:space="0" w:color="auto"/>
              <w:right w:val="nil"/>
            </w:tcBorders>
            <w:noWrap/>
            <w:vAlign w:val="center"/>
          </w:tcPr>
          <w:p w14:paraId="663286B6"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0.23</w:t>
            </w:r>
          </w:p>
        </w:tc>
      </w:tr>
      <w:tr w:rsidR="00C02929" w14:paraId="61C01F49" w14:textId="77777777">
        <w:trPr>
          <w:trHeight w:val="397"/>
        </w:trPr>
        <w:tc>
          <w:tcPr>
            <w:tcW w:w="1247" w:type="pct"/>
            <w:tcBorders>
              <w:top w:val="single" w:sz="4" w:space="0" w:color="auto"/>
              <w:left w:val="nil"/>
              <w:bottom w:val="single" w:sz="4" w:space="0" w:color="auto"/>
              <w:right w:val="single" w:sz="4" w:space="0" w:color="auto"/>
            </w:tcBorders>
            <w:vAlign w:val="center"/>
          </w:tcPr>
          <w:p w14:paraId="729EBA2C"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其他</w:t>
            </w:r>
          </w:p>
        </w:tc>
        <w:tc>
          <w:tcPr>
            <w:tcW w:w="1251" w:type="pct"/>
            <w:tcBorders>
              <w:top w:val="single" w:sz="4" w:space="0" w:color="auto"/>
              <w:left w:val="single" w:sz="4" w:space="0" w:color="auto"/>
              <w:bottom w:val="single" w:sz="4" w:space="0" w:color="auto"/>
              <w:right w:val="single" w:sz="4" w:space="0" w:color="auto"/>
            </w:tcBorders>
            <w:noWrap/>
            <w:vAlign w:val="center"/>
          </w:tcPr>
          <w:p w14:paraId="4E5920E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2.16</w:t>
            </w:r>
          </w:p>
        </w:tc>
        <w:tc>
          <w:tcPr>
            <w:tcW w:w="1251" w:type="pct"/>
            <w:tcBorders>
              <w:top w:val="single" w:sz="4" w:space="0" w:color="auto"/>
              <w:left w:val="single" w:sz="4" w:space="0" w:color="auto"/>
              <w:bottom w:val="single" w:sz="4" w:space="0" w:color="auto"/>
              <w:right w:val="single" w:sz="4" w:space="0" w:color="auto"/>
            </w:tcBorders>
            <w:noWrap/>
            <w:vAlign w:val="center"/>
          </w:tcPr>
          <w:p w14:paraId="4C4FD538"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1.67</w:t>
            </w:r>
          </w:p>
        </w:tc>
        <w:tc>
          <w:tcPr>
            <w:tcW w:w="1251" w:type="pct"/>
            <w:tcBorders>
              <w:top w:val="single" w:sz="4" w:space="0" w:color="auto"/>
              <w:left w:val="single" w:sz="4" w:space="0" w:color="auto"/>
              <w:bottom w:val="single" w:sz="4" w:space="0" w:color="auto"/>
              <w:right w:val="nil"/>
            </w:tcBorders>
            <w:noWrap/>
            <w:vAlign w:val="center"/>
          </w:tcPr>
          <w:p w14:paraId="2DB3B1FE"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rPr>
              <w:t>0.31</w:t>
            </w:r>
          </w:p>
        </w:tc>
      </w:tr>
      <w:tr w:rsidR="00C02929" w14:paraId="68772A9A" w14:textId="77777777">
        <w:trPr>
          <w:trHeight w:val="397"/>
        </w:trPr>
        <w:tc>
          <w:tcPr>
            <w:tcW w:w="1247" w:type="pct"/>
            <w:tcBorders>
              <w:top w:val="single" w:sz="4" w:space="0" w:color="auto"/>
              <w:left w:val="nil"/>
              <w:bottom w:val="single" w:sz="12" w:space="0" w:color="auto"/>
              <w:right w:val="single" w:sz="4" w:space="0" w:color="auto"/>
            </w:tcBorders>
            <w:vAlign w:val="center"/>
          </w:tcPr>
          <w:p w14:paraId="227D0E5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1" w:type="pct"/>
            <w:tcBorders>
              <w:top w:val="single" w:sz="4" w:space="0" w:color="auto"/>
              <w:left w:val="single" w:sz="4" w:space="0" w:color="auto"/>
              <w:bottom w:val="single" w:sz="12" w:space="0" w:color="auto"/>
              <w:right w:val="single" w:sz="4" w:space="0" w:color="auto"/>
            </w:tcBorders>
            <w:noWrap/>
            <w:vAlign w:val="center"/>
          </w:tcPr>
          <w:p w14:paraId="329BB26A"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958.90</w:t>
            </w:r>
          </w:p>
        </w:tc>
        <w:tc>
          <w:tcPr>
            <w:tcW w:w="1251" w:type="pct"/>
            <w:tcBorders>
              <w:top w:val="single" w:sz="4" w:space="0" w:color="auto"/>
              <w:left w:val="single" w:sz="4" w:space="0" w:color="auto"/>
              <w:bottom w:val="single" w:sz="12" w:space="0" w:color="auto"/>
              <w:right w:val="single" w:sz="4" w:space="0" w:color="auto"/>
            </w:tcBorders>
            <w:noWrap/>
            <w:vAlign w:val="center"/>
          </w:tcPr>
          <w:p w14:paraId="1A1856B1"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825.35</w:t>
            </w:r>
          </w:p>
        </w:tc>
        <w:tc>
          <w:tcPr>
            <w:tcW w:w="1251" w:type="pct"/>
            <w:tcBorders>
              <w:top w:val="single" w:sz="4" w:space="0" w:color="auto"/>
              <w:left w:val="single" w:sz="4" w:space="0" w:color="auto"/>
              <w:bottom w:val="single" w:sz="12" w:space="0" w:color="auto"/>
              <w:right w:val="nil"/>
            </w:tcBorders>
            <w:noWrap/>
            <w:vAlign w:val="center"/>
          </w:tcPr>
          <w:p w14:paraId="32C27109" w14:textId="77777777" w:rsidR="00C02929" w:rsidRDefault="006116D1">
            <w:pPr>
              <w:jc w:val="right"/>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rPr>
              <w:t>362.23</w:t>
            </w:r>
          </w:p>
        </w:tc>
      </w:tr>
    </w:tbl>
    <w:p w14:paraId="3EAA48F6" w14:textId="77777777" w:rsidR="00C02929" w:rsidRDefault="006116D1">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color w:val="000000"/>
          <w:szCs w:val="21"/>
        </w:rPr>
        <w:t>报告期内各期，标的公司研发费用分别为</w:t>
      </w:r>
      <w:r>
        <w:rPr>
          <w:rFonts w:ascii="Times New Roman" w:hAnsi="Times New Roman" w:cs="Times New Roman" w:hint="eastAsia"/>
          <w:color w:val="000000"/>
          <w:szCs w:val="21"/>
        </w:rPr>
        <w:t>362.23</w:t>
      </w:r>
      <w:r>
        <w:rPr>
          <w:rFonts w:ascii="Times New Roman" w:hAnsi="Times New Roman" w:cs="Times New Roman" w:hint="eastAsia"/>
          <w:color w:val="000000"/>
          <w:szCs w:val="21"/>
        </w:rPr>
        <w:t>万元、</w:t>
      </w:r>
      <w:r>
        <w:rPr>
          <w:rFonts w:ascii="Times New Roman" w:hAnsi="Times New Roman" w:cs="Times New Roman" w:hint="eastAsia"/>
          <w:color w:val="000000"/>
          <w:szCs w:val="21"/>
        </w:rPr>
        <w:t>825.35</w:t>
      </w:r>
      <w:r>
        <w:rPr>
          <w:rFonts w:ascii="Times New Roman" w:hAnsi="Times New Roman" w:cs="Times New Roman" w:hint="eastAsia"/>
          <w:color w:val="000000"/>
          <w:szCs w:val="21"/>
        </w:rPr>
        <w:t>万元和</w:t>
      </w:r>
      <w:r>
        <w:rPr>
          <w:rFonts w:ascii="Times New Roman" w:hAnsi="Times New Roman" w:cs="Times New Roman" w:hint="eastAsia"/>
          <w:color w:val="000000"/>
          <w:szCs w:val="21"/>
        </w:rPr>
        <w:t>958.90</w:t>
      </w:r>
      <w:r>
        <w:rPr>
          <w:rFonts w:ascii="Times New Roman" w:hAnsi="Times New Roman" w:cs="Times New Roman" w:hint="eastAsia"/>
          <w:color w:val="000000"/>
          <w:szCs w:val="21"/>
        </w:rPr>
        <w:t>万元，占营业收入的比例分别为</w:t>
      </w:r>
      <w:r>
        <w:rPr>
          <w:rFonts w:ascii="Times New Roman" w:hAnsi="Times New Roman" w:cs="Times New Roman" w:hint="eastAsia"/>
          <w:color w:val="000000"/>
          <w:szCs w:val="21"/>
        </w:rPr>
        <w:t>5.93%</w:t>
      </w:r>
      <w:r>
        <w:rPr>
          <w:rFonts w:ascii="Times New Roman" w:hAnsi="Times New Roman" w:cs="Times New Roman" w:hint="eastAsia"/>
          <w:color w:val="000000"/>
          <w:szCs w:val="21"/>
        </w:rPr>
        <w:t>、</w:t>
      </w:r>
      <w:r>
        <w:rPr>
          <w:rFonts w:ascii="Times New Roman" w:hAnsi="Times New Roman" w:cs="Times New Roman" w:hint="eastAsia"/>
          <w:color w:val="000000"/>
          <w:szCs w:val="21"/>
        </w:rPr>
        <w:t>7.99%</w:t>
      </w:r>
      <w:r>
        <w:rPr>
          <w:rFonts w:ascii="Times New Roman" w:hAnsi="Times New Roman" w:cs="Times New Roman" w:hint="eastAsia"/>
          <w:color w:val="000000"/>
          <w:szCs w:val="21"/>
        </w:rPr>
        <w:t>和</w:t>
      </w:r>
      <w:r>
        <w:rPr>
          <w:rFonts w:ascii="Times New Roman" w:hAnsi="Times New Roman" w:cs="Times New Roman" w:hint="eastAsia"/>
          <w:color w:val="000000"/>
          <w:szCs w:val="21"/>
        </w:rPr>
        <w:t>6.37%</w:t>
      </w:r>
      <w:r>
        <w:rPr>
          <w:rFonts w:ascii="Times New Roman" w:hAnsi="Times New Roman" w:cs="Times New Roman" w:hint="eastAsia"/>
          <w:color w:val="000000"/>
          <w:szCs w:val="21"/>
        </w:rPr>
        <w:t>；标的公司研发费用主要由职工工资和材料费等构成。标的公司作为生产线智能化升级改造的高新技术企业，注重研发和创新，研发费用投入逐年上升。</w:t>
      </w:r>
    </w:p>
    <w:p w14:paraId="25BDD83D"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二、同行业可比公司的情况</w:t>
      </w:r>
    </w:p>
    <w:p w14:paraId="7F1D71F3" w14:textId="77777777" w:rsidR="00C02929" w:rsidRDefault="006116D1">
      <w:pPr>
        <w:spacing w:beforeLines="50" w:before="156" w:line="360" w:lineRule="auto"/>
        <w:ind w:firstLineChars="200" w:firstLine="480"/>
        <w:jc w:val="both"/>
        <w:rPr>
          <w:rFonts w:ascii="Times New Roman" w:hAnsi="Times New Roman" w:cs="Times New Roman"/>
          <w:color w:val="000000"/>
          <w:szCs w:val="21"/>
        </w:rPr>
      </w:pPr>
      <w:bookmarkStart w:id="27" w:name="_Hlk66781694"/>
      <w:r>
        <w:rPr>
          <w:rFonts w:ascii="Times New Roman" w:hAnsi="Times New Roman" w:cs="Times New Roman" w:hint="eastAsia"/>
          <w:color w:val="000000"/>
          <w:szCs w:val="21"/>
        </w:rPr>
        <w:lastRenderedPageBreak/>
        <w:t>标的公司所处行业内有多家竞争公司，国内行业内主要企业有广东拓斯达科技股份有限公司、杭州永创智能设备股份有限公司、快克智能装备股份有限公司、沈阳新松机器人自动化股份有限公司、南京埃斯顿自动化股份有限公司等。根据公开信息，上述同行业可比公司及标的公司的专利数量、技术储备、研发获奖情况、主要产品技术发展水平情况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42"/>
        <w:gridCol w:w="728"/>
        <w:gridCol w:w="1159"/>
        <w:gridCol w:w="2182"/>
        <w:gridCol w:w="1744"/>
        <w:gridCol w:w="2267"/>
      </w:tblGrid>
      <w:tr w:rsidR="00C02929" w14:paraId="09766190" w14:textId="77777777">
        <w:trPr>
          <w:trHeight w:val="397"/>
          <w:tblHeader/>
          <w:jc w:val="center"/>
        </w:trPr>
        <w:tc>
          <w:tcPr>
            <w:tcW w:w="259" w:type="pct"/>
            <w:tcBorders>
              <w:top w:val="single" w:sz="12" w:space="0" w:color="auto"/>
              <w:left w:val="nil"/>
              <w:bottom w:val="single" w:sz="4" w:space="0" w:color="auto"/>
              <w:right w:val="single" w:sz="4" w:space="0" w:color="auto"/>
            </w:tcBorders>
            <w:vAlign w:val="center"/>
          </w:tcPr>
          <w:bookmarkEnd w:id="27"/>
          <w:p w14:paraId="27A976A8"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序号</w:t>
            </w:r>
          </w:p>
        </w:tc>
        <w:tc>
          <w:tcPr>
            <w:tcW w:w="427" w:type="pct"/>
            <w:tcBorders>
              <w:top w:val="single" w:sz="12" w:space="0" w:color="auto"/>
              <w:left w:val="single" w:sz="4" w:space="0" w:color="auto"/>
              <w:bottom w:val="single" w:sz="4" w:space="0" w:color="auto"/>
              <w:right w:val="single" w:sz="4" w:space="0" w:color="auto"/>
            </w:tcBorders>
            <w:vAlign w:val="center"/>
          </w:tcPr>
          <w:p w14:paraId="2B39DCC8"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可比公司</w:t>
            </w:r>
          </w:p>
        </w:tc>
        <w:tc>
          <w:tcPr>
            <w:tcW w:w="680" w:type="pct"/>
            <w:tcBorders>
              <w:top w:val="single" w:sz="12" w:space="0" w:color="auto"/>
              <w:left w:val="single" w:sz="4" w:space="0" w:color="auto"/>
              <w:bottom w:val="single" w:sz="4" w:space="0" w:color="auto"/>
              <w:right w:val="single" w:sz="4" w:space="0" w:color="auto"/>
            </w:tcBorders>
            <w:vAlign w:val="center"/>
          </w:tcPr>
          <w:p w14:paraId="65D79EA6"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专利情况</w:t>
            </w:r>
          </w:p>
        </w:tc>
        <w:tc>
          <w:tcPr>
            <w:tcW w:w="1280" w:type="pct"/>
            <w:tcBorders>
              <w:top w:val="single" w:sz="12" w:space="0" w:color="auto"/>
              <w:left w:val="single" w:sz="4" w:space="0" w:color="auto"/>
              <w:bottom w:val="single" w:sz="4" w:space="0" w:color="auto"/>
              <w:right w:val="single" w:sz="4" w:space="0" w:color="auto"/>
            </w:tcBorders>
            <w:vAlign w:val="center"/>
          </w:tcPr>
          <w:p w14:paraId="1BEE36C6"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技术人员及研发投入</w:t>
            </w:r>
          </w:p>
        </w:tc>
        <w:tc>
          <w:tcPr>
            <w:tcW w:w="1023" w:type="pct"/>
            <w:tcBorders>
              <w:top w:val="single" w:sz="12" w:space="0" w:color="auto"/>
              <w:left w:val="single" w:sz="4" w:space="0" w:color="auto"/>
              <w:bottom w:val="single" w:sz="4" w:space="0" w:color="auto"/>
              <w:right w:val="single" w:sz="4" w:space="0" w:color="auto"/>
            </w:tcBorders>
            <w:vAlign w:val="center"/>
          </w:tcPr>
          <w:p w14:paraId="1CB8160F"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研发获奖情况</w:t>
            </w:r>
          </w:p>
        </w:tc>
        <w:tc>
          <w:tcPr>
            <w:tcW w:w="1330" w:type="pct"/>
            <w:tcBorders>
              <w:top w:val="single" w:sz="12" w:space="0" w:color="auto"/>
              <w:left w:val="single" w:sz="4" w:space="0" w:color="auto"/>
              <w:bottom w:val="single" w:sz="4" w:space="0" w:color="auto"/>
              <w:right w:val="nil"/>
            </w:tcBorders>
            <w:vAlign w:val="center"/>
          </w:tcPr>
          <w:p w14:paraId="5D3305E7"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主要产品技术发展水平</w:t>
            </w:r>
          </w:p>
        </w:tc>
      </w:tr>
      <w:tr w:rsidR="00C02929" w14:paraId="215C98DF"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1D898158"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w:t>
            </w:r>
          </w:p>
        </w:tc>
        <w:tc>
          <w:tcPr>
            <w:tcW w:w="427" w:type="pct"/>
            <w:tcBorders>
              <w:top w:val="single" w:sz="4" w:space="0" w:color="auto"/>
              <w:left w:val="single" w:sz="4" w:space="0" w:color="auto"/>
              <w:bottom w:val="single" w:sz="4" w:space="0" w:color="auto"/>
              <w:right w:val="single" w:sz="4" w:space="0" w:color="auto"/>
            </w:tcBorders>
            <w:vAlign w:val="center"/>
          </w:tcPr>
          <w:p w14:paraId="3F33D101"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埃斯顿</w:t>
            </w:r>
          </w:p>
        </w:tc>
        <w:tc>
          <w:tcPr>
            <w:tcW w:w="680" w:type="pct"/>
            <w:tcBorders>
              <w:top w:val="single" w:sz="4" w:space="0" w:color="auto"/>
              <w:left w:val="single" w:sz="4" w:space="0" w:color="auto"/>
              <w:bottom w:val="single" w:sz="4" w:space="0" w:color="auto"/>
              <w:right w:val="single" w:sz="4" w:space="0" w:color="auto"/>
            </w:tcBorders>
            <w:vAlign w:val="center"/>
          </w:tcPr>
          <w:p w14:paraId="41E5EA81"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6</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日，埃斯顿拥有软件著作权</w:t>
            </w:r>
            <w:r>
              <w:rPr>
                <w:rFonts w:ascii="Times New Roman" w:hAnsi="Times New Roman" w:cs="Times New Roman" w:hint="eastAsia"/>
                <w:color w:val="000000"/>
                <w:sz w:val="21"/>
                <w:szCs w:val="21"/>
                <w:lang w:bidi="ar"/>
              </w:rPr>
              <w:t>188</w:t>
            </w:r>
            <w:r>
              <w:rPr>
                <w:rFonts w:ascii="Times New Roman" w:hAnsi="Times New Roman" w:cs="Times New Roman" w:hint="eastAsia"/>
                <w:color w:val="000000"/>
                <w:sz w:val="21"/>
                <w:szCs w:val="21"/>
                <w:lang w:bidi="ar"/>
              </w:rPr>
              <w:t>件，拥有专利</w:t>
            </w:r>
            <w:r>
              <w:rPr>
                <w:rFonts w:ascii="Times New Roman" w:hAnsi="Times New Roman" w:cs="Times New Roman" w:hint="eastAsia"/>
                <w:color w:val="000000"/>
                <w:sz w:val="21"/>
                <w:szCs w:val="21"/>
                <w:lang w:bidi="ar"/>
              </w:rPr>
              <w:t>413</w:t>
            </w:r>
            <w:r>
              <w:rPr>
                <w:rFonts w:ascii="Times New Roman" w:hAnsi="Times New Roman" w:cs="Times New Roman" w:hint="eastAsia"/>
                <w:color w:val="000000"/>
                <w:sz w:val="21"/>
                <w:szCs w:val="21"/>
                <w:lang w:bidi="ar"/>
              </w:rPr>
              <w:t>件</w:t>
            </w:r>
          </w:p>
        </w:tc>
        <w:tc>
          <w:tcPr>
            <w:tcW w:w="1280" w:type="pct"/>
            <w:tcBorders>
              <w:top w:val="single" w:sz="4" w:space="0" w:color="auto"/>
              <w:left w:val="single" w:sz="4" w:space="0" w:color="auto"/>
              <w:bottom w:val="single" w:sz="4" w:space="0" w:color="auto"/>
              <w:right w:val="single" w:sz="4" w:space="0" w:color="auto"/>
            </w:tcBorders>
            <w:vAlign w:val="center"/>
          </w:tcPr>
          <w:p w14:paraId="2C623A38"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6</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日，埃斯顿拥有机器人及智能制造系统研发团队、智能控制核心控制部件研发团队以及欧洲研发中心三大研发团队；共有员工</w:t>
            </w:r>
            <w:r>
              <w:rPr>
                <w:rFonts w:ascii="Times New Roman" w:hAnsi="Times New Roman" w:cs="Times New Roman" w:hint="eastAsia"/>
                <w:color w:val="000000"/>
                <w:sz w:val="21"/>
                <w:szCs w:val="21"/>
                <w:lang w:bidi="ar"/>
              </w:rPr>
              <w:t>2,417</w:t>
            </w:r>
            <w:r>
              <w:rPr>
                <w:rFonts w:ascii="Times New Roman" w:hAnsi="Times New Roman" w:cs="Times New Roman" w:hint="eastAsia"/>
                <w:color w:val="000000"/>
                <w:sz w:val="21"/>
                <w:szCs w:val="21"/>
                <w:lang w:bidi="ar"/>
              </w:rPr>
              <w:t>人，其中研发及工程技术人员</w:t>
            </w:r>
            <w:r>
              <w:rPr>
                <w:rFonts w:ascii="Times New Roman" w:hAnsi="Times New Roman" w:cs="Times New Roman" w:hint="eastAsia"/>
                <w:color w:val="000000"/>
                <w:sz w:val="21"/>
                <w:szCs w:val="21"/>
                <w:lang w:bidi="ar"/>
              </w:rPr>
              <w:t>693</w:t>
            </w:r>
            <w:r>
              <w:rPr>
                <w:rFonts w:ascii="Times New Roman" w:hAnsi="Times New Roman" w:cs="Times New Roman" w:hint="eastAsia"/>
                <w:color w:val="000000"/>
                <w:sz w:val="21"/>
                <w:szCs w:val="21"/>
                <w:lang w:bidi="ar"/>
              </w:rPr>
              <w:t>名，占员工总数的</w:t>
            </w:r>
            <w:r>
              <w:rPr>
                <w:rFonts w:ascii="Times New Roman" w:hAnsi="Times New Roman" w:cs="Times New Roman" w:hint="eastAsia"/>
                <w:color w:val="000000"/>
                <w:sz w:val="21"/>
                <w:szCs w:val="21"/>
                <w:lang w:bidi="ar"/>
              </w:rPr>
              <w:t>28.67%</w:t>
            </w:r>
            <w:r>
              <w:rPr>
                <w:rFonts w:ascii="Times New Roman" w:hAnsi="Times New Roman" w:cs="Times New Roman" w:hint="eastAsia"/>
                <w:color w:val="000000"/>
                <w:sz w:val="21"/>
                <w:szCs w:val="21"/>
                <w:lang w:bidi="ar"/>
              </w:rPr>
              <w:t>；研发投入</w:t>
            </w:r>
            <w:r>
              <w:rPr>
                <w:rFonts w:ascii="Times New Roman" w:hAnsi="Times New Roman" w:cs="Times New Roman" w:hint="eastAsia"/>
                <w:color w:val="000000"/>
                <w:sz w:val="21"/>
                <w:szCs w:val="21"/>
                <w:lang w:bidi="ar"/>
              </w:rPr>
              <w:t>9,612.20</w:t>
            </w:r>
            <w:r>
              <w:rPr>
                <w:rFonts w:ascii="Times New Roman" w:hAnsi="Times New Roman" w:cs="Times New Roman" w:hint="eastAsia"/>
                <w:color w:val="000000"/>
                <w:sz w:val="21"/>
                <w:szCs w:val="21"/>
                <w:lang w:bidi="ar"/>
              </w:rPr>
              <w:t>万元，占收入比例的</w:t>
            </w:r>
            <w:r>
              <w:rPr>
                <w:rFonts w:ascii="Times New Roman" w:hAnsi="Times New Roman" w:cs="Times New Roman" w:hint="eastAsia"/>
                <w:color w:val="000000"/>
                <w:sz w:val="21"/>
                <w:szCs w:val="21"/>
                <w:lang w:bidi="ar"/>
              </w:rPr>
              <w:t>8.20%</w:t>
            </w:r>
          </w:p>
        </w:tc>
        <w:tc>
          <w:tcPr>
            <w:tcW w:w="1023" w:type="pct"/>
            <w:tcBorders>
              <w:top w:val="single" w:sz="4" w:space="0" w:color="auto"/>
              <w:left w:val="single" w:sz="4" w:space="0" w:color="auto"/>
              <w:bottom w:val="single" w:sz="4" w:space="0" w:color="auto"/>
              <w:right w:val="single" w:sz="4" w:space="0" w:color="auto"/>
            </w:tcBorders>
            <w:vAlign w:val="center"/>
          </w:tcPr>
          <w:p w14:paraId="4F604AA3"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年，埃斯顿被福布斯评为</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年中国最具创新力企业榜</w:t>
            </w:r>
            <w:r>
              <w:rPr>
                <w:rFonts w:ascii="Times New Roman" w:hAnsi="Times New Roman" w:cs="Times New Roman" w:hint="eastAsia"/>
                <w:color w:val="000000"/>
                <w:sz w:val="21"/>
                <w:szCs w:val="21"/>
                <w:lang w:bidi="ar"/>
              </w:rPr>
              <w:t>TOP50</w:t>
            </w:r>
            <w:r>
              <w:rPr>
                <w:rFonts w:ascii="Times New Roman" w:hAnsi="Times New Roman" w:cs="Times New Roman" w:hint="eastAsia"/>
                <w:color w:val="000000"/>
                <w:sz w:val="21"/>
                <w:szCs w:val="21"/>
                <w:lang w:bidi="ar"/>
              </w:rPr>
              <w:t>，为工信部力推的“中国机器人</w:t>
            </w:r>
            <w:r>
              <w:rPr>
                <w:rFonts w:ascii="Times New Roman" w:hAnsi="Times New Roman" w:cs="Times New Roman" w:hint="eastAsia"/>
                <w:color w:val="000000"/>
                <w:sz w:val="21"/>
                <w:szCs w:val="21"/>
                <w:lang w:bidi="ar"/>
              </w:rPr>
              <w:t>TOP10</w:t>
            </w:r>
            <w:r>
              <w:rPr>
                <w:rFonts w:ascii="Times New Roman" w:hAnsi="Times New Roman" w:cs="Times New Roman" w:hint="eastAsia"/>
                <w:color w:val="000000"/>
                <w:sz w:val="21"/>
                <w:szCs w:val="21"/>
                <w:lang w:bidi="ar"/>
              </w:rPr>
              <w:t>”标杆企业之一，同时入选国家工信部“绿色制造”名单，被评选为“国家知识产权优势企业”</w:t>
            </w:r>
          </w:p>
        </w:tc>
        <w:tc>
          <w:tcPr>
            <w:tcW w:w="1330" w:type="pct"/>
            <w:tcBorders>
              <w:top w:val="single" w:sz="4" w:space="0" w:color="auto"/>
              <w:left w:val="single" w:sz="4" w:space="0" w:color="auto"/>
              <w:bottom w:val="single" w:sz="4" w:space="0" w:color="auto"/>
              <w:right w:val="nil"/>
            </w:tcBorders>
            <w:vAlign w:val="center"/>
          </w:tcPr>
          <w:p w14:paraId="3C1C3651"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埃斯顿现有两大核心业务：其中自动化核心部件产品线已完成从交流伺服系统到运动控制系统解决方案的战略转型，业务模式正在实现从单轴—单机—单元的全面升华；工业机器人产品线在自主核心部件的支撑下形成核心部件</w:t>
            </w:r>
          </w:p>
        </w:tc>
      </w:tr>
      <w:tr w:rsidR="00C02929" w14:paraId="551E1FF6"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78615583"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w:t>
            </w:r>
          </w:p>
        </w:tc>
        <w:tc>
          <w:tcPr>
            <w:tcW w:w="427" w:type="pct"/>
            <w:tcBorders>
              <w:top w:val="single" w:sz="4" w:space="0" w:color="auto"/>
              <w:left w:val="single" w:sz="4" w:space="0" w:color="auto"/>
              <w:bottom w:val="single" w:sz="4" w:space="0" w:color="auto"/>
              <w:right w:val="single" w:sz="4" w:space="0" w:color="auto"/>
            </w:tcBorders>
            <w:vAlign w:val="center"/>
          </w:tcPr>
          <w:p w14:paraId="491A6CC3"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拓斯达</w:t>
            </w:r>
          </w:p>
        </w:tc>
        <w:tc>
          <w:tcPr>
            <w:tcW w:w="680" w:type="pct"/>
            <w:tcBorders>
              <w:top w:val="single" w:sz="4" w:space="0" w:color="auto"/>
              <w:left w:val="single" w:sz="4" w:space="0" w:color="auto"/>
              <w:bottom w:val="single" w:sz="4" w:space="0" w:color="auto"/>
              <w:right w:val="single" w:sz="4" w:space="0" w:color="auto"/>
            </w:tcBorders>
            <w:vAlign w:val="center"/>
          </w:tcPr>
          <w:p w14:paraId="15CB5D84"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日拓斯达拥有专利</w:t>
            </w:r>
            <w:r>
              <w:rPr>
                <w:rFonts w:ascii="Times New Roman" w:hAnsi="Times New Roman" w:cs="Times New Roman" w:hint="eastAsia"/>
                <w:color w:val="000000"/>
                <w:sz w:val="21"/>
                <w:szCs w:val="21"/>
                <w:lang w:bidi="ar"/>
              </w:rPr>
              <w:t>315</w:t>
            </w:r>
            <w:r>
              <w:rPr>
                <w:rFonts w:ascii="Times New Roman" w:hAnsi="Times New Roman" w:cs="Times New Roman" w:hint="eastAsia"/>
                <w:color w:val="000000"/>
                <w:sz w:val="21"/>
                <w:szCs w:val="21"/>
                <w:lang w:bidi="ar"/>
              </w:rPr>
              <w:t>项，其中发明专利</w:t>
            </w:r>
            <w:r>
              <w:rPr>
                <w:rFonts w:ascii="Times New Roman" w:hAnsi="Times New Roman" w:cs="Times New Roman" w:hint="eastAsia"/>
                <w:color w:val="000000"/>
                <w:sz w:val="21"/>
                <w:szCs w:val="21"/>
                <w:lang w:bidi="ar"/>
              </w:rPr>
              <w:t>13</w:t>
            </w:r>
            <w:r>
              <w:rPr>
                <w:rFonts w:ascii="Times New Roman" w:hAnsi="Times New Roman" w:cs="Times New Roman" w:hint="eastAsia"/>
                <w:color w:val="000000"/>
                <w:sz w:val="21"/>
                <w:szCs w:val="21"/>
                <w:lang w:bidi="ar"/>
              </w:rPr>
              <w:t>项，另有处于实审阶段的发明专利</w:t>
            </w:r>
            <w:r>
              <w:rPr>
                <w:rFonts w:ascii="Times New Roman" w:hAnsi="Times New Roman" w:cs="Times New Roman" w:hint="eastAsia"/>
                <w:color w:val="000000"/>
                <w:sz w:val="21"/>
                <w:szCs w:val="21"/>
                <w:lang w:bidi="ar"/>
              </w:rPr>
              <w:t>129</w:t>
            </w:r>
            <w:r>
              <w:rPr>
                <w:rFonts w:ascii="Times New Roman" w:hAnsi="Times New Roman" w:cs="Times New Roman" w:hint="eastAsia"/>
                <w:color w:val="000000"/>
                <w:sz w:val="21"/>
                <w:szCs w:val="21"/>
                <w:lang w:bidi="ar"/>
              </w:rPr>
              <w:t>项，以及软件著作权</w:t>
            </w:r>
            <w:r>
              <w:rPr>
                <w:rFonts w:ascii="Times New Roman" w:hAnsi="Times New Roman" w:cs="Times New Roman" w:hint="eastAsia"/>
                <w:color w:val="000000"/>
                <w:sz w:val="21"/>
                <w:szCs w:val="21"/>
                <w:lang w:bidi="ar"/>
              </w:rPr>
              <w:t>53</w:t>
            </w:r>
            <w:r>
              <w:rPr>
                <w:rFonts w:ascii="Times New Roman" w:hAnsi="Times New Roman" w:cs="Times New Roman" w:hint="eastAsia"/>
                <w:color w:val="000000"/>
                <w:sz w:val="21"/>
                <w:szCs w:val="21"/>
                <w:lang w:bidi="ar"/>
              </w:rPr>
              <w:t>项</w:t>
            </w:r>
          </w:p>
        </w:tc>
        <w:tc>
          <w:tcPr>
            <w:tcW w:w="1280" w:type="pct"/>
            <w:tcBorders>
              <w:top w:val="single" w:sz="4" w:space="0" w:color="auto"/>
              <w:left w:val="single" w:sz="4" w:space="0" w:color="auto"/>
              <w:bottom w:val="single" w:sz="4" w:space="0" w:color="auto"/>
              <w:right w:val="single" w:sz="4" w:space="0" w:color="auto"/>
            </w:tcBorders>
            <w:vAlign w:val="center"/>
          </w:tcPr>
          <w:p w14:paraId="35CF6147"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日，拓斯达拥有研发人员</w:t>
            </w:r>
            <w:r>
              <w:rPr>
                <w:rFonts w:ascii="Times New Roman" w:hAnsi="Times New Roman" w:cs="Times New Roman" w:hint="eastAsia"/>
                <w:color w:val="000000"/>
                <w:sz w:val="21"/>
                <w:szCs w:val="21"/>
                <w:lang w:bidi="ar"/>
              </w:rPr>
              <w:t>795</w:t>
            </w:r>
            <w:r>
              <w:rPr>
                <w:rFonts w:ascii="Times New Roman" w:hAnsi="Times New Roman" w:cs="Times New Roman" w:hint="eastAsia"/>
                <w:color w:val="000000"/>
                <w:sz w:val="21"/>
                <w:szCs w:val="21"/>
                <w:lang w:bidi="ar"/>
              </w:rPr>
              <w:t>人，占总员工人数比例达</w:t>
            </w:r>
            <w:r>
              <w:rPr>
                <w:rFonts w:ascii="Times New Roman" w:hAnsi="Times New Roman" w:cs="Times New Roman" w:hint="eastAsia"/>
                <w:color w:val="000000"/>
                <w:sz w:val="21"/>
                <w:szCs w:val="21"/>
                <w:lang w:bidi="ar"/>
              </w:rPr>
              <w:t>32.61%</w:t>
            </w:r>
            <w:r>
              <w:rPr>
                <w:rFonts w:ascii="Times New Roman" w:hAnsi="Times New Roman" w:cs="Times New Roman" w:hint="eastAsia"/>
                <w:color w:val="000000"/>
                <w:sz w:val="21"/>
                <w:szCs w:val="21"/>
                <w:lang w:bidi="ar"/>
              </w:rPr>
              <w:t>；研发费用投入</w:t>
            </w:r>
            <w:r>
              <w:rPr>
                <w:rFonts w:ascii="Times New Roman" w:hAnsi="Times New Roman" w:cs="Times New Roman" w:hint="eastAsia"/>
                <w:color w:val="000000"/>
                <w:sz w:val="21"/>
                <w:szCs w:val="21"/>
                <w:lang w:bidi="ar"/>
              </w:rPr>
              <w:t>12,606.82</w:t>
            </w:r>
            <w:r>
              <w:rPr>
                <w:rFonts w:ascii="Times New Roman" w:hAnsi="Times New Roman" w:cs="Times New Roman" w:hint="eastAsia"/>
                <w:color w:val="000000"/>
                <w:sz w:val="21"/>
                <w:szCs w:val="21"/>
                <w:lang w:bidi="ar"/>
              </w:rPr>
              <w:t>万元，研发费用占营业收入的比重为</w:t>
            </w:r>
            <w:r>
              <w:rPr>
                <w:rFonts w:ascii="Times New Roman" w:hAnsi="Times New Roman" w:cs="Times New Roman" w:hint="eastAsia"/>
                <w:color w:val="000000"/>
                <w:sz w:val="21"/>
                <w:szCs w:val="21"/>
                <w:lang w:bidi="ar"/>
              </w:rPr>
              <w:t>6.21%</w:t>
            </w:r>
          </w:p>
        </w:tc>
        <w:tc>
          <w:tcPr>
            <w:tcW w:w="1023" w:type="pct"/>
            <w:tcBorders>
              <w:top w:val="single" w:sz="4" w:space="0" w:color="auto"/>
              <w:left w:val="single" w:sz="4" w:space="0" w:color="auto"/>
              <w:bottom w:val="single" w:sz="4" w:space="0" w:color="auto"/>
              <w:right w:val="single" w:sz="4" w:space="0" w:color="auto"/>
            </w:tcBorders>
            <w:vAlign w:val="center"/>
          </w:tcPr>
          <w:p w14:paraId="6FD3AFD7"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拓斯达是国家高新技术企业、广东省级企业技术中心中国机器人产业联盟理事单位、广东省工业互联网产业联盟会员单位，连续多年获得行业媒体金球奖等认可</w:t>
            </w:r>
          </w:p>
        </w:tc>
        <w:tc>
          <w:tcPr>
            <w:tcW w:w="1330" w:type="pct"/>
            <w:tcBorders>
              <w:top w:val="single" w:sz="4" w:space="0" w:color="auto"/>
              <w:left w:val="single" w:sz="4" w:space="0" w:color="auto"/>
              <w:bottom w:val="single" w:sz="4" w:space="0" w:color="auto"/>
              <w:right w:val="nil"/>
            </w:tcBorders>
            <w:vAlign w:val="center"/>
          </w:tcPr>
          <w:p w14:paraId="270DBD26"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拓斯达目前主要拥有</w:t>
            </w:r>
            <w:r>
              <w:rPr>
                <w:rFonts w:ascii="Times New Roman" w:hAnsi="Times New Roman" w:cs="Times New Roman" w:hint="eastAsia"/>
                <w:color w:val="000000"/>
                <w:sz w:val="21"/>
                <w:szCs w:val="21"/>
                <w:lang w:bidi="ar"/>
              </w:rPr>
              <w:t>10</w:t>
            </w:r>
            <w:r>
              <w:rPr>
                <w:rFonts w:ascii="Times New Roman" w:hAnsi="Times New Roman" w:cs="Times New Roman" w:hint="eastAsia"/>
                <w:color w:val="000000"/>
                <w:sz w:val="21"/>
                <w:szCs w:val="21"/>
                <w:lang w:bidi="ar"/>
              </w:rPr>
              <w:t>项核心技术，如玻璃</w:t>
            </w:r>
            <w:r>
              <w:rPr>
                <w:rFonts w:ascii="Times New Roman" w:hAnsi="Times New Roman" w:cs="Times New Roman" w:hint="eastAsia"/>
                <w:color w:val="000000"/>
                <w:sz w:val="21"/>
                <w:szCs w:val="21"/>
                <w:lang w:bidi="ar"/>
              </w:rPr>
              <w:t>AOI</w:t>
            </w:r>
            <w:r>
              <w:rPr>
                <w:rFonts w:ascii="Times New Roman" w:hAnsi="Times New Roman" w:cs="Times New Roman" w:hint="eastAsia"/>
                <w:color w:val="000000"/>
                <w:sz w:val="21"/>
                <w:szCs w:val="21"/>
                <w:lang w:bidi="ar"/>
              </w:rPr>
              <w:t>检测自动上料收料系统、清洗机和</w:t>
            </w:r>
            <w:r>
              <w:rPr>
                <w:rFonts w:ascii="Times New Roman" w:hAnsi="Times New Roman" w:cs="Times New Roman" w:hint="eastAsia"/>
                <w:color w:val="000000"/>
                <w:sz w:val="21"/>
                <w:szCs w:val="21"/>
                <w:lang w:bidi="ar"/>
              </w:rPr>
              <w:t>AOI</w:t>
            </w:r>
            <w:r>
              <w:rPr>
                <w:rFonts w:ascii="Times New Roman" w:hAnsi="Times New Roman" w:cs="Times New Roman" w:hint="eastAsia"/>
                <w:color w:val="000000"/>
                <w:sz w:val="21"/>
                <w:szCs w:val="21"/>
                <w:lang w:bidi="ar"/>
              </w:rPr>
              <w:t>检测机之间的驳接机构、防二次不良的玻璃传输装置等</w:t>
            </w:r>
          </w:p>
        </w:tc>
      </w:tr>
      <w:tr w:rsidR="00C02929" w14:paraId="00E6B269"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7FBD134E"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3</w:t>
            </w:r>
          </w:p>
        </w:tc>
        <w:tc>
          <w:tcPr>
            <w:tcW w:w="427" w:type="pct"/>
            <w:tcBorders>
              <w:top w:val="single" w:sz="4" w:space="0" w:color="auto"/>
              <w:left w:val="single" w:sz="4" w:space="0" w:color="auto"/>
              <w:bottom w:val="single" w:sz="4" w:space="0" w:color="auto"/>
              <w:right w:val="single" w:sz="4" w:space="0" w:color="auto"/>
            </w:tcBorders>
            <w:vAlign w:val="center"/>
          </w:tcPr>
          <w:p w14:paraId="139A899B"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永创智能</w:t>
            </w:r>
          </w:p>
        </w:tc>
        <w:tc>
          <w:tcPr>
            <w:tcW w:w="680" w:type="pct"/>
            <w:tcBorders>
              <w:top w:val="single" w:sz="4" w:space="0" w:color="auto"/>
              <w:left w:val="single" w:sz="4" w:space="0" w:color="auto"/>
              <w:bottom w:val="single" w:sz="4" w:space="0" w:color="auto"/>
              <w:right w:val="single" w:sz="4" w:space="0" w:color="auto"/>
            </w:tcBorders>
            <w:vAlign w:val="center"/>
          </w:tcPr>
          <w:p w14:paraId="2A9DB2F0"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年末，永创智能拥有专利、软件著作权共</w:t>
            </w:r>
            <w:r>
              <w:rPr>
                <w:rFonts w:ascii="Times New Roman" w:hAnsi="Times New Roman" w:cs="Times New Roman" w:hint="eastAsia"/>
                <w:color w:val="000000"/>
                <w:sz w:val="21"/>
                <w:szCs w:val="21"/>
                <w:lang w:bidi="ar"/>
              </w:rPr>
              <w:t>565</w:t>
            </w:r>
            <w:r>
              <w:rPr>
                <w:rFonts w:ascii="Times New Roman" w:hAnsi="Times New Roman" w:cs="Times New Roman" w:hint="eastAsia"/>
                <w:color w:val="000000"/>
                <w:sz w:val="21"/>
                <w:szCs w:val="21"/>
                <w:lang w:bidi="ar"/>
              </w:rPr>
              <w:t>项，其中发明专利</w:t>
            </w:r>
            <w:r>
              <w:rPr>
                <w:rFonts w:ascii="Times New Roman" w:hAnsi="Times New Roman" w:cs="Times New Roman" w:hint="eastAsia"/>
                <w:color w:val="000000"/>
                <w:sz w:val="21"/>
                <w:szCs w:val="21"/>
                <w:lang w:bidi="ar"/>
              </w:rPr>
              <w:t>71</w:t>
            </w:r>
            <w:r>
              <w:rPr>
                <w:rFonts w:ascii="Times New Roman" w:hAnsi="Times New Roman" w:cs="Times New Roman" w:hint="eastAsia"/>
                <w:color w:val="000000"/>
                <w:sz w:val="21"/>
                <w:szCs w:val="21"/>
                <w:lang w:bidi="ar"/>
              </w:rPr>
              <w:t>项，商标</w:t>
            </w:r>
            <w:r>
              <w:rPr>
                <w:rFonts w:ascii="Times New Roman" w:hAnsi="Times New Roman" w:cs="Times New Roman" w:hint="eastAsia"/>
                <w:color w:val="000000"/>
                <w:sz w:val="21"/>
                <w:szCs w:val="21"/>
                <w:lang w:bidi="ar"/>
              </w:rPr>
              <w:t>60</w:t>
            </w:r>
            <w:r>
              <w:rPr>
                <w:rFonts w:ascii="Times New Roman" w:hAnsi="Times New Roman" w:cs="Times New Roman" w:hint="eastAsia"/>
                <w:color w:val="000000"/>
                <w:sz w:val="21"/>
                <w:szCs w:val="21"/>
                <w:lang w:bidi="ar"/>
              </w:rPr>
              <w:t>余项</w:t>
            </w:r>
          </w:p>
        </w:tc>
        <w:tc>
          <w:tcPr>
            <w:tcW w:w="1280" w:type="pct"/>
            <w:tcBorders>
              <w:top w:val="single" w:sz="4" w:space="0" w:color="auto"/>
              <w:left w:val="single" w:sz="4" w:space="0" w:color="auto"/>
              <w:bottom w:val="single" w:sz="4" w:space="0" w:color="auto"/>
              <w:right w:val="single" w:sz="4" w:space="0" w:color="auto"/>
            </w:tcBorders>
            <w:vAlign w:val="center"/>
          </w:tcPr>
          <w:p w14:paraId="7EE65A6E"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年末，永创智能技术研发人员共</w:t>
            </w:r>
            <w:r>
              <w:rPr>
                <w:rFonts w:ascii="Times New Roman" w:hAnsi="Times New Roman" w:cs="Times New Roman" w:hint="eastAsia"/>
                <w:color w:val="000000"/>
                <w:sz w:val="21"/>
                <w:szCs w:val="21"/>
                <w:lang w:bidi="ar"/>
              </w:rPr>
              <w:t>672</w:t>
            </w:r>
            <w:r>
              <w:rPr>
                <w:rFonts w:ascii="Times New Roman" w:hAnsi="Times New Roman" w:cs="Times New Roman" w:hint="eastAsia"/>
                <w:color w:val="000000"/>
                <w:sz w:val="21"/>
                <w:szCs w:val="21"/>
                <w:lang w:bidi="ar"/>
              </w:rPr>
              <w:t>人，占总人数的</w:t>
            </w:r>
            <w:r>
              <w:rPr>
                <w:rFonts w:ascii="Times New Roman" w:hAnsi="Times New Roman" w:cs="Times New Roman" w:hint="eastAsia"/>
                <w:color w:val="000000"/>
                <w:sz w:val="21"/>
                <w:szCs w:val="21"/>
                <w:lang w:bidi="ar"/>
              </w:rPr>
              <w:t>21.74%</w:t>
            </w:r>
            <w:r>
              <w:rPr>
                <w:rFonts w:ascii="Times New Roman" w:hAnsi="Times New Roman" w:cs="Times New Roman" w:hint="eastAsia"/>
                <w:color w:val="000000"/>
                <w:sz w:val="21"/>
                <w:szCs w:val="21"/>
                <w:lang w:bidi="ar"/>
              </w:rPr>
              <w:t>，较</w:t>
            </w:r>
            <w:r>
              <w:rPr>
                <w:rFonts w:ascii="Times New Roman" w:hAnsi="Times New Roman" w:cs="Times New Roman" w:hint="eastAsia"/>
                <w:color w:val="000000"/>
                <w:sz w:val="21"/>
                <w:szCs w:val="21"/>
                <w:lang w:bidi="ar"/>
              </w:rPr>
              <w:t>2018</w:t>
            </w:r>
            <w:r>
              <w:rPr>
                <w:rFonts w:ascii="Times New Roman" w:hAnsi="Times New Roman" w:cs="Times New Roman" w:hint="eastAsia"/>
                <w:color w:val="000000"/>
                <w:sz w:val="21"/>
                <w:szCs w:val="21"/>
                <w:lang w:bidi="ar"/>
              </w:rPr>
              <w:t>年新增</w:t>
            </w:r>
            <w:r>
              <w:rPr>
                <w:rFonts w:ascii="Times New Roman" w:hAnsi="Times New Roman" w:cs="Times New Roman" w:hint="eastAsia"/>
                <w:color w:val="000000"/>
                <w:sz w:val="21"/>
                <w:szCs w:val="21"/>
                <w:lang w:bidi="ar"/>
              </w:rPr>
              <w:t>102</w:t>
            </w:r>
            <w:r>
              <w:rPr>
                <w:rFonts w:ascii="Times New Roman" w:hAnsi="Times New Roman" w:cs="Times New Roman" w:hint="eastAsia"/>
                <w:color w:val="000000"/>
                <w:sz w:val="21"/>
                <w:szCs w:val="21"/>
                <w:lang w:bidi="ar"/>
              </w:rPr>
              <w:t>名技术人员；</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1-9</w:t>
            </w:r>
            <w:r>
              <w:rPr>
                <w:rFonts w:ascii="Times New Roman" w:hAnsi="Times New Roman" w:cs="Times New Roman" w:hint="eastAsia"/>
                <w:color w:val="000000"/>
                <w:sz w:val="21"/>
                <w:szCs w:val="21"/>
                <w:lang w:bidi="ar"/>
              </w:rPr>
              <w:t>月，研发费用投入</w:t>
            </w:r>
            <w:r>
              <w:rPr>
                <w:rFonts w:ascii="Times New Roman" w:hAnsi="Times New Roman" w:cs="Times New Roman" w:hint="eastAsia"/>
                <w:color w:val="000000"/>
                <w:sz w:val="21"/>
                <w:szCs w:val="21"/>
                <w:lang w:bidi="ar"/>
              </w:rPr>
              <w:t>6,588.92</w:t>
            </w:r>
            <w:r>
              <w:rPr>
                <w:rFonts w:ascii="Times New Roman" w:hAnsi="Times New Roman" w:cs="Times New Roman" w:hint="eastAsia"/>
                <w:color w:val="000000"/>
                <w:sz w:val="21"/>
                <w:szCs w:val="21"/>
                <w:lang w:bidi="ar"/>
              </w:rPr>
              <w:t>万元，研发费用占营业收入的比重为</w:t>
            </w:r>
            <w:r>
              <w:rPr>
                <w:rFonts w:ascii="Times New Roman" w:hAnsi="Times New Roman" w:cs="Times New Roman" w:hint="eastAsia"/>
                <w:color w:val="000000"/>
                <w:sz w:val="21"/>
                <w:szCs w:val="21"/>
                <w:lang w:bidi="ar"/>
              </w:rPr>
              <w:t>4.82%</w:t>
            </w:r>
          </w:p>
        </w:tc>
        <w:tc>
          <w:tcPr>
            <w:tcW w:w="1023" w:type="pct"/>
            <w:tcBorders>
              <w:top w:val="single" w:sz="4" w:space="0" w:color="auto"/>
              <w:left w:val="single" w:sz="4" w:space="0" w:color="auto"/>
              <w:bottom w:val="single" w:sz="4" w:space="0" w:color="auto"/>
              <w:right w:val="single" w:sz="4" w:space="0" w:color="auto"/>
            </w:tcBorders>
            <w:vAlign w:val="center"/>
          </w:tcPr>
          <w:p w14:paraId="66282578" w14:textId="77777777" w:rsidR="00C02929" w:rsidRDefault="006116D1">
            <w:pPr>
              <w:wordWrap w:val="0"/>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永创智能</w:t>
            </w:r>
            <w:r>
              <w:rPr>
                <w:rFonts w:ascii="Times New Roman" w:hAnsi="Times New Roman" w:cs="Times New Roman" w:hint="eastAsia"/>
                <w:color w:val="000000"/>
                <w:sz w:val="21"/>
                <w:szCs w:val="21"/>
                <w:lang w:bidi="ar"/>
              </w:rPr>
              <w:t>2008</w:t>
            </w:r>
            <w:r>
              <w:rPr>
                <w:rFonts w:ascii="Times New Roman" w:hAnsi="Times New Roman" w:cs="Times New Roman" w:hint="eastAsia"/>
                <w:color w:val="000000"/>
                <w:sz w:val="21"/>
                <w:szCs w:val="21"/>
                <w:lang w:bidi="ar"/>
              </w:rPr>
              <w:t>年被评为国家高新技术企业，</w:t>
            </w:r>
            <w:r>
              <w:rPr>
                <w:rFonts w:ascii="Times New Roman" w:hAnsi="Times New Roman" w:cs="Times New Roman" w:hint="eastAsia"/>
                <w:color w:val="000000"/>
                <w:sz w:val="21"/>
                <w:szCs w:val="21"/>
                <w:lang w:bidi="ar"/>
              </w:rPr>
              <w:t>2010</w:t>
            </w:r>
            <w:r>
              <w:rPr>
                <w:rFonts w:ascii="Times New Roman" w:hAnsi="Times New Roman" w:cs="Times New Roman" w:hint="eastAsia"/>
                <w:color w:val="000000"/>
                <w:sz w:val="21"/>
                <w:szCs w:val="21"/>
                <w:lang w:bidi="ar"/>
              </w:rPr>
              <w:t>年被评为国家火炬计划重点高新技术企业，其主持制定的《机械式自动捆扎机》（</w:t>
            </w:r>
            <w:r>
              <w:rPr>
                <w:rFonts w:ascii="Times New Roman" w:hAnsi="Times New Roman" w:cs="Times New Roman" w:hint="eastAsia"/>
                <w:color w:val="000000"/>
                <w:sz w:val="21"/>
                <w:szCs w:val="21"/>
                <w:lang w:bidi="ar"/>
              </w:rPr>
              <w:t>JB/T3790.1-2004</w:t>
            </w:r>
            <w:r>
              <w:rPr>
                <w:rFonts w:ascii="Times New Roman" w:hAnsi="Times New Roman" w:cs="Times New Roman" w:hint="eastAsia"/>
                <w:color w:val="000000"/>
                <w:sz w:val="21"/>
                <w:szCs w:val="21"/>
                <w:lang w:bidi="ar"/>
              </w:rPr>
              <w:t>）行业标准获得中国标准创新贡献奖三等奖</w:t>
            </w:r>
          </w:p>
        </w:tc>
        <w:tc>
          <w:tcPr>
            <w:tcW w:w="1330" w:type="pct"/>
            <w:tcBorders>
              <w:top w:val="single" w:sz="4" w:space="0" w:color="auto"/>
              <w:left w:val="single" w:sz="4" w:space="0" w:color="auto"/>
              <w:bottom w:val="single" w:sz="4" w:space="0" w:color="auto"/>
              <w:right w:val="nil"/>
            </w:tcBorders>
            <w:vAlign w:val="center"/>
          </w:tcPr>
          <w:p w14:paraId="2D326202"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永创智能自主研发的彩盒柔性智能包装装备、纸包机、新型捆扎机产品技术达到国际领先水平；纸箱成型机、纸片式包装机、全自动装箱机、装盒机、包膜热收缩机等技术水平国内领先</w:t>
            </w:r>
          </w:p>
        </w:tc>
      </w:tr>
      <w:tr w:rsidR="00C02929" w14:paraId="779BA947" w14:textId="77777777">
        <w:trPr>
          <w:trHeight w:val="397"/>
          <w:jc w:val="center"/>
        </w:trPr>
        <w:tc>
          <w:tcPr>
            <w:tcW w:w="259" w:type="pct"/>
            <w:tcBorders>
              <w:top w:val="single" w:sz="4" w:space="0" w:color="auto"/>
              <w:left w:val="nil"/>
              <w:bottom w:val="single" w:sz="4" w:space="0" w:color="auto"/>
              <w:right w:val="single" w:sz="4" w:space="0" w:color="auto"/>
            </w:tcBorders>
            <w:vAlign w:val="center"/>
          </w:tcPr>
          <w:p w14:paraId="2D5704CB"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lastRenderedPageBreak/>
              <w:t>4</w:t>
            </w:r>
          </w:p>
        </w:tc>
        <w:tc>
          <w:tcPr>
            <w:tcW w:w="427" w:type="pct"/>
            <w:tcBorders>
              <w:top w:val="single" w:sz="4" w:space="0" w:color="auto"/>
              <w:left w:val="single" w:sz="4" w:space="0" w:color="auto"/>
              <w:bottom w:val="single" w:sz="4" w:space="0" w:color="auto"/>
              <w:right w:val="single" w:sz="4" w:space="0" w:color="auto"/>
            </w:tcBorders>
            <w:vAlign w:val="center"/>
          </w:tcPr>
          <w:p w14:paraId="7E5F9E62"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快克股份</w:t>
            </w:r>
          </w:p>
        </w:tc>
        <w:tc>
          <w:tcPr>
            <w:tcW w:w="680" w:type="pct"/>
            <w:tcBorders>
              <w:top w:val="single" w:sz="4" w:space="0" w:color="auto"/>
              <w:left w:val="single" w:sz="4" w:space="0" w:color="auto"/>
              <w:bottom w:val="single" w:sz="4" w:space="0" w:color="auto"/>
              <w:right w:val="single" w:sz="4" w:space="0" w:color="auto"/>
            </w:tcBorders>
            <w:vAlign w:val="center"/>
          </w:tcPr>
          <w:p w14:paraId="354C1B9D"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年末，快克股份拥有专利</w:t>
            </w:r>
            <w:r>
              <w:rPr>
                <w:rFonts w:ascii="Times New Roman" w:hAnsi="Times New Roman" w:cs="Times New Roman" w:hint="eastAsia"/>
                <w:color w:val="000000"/>
                <w:sz w:val="21"/>
                <w:szCs w:val="21"/>
                <w:lang w:bidi="ar"/>
              </w:rPr>
              <w:t>64</w:t>
            </w:r>
            <w:r>
              <w:rPr>
                <w:rFonts w:ascii="Times New Roman" w:hAnsi="Times New Roman" w:cs="Times New Roman" w:hint="eastAsia"/>
                <w:color w:val="000000"/>
                <w:sz w:val="21"/>
                <w:szCs w:val="21"/>
                <w:lang w:bidi="ar"/>
              </w:rPr>
              <w:t>项，软件著作权</w:t>
            </w:r>
            <w:r>
              <w:rPr>
                <w:rFonts w:ascii="Times New Roman" w:hAnsi="Times New Roman" w:cs="Times New Roman" w:hint="eastAsia"/>
                <w:color w:val="000000"/>
                <w:sz w:val="21"/>
                <w:szCs w:val="21"/>
                <w:lang w:bidi="ar"/>
              </w:rPr>
              <w:t>18</w:t>
            </w:r>
            <w:r>
              <w:rPr>
                <w:rFonts w:ascii="Times New Roman" w:hAnsi="Times New Roman" w:cs="Times New Roman" w:hint="eastAsia"/>
                <w:color w:val="000000"/>
                <w:sz w:val="21"/>
                <w:szCs w:val="21"/>
                <w:lang w:bidi="ar"/>
              </w:rPr>
              <w:t>项</w:t>
            </w:r>
          </w:p>
        </w:tc>
        <w:tc>
          <w:tcPr>
            <w:tcW w:w="1280" w:type="pct"/>
            <w:tcBorders>
              <w:top w:val="single" w:sz="4" w:space="0" w:color="auto"/>
              <w:left w:val="single" w:sz="4" w:space="0" w:color="auto"/>
              <w:bottom w:val="single" w:sz="4" w:space="0" w:color="auto"/>
              <w:right w:val="single" w:sz="4" w:space="0" w:color="auto"/>
            </w:tcBorders>
            <w:vAlign w:val="center"/>
          </w:tcPr>
          <w:p w14:paraId="43CC1799"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年末，快克股份技术研发人员共</w:t>
            </w:r>
            <w:r>
              <w:rPr>
                <w:rFonts w:ascii="Times New Roman" w:hAnsi="Times New Roman" w:cs="Times New Roman" w:hint="eastAsia"/>
                <w:color w:val="000000"/>
                <w:sz w:val="21"/>
                <w:szCs w:val="21"/>
                <w:lang w:bidi="ar"/>
              </w:rPr>
              <w:t>126</w:t>
            </w:r>
            <w:r>
              <w:rPr>
                <w:rFonts w:ascii="Times New Roman" w:hAnsi="Times New Roman" w:cs="Times New Roman" w:hint="eastAsia"/>
                <w:color w:val="000000"/>
                <w:sz w:val="21"/>
                <w:szCs w:val="21"/>
                <w:lang w:bidi="ar"/>
              </w:rPr>
              <w:t>人，占总人数的</w:t>
            </w:r>
            <w:r>
              <w:rPr>
                <w:rFonts w:ascii="Times New Roman" w:hAnsi="Times New Roman" w:cs="Times New Roman" w:hint="eastAsia"/>
                <w:color w:val="000000"/>
                <w:sz w:val="21"/>
                <w:szCs w:val="21"/>
                <w:lang w:bidi="ar"/>
              </w:rPr>
              <w:t>17.43%</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年快克股份研发支出投入</w:t>
            </w:r>
            <w:r>
              <w:rPr>
                <w:rFonts w:ascii="Times New Roman" w:hAnsi="Times New Roman" w:cs="Times New Roman" w:hint="eastAsia"/>
                <w:color w:val="000000"/>
                <w:sz w:val="21"/>
                <w:szCs w:val="21"/>
                <w:lang w:bidi="ar"/>
              </w:rPr>
              <w:t>2,788.63</w:t>
            </w:r>
            <w:r>
              <w:rPr>
                <w:rFonts w:ascii="Times New Roman" w:hAnsi="Times New Roman" w:cs="Times New Roman" w:hint="eastAsia"/>
                <w:color w:val="000000"/>
                <w:sz w:val="21"/>
                <w:szCs w:val="21"/>
                <w:lang w:bidi="ar"/>
              </w:rPr>
              <w:t>万元，较上年同期增长</w:t>
            </w:r>
            <w:r>
              <w:rPr>
                <w:rFonts w:ascii="Times New Roman" w:hAnsi="Times New Roman" w:cs="Times New Roman" w:hint="eastAsia"/>
                <w:color w:val="000000"/>
                <w:sz w:val="21"/>
                <w:szCs w:val="21"/>
                <w:lang w:bidi="ar"/>
              </w:rPr>
              <w:t>7.39%</w:t>
            </w:r>
            <w:r>
              <w:rPr>
                <w:rFonts w:ascii="Times New Roman" w:hAnsi="Times New Roman" w:cs="Times New Roman" w:hint="eastAsia"/>
                <w:color w:val="000000"/>
                <w:sz w:val="21"/>
                <w:szCs w:val="21"/>
                <w:lang w:bidi="ar"/>
              </w:rPr>
              <w:t>，占当期营业收入的</w:t>
            </w:r>
            <w:r>
              <w:rPr>
                <w:rFonts w:ascii="Times New Roman" w:hAnsi="Times New Roman" w:cs="Times New Roman" w:hint="eastAsia"/>
                <w:color w:val="000000"/>
                <w:sz w:val="21"/>
                <w:szCs w:val="21"/>
                <w:lang w:bidi="ar"/>
              </w:rPr>
              <w:t>6.05%</w:t>
            </w:r>
          </w:p>
        </w:tc>
        <w:tc>
          <w:tcPr>
            <w:tcW w:w="1023" w:type="pct"/>
            <w:tcBorders>
              <w:top w:val="single" w:sz="4" w:space="0" w:color="auto"/>
              <w:left w:val="single" w:sz="4" w:space="0" w:color="auto"/>
              <w:bottom w:val="single" w:sz="4" w:space="0" w:color="auto"/>
              <w:right w:val="single" w:sz="4" w:space="0" w:color="auto"/>
            </w:tcBorders>
            <w:vAlign w:val="center"/>
          </w:tcPr>
          <w:p w14:paraId="07B21FF4"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快克股份被江苏省锡焊自动化工程技术研究中心及江苏省企业技术中心认定为</w:t>
            </w:r>
            <w:r>
              <w:rPr>
                <w:rFonts w:ascii="Times New Roman" w:hAnsi="Times New Roman" w:cs="Times New Roman" w:hint="eastAsia"/>
                <w:color w:val="000000"/>
                <w:sz w:val="21"/>
                <w:szCs w:val="21"/>
                <w:lang w:bidi="ar"/>
              </w:rPr>
              <w:t>2017</w:t>
            </w:r>
            <w:r>
              <w:rPr>
                <w:rFonts w:ascii="Times New Roman" w:hAnsi="Times New Roman" w:cs="Times New Roman" w:hint="eastAsia"/>
                <w:color w:val="000000"/>
                <w:sz w:val="21"/>
                <w:szCs w:val="21"/>
                <w:lang w:bidi="ar"/>
              </w:rPr>
              <w:t>中国智能制造百强企业，是中国电子专用设备工业协会理事单位、中国机器人产业联盟理事单位</w:t>
            </w:r>
          </w:p>
        </w:tc>
        <w:tc>
          <w:tcPr>
            <w:tcW w:w="1330" w:type="pct"/>
            <w:tcBorders>
              <w:top w:val="single" w:sz="4" w:space="0" w:color="auto"/>
              <w:left w:val="single" w:sz="4" w:space="0" w:color="auto"/>
              <w:bottom w:val="single" w:sz="4" w:space="0" w:color="auto"/>
              <w:right w:val="nil"/>
            </w:tcBorders>
            <w:vAlign w:val="center"/>
          </w:tcPr>
          <w:p w14:paraId="57807F2C"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快克股份在激光锡球焊接、旋转式送料气吹吸螺丝锁付机构等方面取得技术突破；在激光锡丝焊系统、激光喷锡焊系统等方面创新或升级软件版本</w:t>
            </w:r>
          </w:p>
        </w:tc>
      </w:tr>
      <w:tr w:rsidR="00C02929" w14:paraId="353E2AA1" w14:textId="77777777">
        <w:trPr>
          <w:trHeight w:val="397"/>
          <w:jc w:val="center"/>
        </w:trPr>
        <w:tc>
          <w:tcPr>
            <w:tcW w:w="259" w:type="pct"/>
            <w:tcBorders>
              <w:top w:val="single" w:sz="4" w:space="0" w:color="auto"/>
              <w:left w:val="nil"/>
              <w:bottom w:val="single" w:sz="12" w:space="0" w:color="auto"/>
              <w:right w:val="single" w:sz="4" w:space="0" w:color="auto"/>
            </w:tcBorders>
            <w:vAlign w:val="center"/>
          </w:tcPr>
          <w:p w14:paraId="29B9F105"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5</w:t>
            </w:r>
          </w:p>
        </w:tc>
        <w:tc>
          <w:tcPr>
            <w:tcW w:w="427" w:type="pct"/>
            <w:tcBorders>
              <w:top w:val="single" w:sz="4" w:space="0" w:color="auto"/>
              <w:left w:val="single" w:sz="4" w:space="0" w:color="auto"/>
              <w:bottom w:val="single" w:sz="12" w:space="0" w:color="auto"/>
              <w:right w:val="single" w:sz="4" w:space="0" w:color="auto"/>
            </w:tcBorders>
            <w:vAlign w:val="center"/>
          </w:tcPr>
          <w:p w14:paraId="5D6019C4"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机器人</w:t>
            </w:r>
          </w:p>
        </w:tc>
        <w:tc>
          <w:tcPr>
            <w:tcW w:w="680" w:type="pct"/>
            <w:tcBorders>
              <w:top w:val="single" w:sz="4" w:space="0" w:color="auto"/>
              <w:left w:val="single" w:sz="4" w:space="0" w:color="auto"/>
              <w:bottom w:val="single" w:sz="12" w:space="0" w:color="auto"/>
              <w:right w:val="single" w:sz="4" w:space="0" w:color="auto"/>
            </w:tcBorders>
            <w:vAlign w:val="center"/>
          </w:tcPr>
          <w:p w14:paraId="4AC962F2"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日，机器人拥有专利</w:t>
            </w:r>
            <w:r>
              <w:rPr>
                <w:rFonts w:ascii="Times New Roman" w:hAnsi="Times New Roman" w:cs="Times New Roman" w:hint="eastAsia"/>
                <w:color w:val="000000"/>
                <w:sz w:val="21"/>
                <w:szCs w:val="21"/>
                <w:lang w:bidi="ar"/>
              </w:rPr>
              <w:t>5</w:t>
            </w:r>
            <w:r>
              <w:rPr>
                <w:rFonts w:ascii="Times New Roman" w:hAnsi="Times New Roman" w:cs="Times New Roman" w:hint="eastAsia"/>
                <w:color w:val="000000"/>
                <w:sz w:val="21"/>
                <w:szCs w:val="21"/>
                <w:lang w:bidi="ar"/>
              </w:rPr>
              <w:t>项，软件著作权</w:t>
            </w:r>
            <w:r>
              <w:rPr>
                <w:rFonts w:ascii="Times New Roman" w:hAnsi="Times New Roman" w:cs="Times New Roman" w:hint="eastAsia"/>
                <w:color w:val="000000"/>
                <w:sz w:val="21"/>
                <w:szCs w:val="21"/>
                <w:lang w:bidi="ar"/>
              </w:rPr>
              <w:t>6</w:t>
            </w:r>
            <w:r>
              <w:rPr>
                <w:rFonts w:ascii="Times New Roman" w:hAnsi="Times New Roman" w:cs="Times New Roman" w:hint="eastAsia"/>
                <w:color w:val="000000"/>
                <w:sz w:val="21"/>
                <w:szCs w:val="21"/>
                <w:lang w:bidi="ar"/>
              </w:rPr>
              <w:t>项</w:t>
            </w:r>
          </w:p>
        </w:tc>
        <w:tc>
          <w:tcPr>
            <w:tcW w:w="1280" w:type="pct"/>
            <w:tcBorders>
              <w:top w:val="single" w:sz="4" w:space="0" w:color="auto"/>
              <w:left w:val="single" w:sz="4" w:space="0" w:color="auto"/>
              <w:bottom w:val="single" w:sz="12" w:space="0" w:color="auto"/>
              <w:right w:val="single" w:sz="4" w:space="0" w:color="auto"/>
            </w:tcBorders>
            <w:vAlign w:val="center"/>
          </w:tcPr>
          <w:p w14:paraId="2AE5C996"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9</w:t>
            </w:r>
            <w:r>
              <w:rPr>
                <w:rFonts w:ascii="Times New Roman" w:hAnsi="Times New Roman" w:cs="Times New Roman" w:hint="eastAsia"/>
                <w:color w:val="000000"/>
                <w:sz w:val="21"/>
                <w:szCs w:val="21"/>
                <w:lang w:bidi="ar"/>
              </w:rPr>
              <w:t>月末，机器人研发费用为</w:t>
            </w:r>
            <w:r>
              <w:rPr>
                <w:rFonts w:ascii="Times New Roman" w:hAnsi="Times New Roman" w:cs="Times New Roman" w:hint="eastAsia"/>
                <w:color w:val="000000"/>
                <w:sz w:val="21"/>
                <w:szCs w:val="21"/>
                <w:lang w:bidi="ar"/>
              </w:rPr>
              <w:t>9,119.08</w:t>
            </w:r>
            <w:r>
              <w:rPr>
                <w:rFonts w:ascii="Times New Roman" w:hAnsi="Times New Roman" w:cs="Times New Roman" w:hint="eastAsia"/>
                <w:color w:val="000000"/>
                <w:sz w:val="21"/>
                <w:szCs w:val="21"/>
                <w:lang w:bidi="ar"/>
              </w:rPr>
              <w:t>万元，拥有科研技术人员</w:t>
            </w:r>
            <w:r>
              <w:rPr>
                <w:rFonts w:ascii="Times New Roman" w:hAnsi="Times New Roman" w:cs="Times New Roman" w:hint="eastAsia"/>
                <w:color w:val="000000"/>
                <w:sz w:val="21"/>
                <w:szCs w:val="21"/>
                <w:lang w:bidi="ar"/>
              </w:rPr>
              <w:t>2,807</w:t>
            </w:r>
            <w:r>
              <w:rPr>
                <w:rFonts w:ascii="Times New Roman" w:hAnsi="Times New Roman" w:cs="Times New Roman" w:hint="eastAsia"/>
                <w:color w:val="000000"/>
                <w:sz w:val="21"/>
                <w:szCs w:val="21"/>
                <w:lang w:bidi="ar"/>
              </w:rPr>
              <w:t>人，其中具有软件方面开发能力的专业人才队伍近</w:t>
            </w:r>
            <w:r>
              <w:rPr>
                <w:rFonts w:ascii="Times New Roman" w:hAnsi="Times New Roman" w:cs="Times New Roman" w:hint="eastAsia"/>
                <w:color w:val="000000"/>
                <w:sz w:val="21"/>
                <w:szCs w:val="21"/>
                <w:lang w:bidi="ar"/>
              </w:rPr>
              <w:t>400</w:t>
            </w:r>
            <w:r>
              <w:rPr>
                <w:rFonts w:ascii="Times New Roman" w:hAnsi="Times New Roman" w:cs="Times New Roman" w:hint="eastAsia"/>
                <w:color w:val="000000"/>
                <w:sz w:val="21"/>
                <w:szCs w:val="21"/>
                <w:lang w:bidi="ar"/>
              </w:rPr>
              <w:t>人，目前已经形成了</w:t>
            </w:r>
            <w:r>
              <w:rPr>
                <w:rFonts w:ascii="Times New Roman" w:hAnsi="Times New Roman" w:cs="Times New Roman" w:hint="eastAsia"/>
                <w:color w:val="000000"/>
                <w:sz w:val="21"/>
                <w:szCs w:val="21"/>
                <w:lang w:bidi="ar"/>
              </w:rPr>
              <w:t>241</w:t>
            </w:r>
            <w:r>
              <w:rPr>
                <w:rFonts w:ascii="Times New Roman" w:hAnsi="Times New Roman" w:cs="Times New Roman" w:hint="eastAsia"/>
                <w:color w:val="000000"/>
                <w:sz w:val="21"/>
                <w:szCs w:val="21"/>
                <w:lang w:bidi="ar"/>
              </w:rPr>
              <w:t>人的国家级集成电路自动化装备专业人才队伍</w:t>
            </w:r>
          </w:p>
        </w:tc>
        <w:tc>
          <w:tcPr>
            <w:tcW w:w="1023" w:type="pct"/>
            <w:tcBorders>
              <w:top w:val="single" w:sz="4" w:space="0" w:color="auto"/>
              <w:left w:val="single" w:sz="4" w:space="0" w:color="auto"/>
              <w:bottom w:val="single" w:sz="12" w:space="0" w:color="auto"/>
              <w:right w:val="single" w:sz="4" w:space="0" w:color="auto"/>
            </w:tcBorders>
            <w:vAlign w:val="center"/>
          </w:tcPr>
          <w:p w14:paraId="4C735A01"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机器人获得机器人国家工程研究中心、国家认定企业技术中心、国家科技进步二等奖；中国机械工业联合会科技进步三等奖；中国专利优秀奖；沈阳市科技进步一等奖；辽宁省科技进步一等奖；辽宁省技术发明三等奖</w:t>
            </w:r>
          </w:p>
        </w:tc>
        <w:tc>
          <w:tcPr>
            <w:tcW w:w="1330" w:type="pct"/>
            <w:tcBorders>
              <w:top w:val="single" w:sz="4" w:space="0" w:color="auto"/>
              <w:left w:val="single" w:sz="4" w:space="0" w:color="auto"/>
              <w:bottom w:val="single" w:sz="12" w:space="0" w:color="auto"/>
              <w:right w:val="nil"/>
            </w:tcBorders>
            <w:vAlign w:val="center"/>
          </w:tcPr>
          <w:p w14:paraId="0050C264"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机器人先后攻克了大规模车辆的集群调度技术、复杂路径下的物料搬送路径规划技术等一系列关键技术。其半导体物料管理控制系统的简化版本</w:t>
            </w:r>
            <w:r>
              <w:rPr>
                <w:rFonts w:ascii="Times New Roman" w:hAnsi="Times New Roman" w:cs="Times New Roman" w:hint="eastAsia"/>
                <w:color w:val="000000"/>
                <w:sz w:val="21"/>
                <w:szCs w:val="21"/>
                <w:lang w:bidi="ar"/>
              </w:rPr>
              <w:t>ACS</w:t>
            </w:r>
            <w:r>
              <w:rPr>
                <w:rFonts w:ascii="Times New Roman" w:hAnsi="Times New Roman" w:cs="Times New Roman" w:hint="eastAsia"/>
                <w:color w:val="000000"/>
                <w:sz w:val="21"/>
                <w:szCs w:val="21"/>
                <w:lang w:bidi="ar"/>
              </w:rPr>
              <w:t>已成功实现在上海集成电路研发中心、赛意法等半导体芯片加工厂的应用；面向面板制造厂开发的掩模版自动物料管理控制系统已经华星光电和广州</w:t>
            </w:r>
            <w:r>
              <w:rPr>
                <w:rFonts w:ascii="Times New Roman" w:hAnsi="Times New Roman" w:cs="Times New Roman" w:hint="eastAsia"/>
                <w:color w:val="000000"/>
                <w:sz w:val="21"/>
                <w:szCs w:val="21"/>
                <w:lang w:bidi="ar"/>
              </w:rPr>
              <w:t>SDP</w:t>
            </w:r>
            <w:r>
              <w:rPr>
                <w:rFonts w:ascii="Times New Roman" w:hAnsi="Times New Roman" w:cs="Times New Roman" w:hint="eastAsia"/>
                <w:color w:val="000000"/>
                <w:sz w:val="21"/>
                <w:szCs w:val="21"/>
                <w:lang w:bidi="ar"/>
              </w:rPr>
              <w:t>厂实现成熟应用</w:t>
            </w:r>
          </w:p>
        </w:tc>
      </w:tr>
    </w:tbl>
    <w:p w14:paraId="2CF63417"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三、标的资产属于“家电行业的领先企业”、“研发实力出色”的依据</w:t>
      </w:r>
    </w:p>
    <w:p w14:paraId="7C3910CC" w14:textId="77777777" w:rsidR="00C02929" w:rsidRDefault="006116D1">
      <w:pPr>
        <w:spacing w:beforeLines="50" w:before="156" w:line="360" w:lineRule="auto"/>
        <w:ind w:firstLineChars="200" w:firstLine="482"/>
        <w:jc w:val="both"/>
        <w:rPr>
          <w:rFonts w:ascii="Times New Roman" w:hAnsi="Times New Roman" w:cs="Times New Roman"/>
          <w:b/>
          <w:bCs/>
          <w:color w:val="000000"/>
          <w:szCs w:val="21"/>
        </w:rPr>
      </w:pPr>
      <w:r>
        <w:rPr>
          <w:rFonts w:ascii="Times New Roman" w:hAnsi="Times New Roman" w:cs="Times New Roman" w:hint="eastAsia"/>
          <w:b/>
          <w:bCs/>
          <w:color w:val="000000"/>
          <w:szCs w:val="21"/>
        </w:rPr>
        <w:t>1</w:t>
      </w:r>
      <w:r>
        <w:rPr>
          <w:rFonts w:ascii="Times New Roman" w:hAnsi="Times New Roman" w:cs="Times New Roman" w:hint="eastAsia"/>
          <w:b/>
          <w:bCs/>
          <w:color w:val="000000"/>
          <w:szCs w:val="21"/>
        </w:rPr>
        <w:t>、标的公司专利数量、技术储备、研发获奖情况、主要产品技术发展水平</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27"/>
        <w:gridCol w:w="1166"/>
        <w:gridCol w:w="1744"/>
        <w:gridCol w:w="1744"/>
        <w:gridCol w:w="3141"/>
      </w:tblGrid>
      <w:tr w:rsidR="00C02929" w14:paraId="3A35B3C8" w14:textId="77777777">
        <w:trPr>
          <w:trHeight w:val="397"/>
          <w:tblHeader/>
          <w:jc w:val="center"/>
        </w:trPr>
        <w:tc>
          <w:tcPr>
            <w:tcW w:w="427" w:type="pct"/>
            <w:tcBorders>
              <w:top w:val="single" w:sz="12" w:space="0" w:color="auto"/>
              <w:left w:val="nil"/>
              <w:bottom w:val="single" w:sz="4" w:space="0" w:color="auto"/>
              <w:right w:val="single" w:sz="4" w:space="0" w:color="auto"/>
            </w:tcBorders>
            <w:vAlign w:val="center"/>
          </w:tcPr>
          <w:p w14:paraId="34465606" w14:textId="77777777" w:rsidR="00C02929" w:rsidRDefault="006116D1">
            <w:pPr>
              <w:adjustRightInd w:val="0"/>
              <w:snapToGrid w:val="0"/>
              <w:jc w:val="center"/>
              <w:rPr>
                <w:rFonts w:ascii="Times New Roman" w:hAnsi="Times New Roman" w:cs="Times New Roman"/>
                <w:b/>
                <w:bCs/>
                <w:color w:val="000000"/>
                <w:sz w:val="21"/>
                <w:szCs w:val="21"/>
                <w:lang w:bidi="ar"/>
              </w:rPr>
            </w:pPr>
            <w:bookmarkStart w:id="28" w:name="_Hlk66794917"/>
            <w:r>
              <w:rPr>
                <w:rFonts w:ascii="Times New Roman" w:hAnsi="Times New Roman" w:cs="Times New Roman" w:hint="eastAsia"/>
                <w:b/>
                <w:bCs/>
                <w:color w:val="000000"/>
                <w:sz w:val="21"/>
                <w:szCs w:val="21"/>
                <w:lang w:bidi="ar"/>
              </w:rPr>
              <w:t>公司名称</w:t>
            </w:r>
          </w:p>
        </w:tc>
        <w:tc>
          <w:tcPr>
            <w:tcW w:w="684" w:type="pct"/>
            <w:tcBorders>
              <w:top w:val="single" w:sz="12" w:space="0" w:color="auto"/>
              <w:left w:val="single" w:sz="4" w:space="0" w:color="auto"/>
              <w:bottom w:val="single" w:sz="4" w:space="0" w:color="auto"/>
              <w:right w:val="single" w:sz="4" w:space="0" w:color="auto"/>
            </w:tcBorders>
            <w:vAlign w:val="center"/>
          </w:tcPr>
          <w:p w14:paraId="095EFE06"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专利情况</w:t>
            </w:r>
          </w:p>
        </w:tc>
        <w:tc>
          <w:tcPr>
            <w:tcW w:w="1023" w:type="pct"/>
            <w:tcBorders>
              <w:top w:val="single" w:sz="12" w:space="0" w:color="auto"/>
              <w:left w:val="single" w:sz="4" w:space="0" w:color="auto"/>
              <w:bottom w:val="single" w:sz="4" w:space="0" w:color="auto"/>
              <w:right w:val="single" w:sz="4" w:space="0" w:color="auto"/>
            </w:tcBorders>
            <w:vAlign w:val="center"/>
          </w:tcPr>
          <w:p w14:paraId="1C43D77E"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技术人员及研发投入</w:t>
            </w:r>
          </w:p>
        </w:tc>
        <w:tc>
          <w:tcPr>
            <w:tcW w:w="1023" w:type="pct"/>
            <w:tcBorders>
              <w:top w:val="single" w:sz="12" w:space="0" w:color="auto"/>
              <w:left w:val="single" w:sz="4" w:space="0" w:color="auto"/>
              <w:bottom w:val="single" w:sz="4" w:space="0" w:color="auto"/>
              <w:right w:val="single" w:sz="4" w:space="0" w:color="auto"/>
            </w:tcBorders>
            <w:vAlign w:val="center"/>
          </w:tcPr>
          <w:p w14:paraId="71AEAFCC"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研发获奖情况</w:t>
            </w:r>
          </w:p>
        </w:tc>
        <w:tc>
          <w:tcPr>
            <w:tcW w:w="1843" w:type="pct"/>
            <w:tcBorders>
              <w:top w:val="single" w:sz="12" w:space="0" w:color="auto"/>
              <w:left w:val="single" w:sz="4" w:space="0" w:color="auto"/>
              <w:bottom w:val="single" w:sz="4" w:space="0" w:color="auto"/>
              <w:right w:val="nil"/>
            </w:tcBorders>
            <w:vAlign w:val="center"/>
          </w:tcPr>
          <w:p w14:paraId="559B19B2"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主要产品技术发展水平</w:t>
            </w:r>
          </w:p>
        </w:tc>
      </w:tr>
      <w:tr w:rsidR="00C02929" w14:paraId="45B039E3" w14:textId="77777777">
        <w:trPr>
          <w:trHeight w:val="397"/>
          <w:jc w:val="center"/>
        </w:trPr>
        <w:tc>
          <w:tcPr>
            <w:tcW w:w="427" w:type="pct"/>
            <w:tcBorders>
              <w:top w:val="single" w:sz="4" w:space="0" w:color="auto"/>
              <w:left w:val="nil"/>
              <w:bottom w:val="single" w:sz="12" w:space="0" w:color="auto"/>
              <w:right w:val="single" w:sz="4" w:space="0" w:color="auto"/>
            </w:tcBorders>
            <w:vAlign w:val="center"/>
          </w:tcPr>
          <w:p w14:paraId="393ECBA2"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北洋天青</w:t>
            </w:r>
          </w:p>
        </w:tc>
        <w:tc>
          <w:tcPr>
            <w:tcW w:w="684" w:type="pct"/>
            <w:tcBorders>
              <w:top w:val="single" w:sz="4" w:space="0" w:color="auto"/>
              <w:left w:val="single" w:sz="4" w:space="0" w:color="auto"/>
              <w:bottom w:val="single" w:sz="12" w:space="0" w:color="auto"/>
              <w:right w:val="single" w:sz="4" w:space="0" w:color="auto"/>
            </w:tcBorders>
            <w:vAlign w:val="center"/>
          </w:tcPr>
          <w:p w14:paraId="3916E6BC"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截至本核查意见出具日，北洋天青已获得专利</w:t>
            </w:r>
            <w:r>
              <w:rPr>
                <w:rFonts w:ascii="Times New Roman" w:hAnsi="Times New Roman" w:cs="Times New Roman" w:hint="eastAsia"/>
                <w:color w:val="000000"/>
                <w:sz w:val="21"/>
                <w:szCs w:val="21"/>
                <w:lang w:bidi="ar"/>
              </w:rPr>
              <w:t>3</w:t>
            </w:r>
            <w:r>
              <w:rPr>
                <w:rFonts w:ascii="Times New Roman" w:hAnsi="Times New Roman" w:cs="Times New Roman" w:hint="eastAsia"/>
                <w:color w:val="000000"/>
                <w:sz w:val="21"/>
                <w:szCs w:val="21"/>
                <w:lang w:bidi="ar"/>
              </w:rPr>
              <w:t>项以及软件著作权</w:t>
            </w:r>
            <w:r>
              <w:rPr>
                <w:rFonts w:ascii="Times New Roman" w:hAnsi="Times New Roman" w:cs="Times New Roman" w:hint="eastAsia"/>
                <w:color w:val="000000"/>
                <w:sz w:val="21"/>
                <w:szCs w:val="21"/>
                <w:lang w:bidi="ar"/>
              </w:rPr>
              <w:t>8</w:t>
            </w:r>
            <w:r>
              <w:rPr>
                <w:rFonts w:ascii="Times New Roman" w:hAnsi="Times New Roman" w:cs="Times New Roman" w:hint="eastAsia"/>
                <w:color w:val="000000"/>
                <w:sz w:val="21"/>
                <w:szCs w:val="21"/>
                <w:lang w:bidi="ar"/>
              </w:rPr>
              <w:t>项，同时正在申请的专利有</w:t>
            </w:r>
            <w:r>
              <w:rPr>
                <w:rFonts w:ascii="Times New Roman" w:hAnsi="Times New Roman" w:cs="Times New Roman" w:hint="eastAsia"/>
                <w:color w:val="000000"/>
                <w:sz w:val="21"/>
                <w:szCs w:val="21"/>
                <w:lang w:bidi="ar"/>
              </w:rPr>
              <w:t>20</w:t>
            </w:r>
            <w:r>
              <w:rPr>
                <w:rFonts w:ascii="Times New Roman" w:hAnsi="Times New Roman" w:cs="Times New Roman" w:hint="eastAsia"/>
                <w:color w:val="000000"/>
                <w:sz w:val="21"/>
                <w:szCs w:val="21"/>
                <w:lang w:bidi="ar"/>
              </w:rPr>
              <w:t>项</w:t>
            </w:r>
          </w:p>
        </w:tc>
        <w:tc>
          <w:tcPr>
            <w:tcW w:w="1023" w:type="pct"/>
            <w:tcBorders>
              <w:top w:val="single" w:sz="4" w:space="0" w:color="auto"/>
              <w:left w:val="single" w:sz="4" w:space="0" w:color="auto"/>
              <w:bottom w:val="single" w:sz="12" w:space="0" w:color="auto"/>
              <w:right w:val="single" w:sz="4" w:space="0" w:color="auto"/>
            </w:tcBorders>
            <w:vAlign w:val="center"/>
          </w:tcPr>
          <w:p w14:paraId="3E9E8ED1"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截至</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12</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31</w:t>
            </w:r>
            <w:r>
              <w:rPr>
                <w:rFonts w:ascii="Times New Roman" w:hAnsi="Times New Roman" w:cs="Times New Roman" w:hint="eastAsia"/>
                <w:color w:val="000000"/>
                <w:sz w:val="21"/>
                <w:szCs w:val="21"/>
                <w:lang w:bidi="ar"/>
              </w:rPr>
              <w:t>日，北洋天青拥有研发人员</w:t>
            </w:r>
            <w:r>
              <w:rPr>
                <w:rFonts w:ascii="Times New Roman" w:hAnsi="Times New Roman" w:cs="Times New Roman" w:hint="eastAsia"/>
                <w:color w:val="000000"/>
                <w:sz w:val="21"/>
                <w:szCs w:val="21"/>
                <w:lang w:bidi="ar"/>
              </w:rPr>
              <w:t>40</w:t>
            </w:r>
            <w:r>
              <w:rPr>
                <w:rFonts w:ascii="Times New Roman" w:hAnsi="Times New Roman" w:cs="Times New Roman" w:hint="eastAsia"/>
                <w:color w:val="000000"/>
                <w:sz w:val="21"/>
                <w:szCs w:val="21"/>
                <w:lang w:bidi="ar"/>
              </w:rPr>
              <w:t>人，占总职工人数的</w:t>
            </w:r>
            <w:r>
              <w:rPr>
                <w:rFonts w:ascii="Times New Roman" w:hAnsi="Times New Roman" w:cs="Times New Roman"/>
                <w:color w:val="000000"/>
                <w:sz w:val="21"/>
                <w:szCs w:val="21"/>
              </w:rPr>
              <w:t>23.67%</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2018</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2019</w:t>
            </w:r>
            <w:r>
              <w:rPr>
                <w:rFonts w:ascii="Times New Roman" w:hAnsi="Times New Roman" w:cs="Times New Roman" w:hint="eastAsia"/>
                <w:color w:val="000000"/>
                <w:sz w:val="21"/>
                <w:szCs w:val="21"/>
                <w:lang w:bidi="ar"/>
              </w:rPr>
              <w:t>年及</w:t>
            </w:r>
            <w:r>
              <w:rPr>
                <w:rFonts w:ascii="Times New Roman" w:hAnsi="Times New Roman" w:cs="Times New Roman" w:hint="eastAsia"/>
                <w:color w:val="000000"/>
                <w:sz w:val="21"/>
                <w:szCs w:val="21"/>
                <w:lang w:bidi="ar"/>
              </w:rPr>
              <w:t>2020</w:t>
            </w:r>
            <w:r>
              <w:rPr>
                <w:rFonts w:ascii="Times New Roman" w:hAnsi="Times New Roman" w:cs="Times New Roman" w:hint="eastAsia"/>
                <w:color w:val="000000"/>
                <w:sz w:val="21"/>
                <w:szCs w:val="21"/>
                <w:lang w:bidi="ar"/>
              </w:rPr>
              <w:t>年度，北洋天青研发费用分别为</w:t>
            </w:r>
            <w:r>
              <w:rPr>
                <w:rFonts w:ascii="Times New Roman" w:hAnsi="Times New Roman" w:cs="Times New Roman" w:hint="eastAsia"/>
                <w:color w:val="000000"/>
                <w:sz w:val="21"/>
                <w:szCs w:val="21"/>
                <w:lang w:bidi="ar"/>
              </w:rPr>
              <w:t>362.23</w:t>
            </w:r>
            <w:r>
              <w:rPr>
                <w:rFonts w:ascii="Times New Roman" w:hAnsi="Times New Roman" w:cs="Times New Roman" w:hint="eastAsia"/>
                <w:color w:val="000000"/>
                <w:sz w:val="21"/>
                <w:szCs w:val="21"/>
                <w:lang w:bidi="ar"/>
              </w:rPr>
              <w:t>万元、</w:t>
            </w:r>
            <w:r>
              <w:rPr>
                <w:rFonts w:ascii="Times New Roman" w:hAnsi="Times New Roman" w:cs="Times New Roman" w:hint="eastAsia"/>
                <w:color w:val="000000"/>
                <w:sz w:val="21"/>
                <w:szCs w:val="21"/>
                <w:lang w:bidi="ar"/>
              </w:rPr>
              <w:t>825.35</w:t>
            </w:r>
            <w:r>
              <w:rPr>
                <w:rFonts w:ascii="Times New Roman" w:hAnsi="Times New Roman" w:cs="Times New Roman" w:hint="eastAsia"/>
                <w:color w:val="000000"/>
                <w:sz w:val="21"/>
                <w:szCs w:val="21"/>
                <w:lang w:bidi="ar"/>
              </w:rPr>
              <w:t>万元和</w:t>
            </w:r>
            <w:r>
              <w:rPr>
                <w:rFonts w:ascii="Times New Roman" w:hAnsi="Times New Roman" w:cs="Times New Roman" w:hint="eastAsia"/>
                <w:color w:val="000000"/>
                <w:sz w:val="21"/>
                <w:szCs w:val="21"/>
                <w:lang w:bidi="ar"/>
              </w:rPr>
              <w:t>958.90</w:t>
            </w:r>
            <w:r>
              <w:rPr>
                <w:rFonts w:ascii="Times New Roman" w:hAnsi="Times New Roman" w:cs="Times New Roman" w:hint="eastAsia"/>
                <w:color w:val="000000"/>
                <w:sz w:val="21"/>
                <w:szCs w:val="21"/>
                <w:lang w:bidi="ar"/>
              </w:rPr>
              <w:t>万元，占营业收入比例分别为</w:t>
            </w:r>
            <w:r>
              <w:rPr>
                <w:rFonts w:ascii="Times New Roman" w:hAnsi="Times New Roman" w:cs="Times New Roman" w:hint="eastAsia"/>
                <w:color w:val="000000"/>
                <w:sz w:val="21"/>
                <w:szCs w:val="21"/>
                <w:lang w:bidi="ar"/>
              </w:rPr>
              <w:t>5.93%</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7.99%</w:t>
            </w:r>
            <w:r>
              <w:rPr>
                <w:rFonts w:ascii="Times New Roman" w:hAnsi="Times New Roman" w:cs="Times New Roman" w:hint="eastAsia"/>
                <w:color w:val="000000"/>
                <w:sz w:val="21"/>
                <w:szCs w:val="21"/>
                <w:lang w:bidi="ar"/>
              </w:rPr>
              <w:t>和</w:t>
            </w:r>
            <w:r>
              <w:rPr>
                <w:rFonts w:ascii="Times New Roman" w:hAnsi="Times New Roman" w:cs="Times New Roman" w:hint="eastAsia"/>
                <w:color w:val="000000"/>
                <w:sz w:val="21"/>
                <w:szCs w:val="21"/>
                <w:lang w:bidi="ar"/>
              </w:rPr>
              <w:t>6.37%</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lastRenderedPageBreak/>
              <w:t>研发费用投入逐年上升</w:t>
            </w:r>
          </w:p>
        </w:tc>
        <w:tc>
          <w:tcPr>
            <w:tcW w:w="1023" w:type="pct"/>
            <w:tcBorders>
              <w:top w:val="single" w:sz="4" w:space="0" w:color="auto"/>
              <w:left w:val="single" w:sz="4" w:space="0" w:color="auto"/>
              <w:bottom w:val="single" w:sz="12" w:space="0" w:color="auto"/>
              <w:right w:val="single" w:sz="4" w:space="0" w:color="auto"/>
            </w:tcBorders>
            <w:vAlign w:val="center"/>
          </w:tcPr>
          <w:p w14:paraId="63D9BD91"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lastRenderedPageBreak/>
              <w:t>2018</w:t>
            </w:r>
            <w:r>
              <w:rPr>
                <w:rFonts w:ascii="Times New Roman" w:hAnsi="Times New Roman" w:cs="Times New Roman" w:hint="eastAsia"/>
                <w:color w:val="000000"/>
                <w:sz w:val="21"/>
                <w:szCs w:val="21"/>
                <w:lang w:bidi="ar"/>
              </w:rPr>
              <w:t>年</w:t>
            </w:r>
            <w:r>
              <w:rPr>
                <w:rFonts w:ascii="Times New Roman" w:hAnsi="Times New Roman" w:cs="Times New Roman" w:hint="eastAsia"/>
                <w:color w:val="000000"/>
                <w:sz w:val="21"/>
                <w:szCs w:val="21"/>
                <w:lang w:bidi="ar"/>
              </w:rPr>
              <w:t>11</w:t>
            </w:r>
            <w:r>
              <w:rPr>
                <w:rFonts w:ascii="Times New Roman" w:hAnsi="Times New Roman" w:cs="Times New Roman" w:hint="eastAsia"/>
                <w:color w:val="000000"/>
                <w:sz w:val="21"/>
                <w:szCs w:val="21"/>
                <w:lang w:bidi="ar"/>
              </w:rPr>
              <w:t>月</w:t>
            </w:r>
            <w:r>
              <w:rPr>
                <w:rFonts w:ascii="Times New Roman" w:hAnsi="Times New Roman" w:cs="Times New Roman" w:hint="eastAsia"/>
                <w:color w:val="000000"/>
                <w:sz w:val="21"/>
                <w:szCs w:val="21"/>
                <w:lang w:bidi="ar"/>
              </w:rPr>
              <w:t>30</w:t>
            </w:r>
            <w:r>
              <w:rPr>
                <w:rFonts w:ascii="Times New Roman" w:hAnsi="Times New Roman" w:cs="Times New Roman" w:hint="eastAsia"/>
                <w:color w:val="000000"/>
                <w:sz w:val="21"/>
                <w:szCs w:val="21"/>
                <w:lang w:bidi="ar"/>
              </w:rPr>
              <w:t>日，北洋天青获得高新技术企业复审认定，连续多年成为高新技术企业；其自主研发设计的家电行业机器人智能化总装线被评为青岛市专精特新产品；其主导的《工业机器人主体设计与制造》获得青岛市科学</w:t>
            </w:r>
            <w:r>
              <w:rPr>
                <w:rFonts w:ascii="Times New Roman" w:hAnsi="Times New Roman" w:cs="Times New Roman" w:hint="eastAsia"/>
                <w:color w:val="000000"/>
                <w:sz w:val="21"/>
                <w:szCs w:val="21"/>
                <w:lang w:bidi="ar"/>
              </w:rPr>
              <w:lastRenderedPageBreak/>
              <w:t>技术奖，其为中国机器人产业联盟会员单位</w:t>
            </w:r>
          </w:p>
        </w:tc>
        <w:tc>
          <w:tcPr>
            <w:tcW w:w="1843" w:type="pct"/>
            <w:tcBorders>
              <w:top w:val="single" w:sz="4" w:space="0" w:color="auto"/>
              <w:left w:val="single" w:sz="4" w:space="0" w:color="auto"/>
              <w:bottom w:val="single" w:sz="12" w:space="0" w:color="auto"/>
              <w:right w:val="nil"/>
            </w:tcBorders>
            <w:vAlign w:val="center"/>
          </w:tcPr>
          <w:p w14:paraId="334A551E" w14:textId="77777777" w:rsidR="00C02929" w:rsidRDefault="006116D1">
            <w:pPr>
              <w:adjustRightInd w:val="0"/>
              <w:snapToGrid w:val="0"/>
              <w:jc w:val="both"/>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lastRenderedPageBreak/>
              <w:t>北洋天青聚焦工业自动化领域，形成工业机器人本体及系统集成、智能制造装备、机器视觉、测试系统集成、模具立体库自动换模系统、物流悬挂输送系统和企业信息化七大业务板块的产品线；研发团队主要在机器人应用、悬挂链输送及互联工厂方面进行团队建设和项目研发，在设备开发升级的同时将研发成果直接进行产业化应用，达成客户的多维度需求。北洋天青主要的相关信息化软件系统主要体现在自行开发的</w:t>
            </w:r>
            <w:r>
              <w:rPr>
                <w:rFonts w:ascii="Times New Roman" w:hAnsi="Times New Roman" w:cs="Times New Roman" w:hint="eastAsia"/>
                <w:color w:val="000000"/>
                <w:sz w:val="21"/>
                <w:szCs w:val="21"/>
                <w:lang w:bidi="ar"/>
              </w:rPr>
              <w:t>APS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MES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lastRenderedPageBreak/>
              <w:t>SCADA</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WMS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WCS</w:t>
            </w:r>
            <w:r>
              <w:rPr>
                <w:rFonts w:ascii="Times New Roman" w:hAnsi="Times New Roman" w:cs="Times New Roman" w:hint="eastAsia"/>
                <w:color w:val="000000"/>
                <w:sz w:val="21"/>
                <w:szCs w:val="21"/>
                <w:lang w:bidi="ar"/>
              </w:rPr>
              <w:t>、</w:t>
            </w:r>
            <w:r>
              <w:rPr>
                <w:rFonts w:ascii="Times New Roman" w:hAnsi="Times New Roman" w:cs="Times New Roman" w:hint="eastAsia"/>
                <w:color w:val="000000"/>
                <w:sz w:val="21"/>
                <w:szCs w:val="21"/>
                <w:lang w:bidi="ar"/>
              </w:rPr>
              <w:t>RFS</w:t>
            </w:r>
            <w:r>
              <w:rPr>
                <w:rFonts w:ascii="Times New Roman" w:hAnsi="Times New Roman" w:cs="Times New Roman" w:hint="eastAsia"/>
                <w:color w:val="000000"/>
                <w:sz w:val="21"/>
                <w:szCs w:val="21"/>
                <w:lang w:bidi="ar"/>
              </w:rPr>
              <w:t>等系统上，在白色家电生产应用领域取得了进展，其中配重块自动安装等技术是对原有技术的革新和突破</w:t>
            </w:r>
          </w:p>
        </w:tc>
        <w:bookmarkEnd w:id="28"/>
      </w:tr>
    </w:tbl>
    <w:p w14:paraId="14A99914" w14:textId="77777777" w:rsidR="00C02929" w:rsidRDefault="006116D1">
      <w:pPr>
        <w:spacing w:beforeLines="50" w:before="156" w:line="360" w:lineRule="auto"/>
        <w:ind w:firstLineChars="200" w:firstLine="482"/>
        <w:jc w:val="both"/>
        <w:rPr>
          <w:rFonts w:ascii="Times New Roman" w:hAnsi="Times New Roman" w:cs="Times New Roman"/>
          <w:b/>
          <w:bCs/>
          <w:color w:val="000000"/>
          <w:szCs w:val="21"/>
        </w:rPr>
      </w:pPr>
      <w:r>
        <w:rPr>
          <w:rFonts w:ascii="Times New Roman" w:hAnsi="Times New Roman" w:cs="Times New Roman" w:hint="eastAsia"/>
          <w:b/>
          <w:bCs/>
          <w:color w:val="000000"/>
          <w:szCs w:val="21"/>
        </w:rPr>
        <w:lastRenderedPageBreak/>
        <w:t>2</w:t>
      </w:r>
      <w:r>
        <w:rPr>
          <w:rFonts w:ascii="Times New Roman" w:hAnsi="Times New Roman" w:cs="Times New Roman" w:hint="eastAsia"/>
          <w:b/>
          <w:bCs/>
          <w:color w:val="000000"/>
          <w:szCs w:val="21"/>
        </w:rPr>
        <w:t>、标的资产属于“家电行业的领先企业”、“研发实力出色”的依据</w:t>
      </w:r>
    </w:p>
    <w:p w14:paraId="49623F0D"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bookmarkStart w:id="29" w:name="_Hlk69371557"/>
      <w:r>
        <w:rPr>
          <w:rFonts w:ascii="Times New Roman" w:hAnsi="Times New Roman" w:cs="Times New Roman" w:hint="eastAsia"/>
          <w:color w:val="000000"/>
          <w:szCs w:val="21"/>
          <w:lang w:val="en-GB"/>
        </w:rPr>
        <w:t>多年来，北洋天青聚焦工业自动化领域，深耕家电行业，以企业信息化技术为驱动核心，以定制化智能制造装备为基础，为客户提供工业自动化、数字化、网络化、智能化的端到端、一站式产品和服务，包含前期工厂的整体规划、项目实施、交付验收、后续服务等的各个阶段。帮助企业建立智能化数字化工厂，推进数字化变革，实现降本增效，改进设计，提高效率，模式升级，高质量制造。</w:t>
      </w:r>
    </w:p>
    <w:p w14:paraId="5919A4B2"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目前形成了七大技术产品线，即：工业机器人本体及系统集成、智能制造装备、机器视觉、测试系统集成、模具立体库自动换模系统、物流悬挂输送系统和企业信息化七大板块。技术产品涵盖网络层、执行层及应用层。网络层有企业信息化</w:t>
      </w:r>
      <w:r>
        <w:rPr>
          <w:rFonts w:ascii="Times New Roman" w:hAnsi="Times New Roman" w:cs="Times New Roman" w:hint="eastAsia"/>
          <w:color w:val="000000"/>
          <w:szCs w:val="21"/>
          <w:lang w:val="en-GB"/>
        </w:rPr>
        <w:t>SCADA</w:t>
      </w:r>
      <w:r>
        <w:rPr>
          <w:rFonts w:ascii="Times New Roman" w:hAnsi="Times New Roman" w:cs="Times New Roman" w:hint="eastAsia"/>
          <w:color w:val="000000"/>
          <w:szCs w:val="21"/>
          <w:lang w:val="en-GB"/>
        </w:rPr>
        <w:t>等相关产品，执行层有机器人方案及智能制造装备，应用层有依托综合集成应用能力形成的“</w:t>
      </w:r>
      <w:r>
        <w:rPr>
          <w:rFonts w:ascii="Times New Roman" w:hAnsi="Times New Roman" w:cs="Times New Roman" w:hint="eastAsia"/>
          <w:color w:val="000000"/>
          <w:szCs w:val="21"/>
        </w:rPr>
        <w:t>自</w:t>
      </w:r>
      <w:r>
        <w:rPr>
          <w:rFonts w:ascii="Times New Roman" w:hAnsi="Times New Roman" w:cs="Times New Roman" w:hint="eastAsia"/>
          <w:color w:val="000000"/>
          <w:szCs w:val="21"/>
          <w:lang w:val="en-GB"/>
        </w:rPr>
        <w:t>动化生产线智能工厂”的关键产品，能为客户提供系统集成及自动化生产解决方案等技术支持。</w:t>
      </w:r>
    </w:p>
    <w:p w14:paraId="47D02BBD"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北洋天青每个技术板块可独立运作，为下游制造业客户提供工业智能化和信息化的产品，也可以相互配合、以信息化为驱动核心智能集成，为客户提供生产线智能化建设、升级和改造以及数字化生产车间的整体解决方案。</w:t>
      </w:r>
      <w:bookmarkEnd w:id="29"/>
    </w:p>
    <w:p w14:paraId="182ABACB"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bookmarkStart w:id="30" w:name="_Hlk69371688"/>
      <w:r>
        <w:rPr>
          <w:rFonts w:ascii="Times New Roman" w:hAnsi="Times New Roman" w:cs="Times New Roman" w:hint="eastAsia"/>
          <w:color w:val="000000"/>
          <w:szCs w:val="21"/>
          <w:lang w:val="en-GB"/>
        </w:rPr>
        <w:t>北洋天青作为工业自动化和智能制造领域的高新技术企业，是国内较早进行智能制造全集成布局的企业，在家电行业已深耕多年，技术涉及数字工厂的全过程，不仅能为企业提供智能化数字化工厂整体解决方案，还能提供全集成的自动化设备、数字化工艺、智能化监管、智能排产、质量追溯、以及产品的准时生产。北洋天青的数字化工厂的全集成，能按照客户需求和生产需要，打造完全自主可控和定制化的智能制造及数字化工厂。</w:t>
      </w:r>
      <w:bookmarkEnd w:id="30"/>
    </w:p>
    <w:p w14:paraId="3A4CBC03"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bookmarkStart w:id="31" w:name="_Hlk69371700"/>
      <w:r>
        <w:rPr>
          <w:rFonts w:ascii="Times New Roman" w:hAnsi="Times New Roman" w:cs="Times New Roman" w:hint="eastAsia"/>
          <w:color w:val="000000"/>
          <w:szCs w:val="21"/>
          <w:lang w:val="en-GB"/>
        </w:rPr>
        <w:t>截至</w:t>
      </w:r>
      <w:r>
        <w:rPr>
          <w:rFonts w:ascii="Times New Roman" w:hAnsi="Times New Roman" w:cs="Times New Roman" w:hint="eastAsia"/>
          <w:color w:val="000000"/>
          <w:szCs w:val="21"/>
          <w:lang w:val="en-GB"/>
        </w:rPr>
        <w:t>2020</w:t>
      </w:r>
      <w:r>
        <w:rPr>
          <w:rFonts w:ascii="Times New Roman" w:hAnsi="Times New Roman" w:cs="Times New Roman" w:hint="eastAsia"/>
          <w:color w:val="000000"/>
          <w:szCs w:val="21"/>
          <w:lang w:val="en-GB"/>
        </w:rPr>
        <w:t>年</w:t>
      </w:r>
      <w:r>
        <w:rPr>
          <w:rFonts w:ascii="Times New Roman" w:hAnsi="Times New Roman" w:cs="Times New Roman" w:hint="eastAsia"/>
          <w:color w:val="000000"/>
          <w:szCs w:val="21"/>
          <w:lang w:val="en-GB"/>
        </w:rPr>
        <w:t>12</w:t>
      </w:r>
      <w:r>
        <w:rPr>
          <w:rFonts w:ascii="Times New Roman" w:hAnsi="Times New Roman" w:cs="Times New Roman" w:hint="eastAsia"/>
          <w:color w:val="000000"/>
          <w:szCs w:val="21"/>
          <w:lang w:val="en-GB"/>
        </w:rPr>
        <w:t>月</w:t>
      </w:r>
      <w:r>
        <w:rPr>
          <w:rFonts w:ascii="Times New Roman" w:hAnsi="Times New Roman" w:cs="Times New Roman" w:hint="eastAsia"/>
          <w:color w:val="000000"/>
          <w:szCs w:val="21"/>
          <w:lang w:val="en-GB"/>
        </w:rPr>
        <w:t>31</w:t>
      </w:r>
      <w:r>
        <w:rPr>
          <w:rFonts w:ascii="Times New Roman" w:hAnsi="Times New Roman" w:cs="Times New Roman" w:hint="eastAsia"/>
          <w:color w:val="000000"/>
          <w:szCs w:val="21"/>
          <w:lang w:val="en-GB"/>
        </w:rPr>
        <w:t>日，北洋天青拥有人员数量</w:t>
      </w:r>
      <w:r>
        <w:rPr>
          <w:rFonts w:ascii="Times New Roman" w:hAnsi="Times New Roman" w:cs="Times New Roman" w:hint="eastAsia"/>
          <w:color w:val="000000"/>
          <w:szCs w:val="21"/>
          <w:lang w:val="en-GB"/>
        </w:rPr>
        <w:t>169</w:t>
      </w:r>
      <w:r>
        <w:rPr>
          <w:rFonts w:ascii="Times New Roman" w:hAnsi="Times New Roman" w:cs="Times New Roman" w:hint="eastAsia"/>
          <w:color w:val="000000"/>
          <w:szCs w:val="21"/>
          <w:lang w:val="en-GB"/>
        </w:rPr>
        <w:t>人，其中研发人员</w:t>
      </w:r>
      <w:r>
        <w:rPr>
          <w:rFonts w:ascii="Times New Roman" w:hAnsi="Times New Roman" w:cs="Times New Roman" w:hint="eastAsia"/>
          <w:color w:val="000000"/>
          <w:szCs w:val="21"/>
          <w:lang w:val="en-GB"/>
        </w:rPr>
        <w:t>40</w:t>
      </w:r>
      <w:r>
        <w:rPr>
          <w:rFonts w:ascii="Times New Roman" w:hAnsi="Times New Roman" w:cs="Times New Roman" w:hint="eastAsia"/>
          <w:color w:val="000000"/>
          <w:szCs w:val="21"/>
          <w:lang w:val="en-GB"/>
        </w:rPr>
        <w:t>人，占总员工人数达到</w:t>
      </w:r>
      <w:r>
        <w:rPr>
          <w:rFonts w:ascii="Times New Roman" w:hAnsi="Times New Roman" w:cs="Times New Roman" w:hint="eastAsia"/>
          <w:color w:val="000000"/>
          <w:szCs w:val="21"/>
          <w:lang w:val="en-GB"/>
        </w:rPr>
        <w:t>23.67%</w:t>
      </w:r>
      <w:r>
        <w:rPr>
          <w:rFonts w:ascii="Times New Roman" w:hAnsi="Times New Roman" w:cs="Times New Roman" w:hint="eastAsia"/>
          <w:color w:val="000000"/>
          <w:szCs w:val="21"/>
          <w:lang w:val="en-GB"/>
        </w:rPr>
        <w:t>，与同行业相比基本持平；截至</w:t>
      </w:r>
      <w:r>
        <w:rPr>
          <w:rFonts w:ascii="Times New Roman" w:hAnsi="Times New Roman" w:cs="Times New Roman" w:hint="eastAsia"/>
          <w:color w:val="000000"/>
          <w:szCs w:val="21"/>
          <w:lang w:val="en-GB"/>
        </w:rPr>
        <w:t>2020</w:t>
      </w:r>
      <w:r>
        <w:rPr>
          <w:rFonts w:ascii="Times New Roman" w:hAnsi="Times New Roman" w:cs="Times New Roman" w:hint="eastAsia"/>
          <w:color w:val="000000"/>
          <w:szCs w:val="21"/>
          <w:lang w:val="en-GB"/>
        </w:rPr>
        <w:t>年</w:t>
      </w:r>
      <w:r>
        <w:rPr>
          <w:rFonts w:ascii="Times New Roman" w:hAnsi="Times New Roman" w:cs="Times New Roman" w:hint="eastAsia"/>
          <w:color w:val="000000"/>
          <w:szCs w:val="21"/>
          <w:lang w:val="en-GB"/>
        </w:rPr>
        <w:t>12</w:t>
      </w:r>
      <w:r>
        <w:rPr>
          <w:rFonts w:ascii="Times New Roman" w:hAnsi="Times New Roman" w:cs="Times New Roman" w:hint="eastAsia"/>
          <w:color w:val="000000"/>
          <w:szCs w:val="21"/>
          <w:lang w:val="en-GB"/>
        </w:rPr>
        <w:t>月</w:t>
      </w:r>
      <w:r>
        <w:rPr>
          <w:rFonts w:ascii="Times New Roman" w:hAnsi="Times New Roman" w:cs="Times New Roman" w:hint="eastAsia"/>
          <w:color w:val="000000"/>
          <w:szCs w:val="21"/>
          <w:lang w:val="en-GB"/>
        </w:rPr>
        <w:t>31</w:t>
      </w:r>
      <w:r>
        <w:rPr>
          <w:rFonts w:ascii="Times New Roman" w:hAnsi="Times New Roman" w:cs="Times New Roman" w:hint="eastAsia"/>
          <w:color w:val="000000"/>
          <w:szCs w:val="21"/>
          <w:lang w:val="en-GB"/>
        </w:rPr>
        <w:lastRenderedPageBreak/>
        <w:t>日，北洋天青研发费用支出为</w:t>
      </w:r>
      <w:r>
        <w:rPr>
          <w:rFonts w:ascii="Times New Roman" w:hAnsi="Times New Roman" w:cs="Times New Roman" w:hint="eastAsia"/>
          <w:color w:val="000000"/>
          <w:szCs w:val="21"/>
          <w:lang w:val="en-GB"/>
        </w:rPr>
        <w:t>958.90</w:t>
      </w:r>
      <w:r>
        <w:rPr>
          <w:rFonts w:ascii="Times New Roman" w:hAnsi="Times New Roman" w:cs="Times New Roman" w:hint="eastAsia"/>
          <w:color w:val="000000"/>
          <w:szCs w:val="21"/>
          <w:lang w:val="en-GB"/>
        </w:rPr>
        <w:t>万元，占营业收入比例为</w:t>
      </w:r>
      <w:r>
        <w:rPr>
          <w:rFonts w:ascii="Times New Roman" w:hAnsi="Times New Roman" w:cs="Times New Roman" w:hint="eastAsia"/>
          <w:color w:val="000000"/>
          <w:szCs w:val="21"/>
          <w:lang w:val="en-GB"/>
        </w:rPr>
        <w:t>6.37%</w:t>
      </w:r>
      <w:r>
        <w:rPr>
          <w:rFonts w:ascii="Times New Roman" w:hAnsi="Times New Roman" w:cs="Times New Roman" w:hint="eastAsia"/>
          <w:color w:val="000000"/>
          <w:szCs w:val="21"/>
          <w:lang w:val="en-GB"/>
        </w:rPr>
        <w:t>，与同行业相比基本持平；近年来，北洋天青大力投入研发，深耕家电行业，积极拓展技术应用，加大推进物流悬挂输送系统、模具立体库自动换模系统、以及自动上压板机技术，此三项技术在行业内应用中均属首创，与此相关的机械和控制核心部分已申请相关专利。此外，北洋天青的七大板块的相互配合、智能集成，为客户提供智能工厂整体解决方案，其技术优势为北洋天青提供了技术壁垒，让企业在家电行业市场竞争中，处于领先水平。近年来，北洋天青的研发也取得了一定的奖项，其</w:t>
      </w:r>
      <w:r>
        <w:rPr>
          <w:rFonts w:ascii="Times New Roman" w:hAnsi="Times New Roman" w:cs="Times New Roman" w:hint="eastAsia"/>
          <w:color w:val="000000"/>
          <w:szCs w:val="21"/>
          <w:lang w:val="en-GB" w:bidi="ar"/>
        </w:rPr>
        <w:t>机器人智能化总装线被评为青岛市专精特新产品、其主导的《工业机器人主体设计与制造》获得青岛市科学技术奖</w:t>
      </w:r>
      <w:r>
        <w:rPr>
          <w:rFonts w:ascii="Times New Roman" w:hAnsi="Times New Roman" w:cs="Times New Roman" w:hint="eastAsia"/>
          <w:color w:val="000000"/>
          <w:szCs w:val="21"/>
          <w:lang w:val="en-GB"/>
        </w:rPr>
        <w:t>。</w:t>
      </w:r>
      <w:bookmarkEnd w:id="31"/>
    </w:p>
    <w:p w14:paraId="2CD596C2"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综上，工业自动化及机器人子行业发展前景较好，且北洋天青在技术、人才、客户资源、客户服务等多方面具有较强优势，研发实力出色，为所处行业的领先企业之一，具有良好的发展基础。</w:t>
      </w:r>
    </w:p>
    <w:p w14:paraId="190557E3"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7D0956E9" w14:textId="77777777" w:rsidR="00C02929" w:rsidRDefault="006116D1">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“标的资产属于家电行业的领先企业认证的依据”已在“第四节</w:t>
      </w:r>
      <w:r>
        <w:rPr>
          <w:rFonts w:ascii="Times New Roman" w:hAnsi="Times New Roman" w:cs="Times New Roman"/>
          <w:color w:val="000000"/>
          <w:szCs w:val="21"/>
          <w:lang w:val="en-GB"/>
        </w:rPr>
        <w:t xml:space="preserve"> </w:t>
      </w:r>
      <w:r>
        <w:rPr>
          <w:rFonts w:ascii="Times New Roman" w:hAnsi="Times New Roman" w:cs="Times New Roman" w:hint="eastAsia"/>
          <w:color w:val="000000"/>
          <w:szCs w:val="21"/>
          <w:lang w:val="en-GB"/>
        </w:rPr>
        <w:t>交易标的基本情况”之“五、主营业务发展情况”之“（六）技术与研发情况”及“（九）核心技术人员及变动情况”补充披露。</w:t>
      </w:r>
    </w:p>
    <w:p w14:paraId="6A58125E"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w:t>
      </w:r>
      <w:r>
        <w:rPr>
          <w:rFonts w:ascii="Times New Roman" w:eastAsia="黑体" w:hAnsi="Times New Roman" w:cs="Times New Roman" w:hint="eastAsia"/>
          <w:b/>
          <w:color w:val="000000"/>
          <w:szCs w:val="21"/>
        </w:rPr>
        <w:t>11</w:t>
      </w:r>
      <w:r>
        <w:rPr>
          <w:rFonts w:ascii="Times New Roman" w:eastAsia="黑体" w:hAnsi="Times New Roman" w:cs="Times New Roman" w:hint="eastAsia"/>
          <w:b/>
          <w:color w:val="000000"/>
          <w:szCs w:val="21"/>
        </w:rPr>
        <w:t>项专利申请的最新进展，全部或部分专利尚未申请成功的原因</w:t>
      </w:r>
    </w:p>
    <w:p w14:paraId="4FC58560"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一、标的资产</w:t>
      </w:r>
      <w:r>
        <w:rPr>
          <w:rFonts w:ascii="Times New Roman" w:hAnsi="Times New Roman" w:cs="Times New Roman"/>
          <w:b/>
          <w:color w:val="000000"/>
          <w:szCs w:val="21"/>
        </w:rPr>
        <w:t>11</w:t>
      </w:r>
      <w:r>
        <w:rPr>
          <w:rFonts w:ascii="Times New Roman" w:hAnsi="Times New Roman" w:cs="Times New Roman" w:hint="eastAsia"/>
          <w:b/>
          <w:color w:val="000000"/>
          <w:szCs w:val="21"/>
        </w:rPr>
        <w:t>项专利申请的最新进展</w:t>
      </w:r>
    </w:p>
    <w:p w14:paraId="3845EE60" w14:textId="77777777" w:rsidR="00CE07BE" w:rsidRDefault="00CE07BE" w:rsidP="00CE07BE">
      <w:pPr>
        <w:spacing w:beforeLines="50" w:before="156" w:line="360" w:lineRule="auto"/>
        <w:ind w:firstLineChars="200" w:firstLine="480"/>
        <w:jc w:val="both"/>
        <w:rPr>
          <w:rFonts w:ascii="Times New Roman" w:hAnsi="Times New Roman" w:cs="Times New Roman"/>
          <w:color w:val="000000"/>
          <w:szCs w:val="21"/>
          <w:lang w:val="en-GB"/>
        </w:rPr>
      </w:pPr>
      <w:r>
        <w:rPr>
          <w:rFonts w:ascii="Times New Roman" w:hAnsi="Times New Roman" w:cs="Times New Roman" w:hint="eastAsia"/>
          <w:color w:val="000000"/>
          <w:szCs w:val="21"/>
          <w:lang w:val="en-GB"/>
        </w:rPr>
        <w:t>截至</w:t>
      </w:r>
      <w:r>
        <w:rPr>
          <w:rFonts w:ascii="Times New Roman" w:hAnsi="Times New Roman" w:cs="Times New Roman"/>
          <w:color w:val="000000"/>
          <w:szCs w:val="21"/>
          <w:lang w:val="en-GB"/>
        </w:rPr>
        <w:t>2020</w:t>
      </w:r>
      <w:r>
        <w:rPr>
          <w:rFonts w:ascii="Times New Roman" w:hAnsi="Times New Roman" w:cs="Times New Roman"/>
          <w:color w:val="000000"/>
          <w:szCs w:val="21"/>
          <w:lang w:val="en-GB"/>
        </w:rPr>
        <w:t>年</w:t>
      </w:r>
      <w:r>
        <w:rPr>
          <w:rFonts w:ascii="Times New Roman" w:hAnsi="Times New Roman" w:cs="Times New Roman"/>
          <w:color w:val="000000"/>
          <w:szCs w:val="21"/>
          <w:lang w:val="en-GB"/>
        </w:rPr>
        <w:t>9</w:t>
      </w:r>
      <w:r>
        <w:rPr>
          <w:rFonts w:ascii="Times New Roman" w:hAnsi="Times New Roman" w:cs="Times New Roman"/>
          <w:color w:val="000000"/>
          <w:szCs w:val="21"/>
          <w:lang w:val="en-GB"/>
        </w:rPr>
        <w:t>月</w:t>
      </w:r>
      <w:r>
        <w:rPr>
          <w:rFonts w:ascii="Times New Roman" w:hAnsi="Times New Roman" w:cs="Times New Roman"/>
          <w:color w:val="000000"/>
          <w:szCs w:val="21"/>
          <w:lang w:val="en-GB"/>
        </w:rPr>
        <w:t>30</w:t>
      </w:r>
      <w:r>
        <w:rPr>
          <w:rFonts w:ascii="Times New Roman" w:hAnsi="Times New Roman" w:cs="Times New Roman"/>
          <w:color w:val="000000"/>
          <w:szCs w:val="21"/>
          <w:lang w:val="en-GB"/>
        </w:rPr>
        <w:t>日，北洋天青申请中的专利最新进展情况具体如下：</w:t>
      </w:r>
    </w:p>
    <w:tbl>
      <w:tblPr>
        <w:tblW w:w="4884" w:type="pct"/>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37"/>
        <w:gridCol w:w="2407"/>
        <w:gridCol w:w="1277"/>
        <w:gridCol w:w="709"/>
        <w:gridCol w:w="1701"/>
        <w:gridCol w:w="709"/>
        <w:gridCol w:w="1084"/>
      </w:tblGrid>
      <w:tr w:rsidR="00CE07BE" w14:paraId="5F64F908" w14:textId="77777777" w:rsidTr="00403479">
        <w:trPr>
          <w:cantSplit/>
          <w:trHeight w:val="454"/>
          <w:tblHeader/>
          <w:jc w:val="center"/>
        </w:trPr>
        <w:tc>
          <w:tcPr>
            <w:tcW w:w="262" w:type="pct"/>
            <w:shd w:val="clear" w:color="auto" w:fill="auto"/>
            <w:noWrap/>
            <w:vAlign w:val="center"/>
          </w:tcPr>
          <w:p w14:paraId="6DD6B692" w14:textId="77777777" w:rsidR="00CE07BE" w:rsidRDefault="00CE07BE" w:rsidP="00403479">
            <w:pPr>
              <w:keepNext/>
              <w:adjustRightInd w:val="0"/>
              <w:snapToGrid w:val="0"/>
              <w:jc w:val="center"/>
              <w:rPr>
                <w:rFonts w:ascii="Times New Roman" w:hAnsi="Times New Roman"/>
                <w:b/>
                <w:bCs/>
                <w:sz w:val="21"/>
                <w:szCs w:val="21"/>
              </w:rPr>
            </w:pPr>
            <w:bookmarkStart w:id="32" w:name="_Hlk69149182"/>
            <w:r>
              <w:rPr>
                <w:rFonts w:ascii="Times New Roman" w:hAnsi="Times New Roman" w:hint="eastAsia"/>
                <w:b/>
                <w:bCs/>
                <w:sz w:val="21"/>
                <w:szCs w:val="21"/>
              </w:rPr>
              <w:t>序号</w:t>
            </w:r>
          </w:p>
        </w:tc>
        <w:tc>
          <w:tcPr>
            <w:tcW w:w="1446" w:type="pct"/>
            <w:shd w:val="clear" w:color="auto" w:fill="auto"/>
            <w:noWrap/>
            <w:vAlign w:val="center"/>
          </w:tcPr>
          <w:p w14:paraId="6126F187" w14:textId="77777777" w:rsidR="00CE07BE" w:rsidRDefault="00CE07BE" w:rsidP="00403479">
            <w:pPr>
              <w:keepNext/>
              <w:adjustRightInd w:val="0"/>
              <w:snapToGrid w:val="0"/>
              <w:jc w:val="center"/>
              <w:rPr>
                <w:rFonts w:ascii="Times New Roman" w:hAnsi="Times New Roman"/>
                <w:b/>
                <w:bCs/>
                <w:sz w:val="21"/>
                <w:szCs w:val="21"/>
              </w:rPr>
            </w:pPr>
            <w:r>
              <w:rPr>
                <w:rFonts w:ascii="Times New Roman" w:hAnsi="Times New Roman" w:hint="eastAsia"/>
                <w:b/>
                <w:bCs/>
                <w:sz w:val="21"/>
                <w:szCs w:val="21"/>
              </w:rPr>
              <w:t>专利名称</w:t>
            </w:r>
          </w:p>
        </w:tc>
        <w:tc>
          <w:tcPr>
            <w:tcW w:w="767" w:type="pct"/>
            <w:shd w:val="clear" w:color="auto" w:fill="auto"/>
            <w:noWrap/>
            <w:vAlign w:val="center"/>
          </w:tcPr>
          <w:p w14:paraId="2E0CB6DD" w14:textId="77777777" w:rsidR="00CE07BE" w:rsidRDefault="00CE07BE" w:rsidP="00403479">
            <w:pPr>
              <w:keepNext/>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申请号</w:t>
            </w:r>
          </w:p>
        </w:tc>
        <w:tc>
          <w:tcPr>
            <w:tcW w:w="426" w:type="pct"/>
            <w:shd w:val="clear" w:color="auto" w:fill="auto"/>
            <w:noWrap/>
            <w:vAlign w:val="center"/>
          </w:tcPr>
          <w:p w14:paraId="38D00890" w14:textId="77777777" w:rsidR="00CE07BE" w:rsidRDefault="00CE07BE" w:rsidP="00403479">
            <w:pPr>
              <w:keepNext/>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申请日期</w:t>
            </w:r>
          </w:p>
        </w:tc>
        <w:tc>
          <w:tcPr>
            <w:tcW w:w="1022" w:type="pct"/>
            <w:shd w:val="clear" w:color="auto" w:fill="auto"/>
            <w:noWrap/>
            <w:vAlign w:val="center"/>
          </w:tcPr>
          <w:p w14:paraId="1FE552B5" w14:textId="77777777" w:rsidR="00CE07BE" w:rsidRDefault="00CE07BE" w:rsidP="00403479">
            <w:pPr>
              <w:keepNext/>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申请人</w:t>
            </w:r>
          </w:p>
        </w:tc>
        <w:tc>
          <w:tcPr>
            <w:tcW w:w="426" w:type="pct"/>
            <w:shd w:val="clear" w:color="auto" w:fill="auto"/>
            <w:noWrap/>
            <w:vAlign w:val="center"/>
          </w:tcPr>
          <w:p w14:paraId="3BA2ADCA" w14:textId="77777777" w:rsidR="00CE07BE" w:rsidRDefault="00CE07BE" w:rsidP="00403479">
            <w:pPr>
              <w:keepNext/>
              <w:adjustRightInd w:val="0"/>
              <w:snapToGrid w:val="0"/>
              <w:jc w:val="center"/>
              <w:rPr>
                <w:rFonts w:ascii="Times New Roman" w:hAnsi="Times New Roman"/>
                <w:b/>
                <w:bCs/>
                <w:sz w:val="21"/>
                <w:szCs w:val="21"/>
              </w:rPr>
            </w:pPr>
            <w:r>
              <w:rPr>
                <w:rFonts w:ascii="Times New Roman" w:hAnsi="Times New Roman" w:hint="eastAsia"/>
                <w:b/>
                <w:bCs/>
                <w:sz w:val="21"/>
                <w:szCs w:val="21"/>
              </w:rPr>
              <w:t>专利类型</w:t>
            </w:r>
          </w:p>
        </w:tc>
        <w:tc>
          <w:tcPr>
            <w:tcW w:w="651" w:type="pct"/>
            <w:vAlign w:val="center"/>
          </w:tcPr>
          <w:p w14:paraId="6AF1F586" w14:textId="77777777" w:rsidR="00CE07BE" w:rsidRDefault="00CE07BE" w:rsidP="00403479">
            <w:pPr>
              <w:keepNext/>
              <w:adjustRightInd w:val="0"/>
              <w:snapToGrid w:val="0"/>
              <w:jc w:val="center"/>
              <w:rPr>
                <w:rFonts w:ascii="Times New Roman" w:hAnsi="Times New Roman"/>
                <w:b/>
                <w:bCs/>
                <w:sz w:val="21"/>
                <w:szCs w:val="21"/>
              </w:rPr>
            </w:pPr>
            <w:r>
              <w:rPr>
                <w:rFonts w:ascii="Times New Roman" w:hAnsi="Times New Roman" w:hint="eastAsia"/>
                <w:b/>
                <w:bCs/>
                <w:sz w:val="21"/>
                <w:szCs w:val="21"/>
              </w:rPr>
              <w:t>最新进展</w:t>
            </w:r>
          </w:p>
        </w:tc>
      </w:tr>
      <w:tr w:rsidR="00CE07BE" w14:paraId="230FF93E" w14:textId="77777777" w:rsidTr="00403479">
        <w:trPr>
          <w:cantSplit/>
          <w:trHeight w:val="454"/>
          <w:jc w:val="center"/>
        </w:trPr>
        <w:tc>
          <w:tcPr>
            <w:tcW w:w="262" w:type="pct"/>
            <w:shd w:val="clear" w:color="auto" w:fill="auto"/>
            <w:vAlign w:val="center"/>
          </w:tcPr>
          <w:p w14:paraId="3FB2A2B7"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1</w:t>
            </w:r>
          </w:p>
        </w:tc>
        <w:tc>
          <w:tcPr>
            <w:tcW w:w="1446" w:type="pct"/>
            <w:shd w:val="clear" w:color="auto" w:fill="auto"/>
            <w:vAlign w:val="center"/>
          </w:tcPr>
          <w:p w14:paraId="43191528"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hint="eastAsia"/>
                <w:color w:val="000000"/>
                <w:sz w:val="21"/>
                <w:szCs w:val="21"/>
              </w:rPr>
              <w:t>一种进出水管打胶装置及其打胶方法</w:t>
            </w:r>
          </w:p>
        </w:tc>
        <w:tc>
          <w:tcPr>
            <w:tcW w:w="767" w:type="pct"/>
            <w:shd w:val="clear" w:color="auto" w:fill="auto"/>
            <w:vAlign w:val="center"/>
          </w:tcPr>
          <w:p w14:paraId="344D6EBB"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2019104599698</w:t>
            </w:r>
          </w:p>
        </w:tc>
        <w:tc>
          <w:tcPr>
            <w:tcW w:w="426" w:type="pct"/>
            <w:shd w:val="clear" w:color="auto" w:fill="auto"/>
            <w:vAlign w:val="center"/>
          </w:tcPr>
          <w:p w14:paraId="199DD58D"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2019.5.30</w:t>
            </w:r>
          </w:p>
        </w:tc>
        <w:tc>
          <w:tcPr>
            <w:tcW w:w="1022" w:type="pct"/>
            <w:shd w:val="clear" w:color="auto" w:fill="auto"/>
            <w:vAlign w:val="center"/>
          </w:tcPr>
          <w:p w14:paraId="57163EFD"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青岛海尔智慧电器设备有限公司、标的公司</w:t>
            </w:r>
          </w:p>
        </w:tc>
        <w:tc>
          <w:tcPr>
            <w:tcW w:w="426" w:type="pct"/>
            <w:shd w:val="clear" w:color="auto" w:fill="auto"/>
            <w:vAlign w:val="center"/>
          </w:tcPr>
          <w:p w14:paraId="0B7B55AB"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hint="eastAsia"/>
                <w:sz w:val="21"/>
                <w:szCs w:val="21"/>
              </w:rPr>
              <w:t>发明专利</w:t>
            </w:r>
          </w:p>
        </w:tc>
        <w:tc>
          <w:tcPr>
            <w:tcW w:w="651" w:type="pct"/>
            <w:vAlign w:val="center"/>
          </w:tcPr>
          <w:p w14:paraId="159227DD" w14:textId="77777777" w:rsidR="00CE07BE" w:rsidRDefault="00CE07BE" w:rsidP="00403479">
            <w:pPr>
              <w:jc w:val="center"/>
              <w:textAlignment w:val="center"/>
              <w:rPr>
                <w:rFonts w:ascii="Times New Roman" w:hAnsi="Times New Roman"/>
                <w:color w:val="000000"/>
                <w:sz w:val="21"/>
                <w:szCs w:val="21"/>
              </w:rPr>
            </w:pPr>
            <w:r>
              <w:rPr>
                <w:rFonts w:ascii="Times New Roman" w:hAnsi="Times New Roman"/>
                <w:sz w:val="21"/>
                <w:szCs w:val="21"/>
              </w:rPr>
              <w:t>2021</w:t>
            </w:r>
            <w:r>
              <w:rPr>
                <w:rFonts w:ascii="Times New Roman" w:hAnsi="Times New Roman" w:hint="eastAsia"/>
                <w:sz w:val="21"/>
                <w:szCs w:val="21"/>
              </w:rPr>
              <w:t>年</w:t>
            </w:r>
            <w:r>
              <w:rPr>
                <w:rFonts w:ascii="Times New Roman" w:hAnsi="Times New Roman"/>
                <w:sz w:val="21"/>
                <w:szCs w:val="21"/>
              </w:rPr>
              <w:t>2</w:t>
            </w:r>
            <w:r>
              <w:rPr>
                <w:rFonts w:ascii="Times New Roman" w:hAnsi="Times New Roman" w:hint="eastAsia"/>
                <w:sz w:val="21"/>
                <w:szCs w:val="21"/>
              </w:rPr>
              <w:t>月</w:t>
            </w:r>
            <w:r>
              <w:rPr>
                <w:rFonts w:ascii="Times New Roman" w:hAnsi="Times New Roman"/>
                <w:sz w:val="21"/>
                <w:szCs w:val="21"/>
              </w:rPr>
              <w:t>12</w:t>
            </w:r>
            <w:r>
              <w:rPr>
                <w:rFonts w:ascii="Times New Roman" w:hAnsi="Times New Roman" w:hint="eastAsia"/>
                <w:sz w:val="21"/>
                <w:szCs w:val="21"/>
              </w:rPr>
              <w:t>日获得授权</w:t>
            </w:r>
          </w:p>
        </w:tc>
      </w:tr>
      <w:tr w:rsidR="00CE07BE" w14:paraId="7C1A128F" w14:textId="77777777" w:rsidTr="00403479">
        <w:trPr>
          <w:cantSplit/>
          <w:trHeight w:val="454"/>
          <w:jc w:val="center"/>
        </w:trPr>
        <w:tc>
          <w:tcPr>
            <w:tcW w:w="262" w:type="pct"/>
            <w:shd w:val="clear" w:color="auto" w:fill="auto"/>
            <w:vAlign w:val="center"/>
          </w:tcPr>
          <w:p w14:paraId="36D97C97"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2</w:t>
            </w:r>
          </w:p>
        </w:tc>
        <w:tc>
          <w:tcPr>
            <w:tcW w:w="1446" w:type="pct"/>
            <w:shd w:val="clear" w:color="auto" w:fill="auto"/>
            <w:vAlign w:val="center"/>
          </w:tcPr>
          <w:p w14:paraId="508D881E"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hint="eastAsia"/>
                <w:color w:val="000000"/>
                <w:sz w:val="21"/>
                <w:szCs w:val="21"/>
              </w:rPr>
              <w:t>一种堵料供料机及应用堵料供料机的自动注料系统</w:t>
            </w:r>
          </w:p>
        </w:tc>
        <w:tc>
          <w:tcPr>
            <w:tcW w:w="767" w:type="pct"/>
            <w:shd w:val="clear" w:color="auto" w:fill="auto"/>
            <w:vAlign w:val="center"/>
          </w:tcPr>
          <w:p w14:paraId="60ABC9E1"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2019104599679</w:t>
            </w:r>
          </w:p>
        </w:tc>
        <w:tc>
          <w:tcPr>
            <w:tcW w:w="426" w:type="pct"/>
            <w:shd w:val="clear" w:color="auto" w:fill="auto"/>
            <w:vAlign w:val="center"/>
          </w:tcPr>
          <w:p w14:paraId="396C948E"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color w:val="000000"/>
                <w:sz w:val="21"/>
                <w:szCs w:val="21"/>
              </w:rPr>
              <w:t>2019.5.30</w:t>
            </w:r>
          </w:p>
        </w:tc>
        <w:tc>
          <w:tcPr>
            <w:tcW w:w="1022" w:type="pct"/>
            <w:shd w:val="clear" w:color="auto" w:fill="auto"/>
            <w:vAlign w:val="center"/>
          </w:tcPr>
          <w:p w14:paraId="158BE0EF"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青岛海尔智慧电器设备有限公司、标的公司</w:t>
            </w:r>
          </w:p>
        </w:tc>
        <w:tc>
          <w:tcPr>
            <w:tcW w:w="426" w:type="pct"/>
            <w:shd w:val="clear" w:color="auto" w:fill="auto"/>
            <w:vAlign w:val="center"/>
          </w:tcPr>
          <w:p w14:paraId="3240E008" w14:textId="77777777" w:rsidR="00CE07BE" w:rsidRDefault="00CE07BE" w:rsidP="00403479">
            <w:pPr>
              <w:adjustRightInd w:val="0"/>
              <w:snapToGrid w:val="0"/>
              <w:jc w:val="center"/>
              <w:rPr>
                <w:rFonts w:ascii="Times New Roman" w:hAnsi="Times New Roman"/>
                <w:color w:val="000000"/>
                <w:sz w:val="21"/>
                <w:szCs w:val="21"/>
              </w:rPr>
            </w:pPr>
            <w:r>
              <w:rPr>
                <w:rFonts w:ascii="Times New Roman" w:hAnsi="Times New Roman" w:hint="eastAsia"/>
                <w:color w:val="000000"/>
                <w:sz w:val="21"/>
                <w:szCs w:val="21"/>
              </w:rPr>
              <w:t>发明专利</w:t>
            </w:r>
          </w:p>
        </w:tc>
        <w:tc>
          <w:tcPr>
            <w:tcW w:w="651" w:type="pct"/>
            <w:vAlign w:val="center"/>
          </w:tcPr>
          <w:p w14:paraId="7DDF5703" w14:textId="7B2C8D55" w:rsidR="00CE07BE" w:rsidRDefault="00AF6850" w:rsidP="00403479">
            <w:pPr>
              <w:adjustRightInd w:val="0"/>
              <w:snapToGrid w:val="0"/>
              <w:jc w:val="center"/>
              <w:rPr>
                <w:rFonts w:ascii="Times New Roman" w:hAnsi="Times New Roman"/>
                <w:color w:val="000000"/>
                <w:sz w:val="21"/>
                <w:szCs w:val="21"/>
              </w:rPr>
            </w:pPr>
            <w:r w:rsidRPr="001F361A">
              <w:rPr>
                <w:rFonts w:ascii="Times New Roman" w:hAnsi="Times New Roman" w:hint="eastAsia"/>
                <w:color w:val="000000"/>
                <w:sz w:val="21"/>
                <w:szCs w:val="21"/>
              </w:rPr>
              <w:t>等年登印费</w:t>
            </w:r>
          </w:p>
        </w:tc>
      </w:tr>
      <w:tr w:rsidR="00CE07BE" w14:paraId="6B53F438" w14:textId="77777777" w:rsidTr="00403479">
        <w:trPr>
          <w:cantSplit/>
          <w:trHeight w:val="454"/>
          <w:jc w:val="center"/>
        </w:trPr>
        <w:tc>
          <w:tcPr>
            <w:tcW w:w="262" w:type="pct"/>
            <w:shd w:val="clear" w:color="auto" w:fill="auto"/>
            <w:vAlign w:val="center"/>
          </w:tcPr>
          <w:p w14:paraId="0F46FD8D"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3</w:t>
            </w:r>
          </w:p>
        </w:tc>
        <w:tc>
          <w:tcPr>
            <w:tcW w:w="1446" w:type="pct"/>
            <w:shd w:val="clear" w:color="auto" w:fill="auto"/>
            <w:vAlign w:val="center"/>
          </w:tcPr>
          <w:p w14:paraId="3179B89B"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干衣机内筒涂胶设备及其涂胶工艺</w:t>
            </w:r>
          </w:p>
        </w:tc>
        <w:tc>
          <w:tcPr>
            <w:tcW w:w="767" w:type="pct"/>
            <w:shd w:val="clear" w:color="auto" w:fill="auto"/>
            <w:vAlign w:val="center"/>
          </w:tcPr>
          <w:p w14:paraId="25ABD67F"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2018105682594</w:t>
            </w:r>
          </w:p>
        </w:tc>
        <w:tc>
          <w:tcPr>
            <w:tcW w:w="426" w:type="pct"/>
            <w:shd w:val="clear" w:color="auto" w:fill="auto"/>
            <w:vAlign w:val="center"/>
          </w:tcPr>
          <w:p w14:paraId="4C5084DA"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2018.5.30</w:t>
            </w:r>
          </w:p>
        </w:tc>
        <w:tc>
          <w:tcPr>
            <w:tcW w:w="1022" w:type="pct"/>
            <w:shd w:val="clear" w:color="auto" w:fill="auto"/>
            <w:vAlign w:val="center"/>
          </w:tcPr>
          <w:p w14:paraId="48057A4F"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1531FDBF"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39E04215"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CE07BE" w14:paraId="6EEAC1C8" w14:textId="77777777" w:rsidTr="00403479">
        <w:trPr>
          <w:cantSplit/>
          <w:trHeight w:val="454"/>
          <w:jc w:val="center"/>
        </w:trPr>
        <w:tc>
          <w:tcPr>
            <w:tcW w:w="262" w:type="pct"/>
            <w:shd w:val="clear" w:color="auto" w:fill="auto"/>
            <w:vAlign w:val="center"/>
          </w:tcPr>
          <w:p w14:paraId="0ECD0B52"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4</w:t>
            </w:r>
          </w:p>
        </w:tc>
        <w:tc>
          <w:tcPr>
            <w:tcW w:w="1446" w:type="pct"/>
            <w:shd w:val="clear" w:color="auto" w:fill="auto"/>
            <w:vAlign w:val="center"/>
          </w:tcPr>
          <w:p w14:paraId="6B380FBE"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干衣机门体涂胶设备及其涂胶工艺</w:t>
            </w:r>
          </w:p>
        </w:tc>
        <w:tc>
          <w:tcPr>
            <w:tcW w:w="767" w:type="pct"/>
            <w:shd w:val="clear" w:color="auto" w:fill="auto"/>
            <w:vAlign w:val="center"/>
          </w:tcPr>
          <w:p w14:paraId="60C0ECC0"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2018105362948</w:t>
            </w:r>
          </w:p>
        </w:tc>
        <w:tc>
          <w:tcPr>
            <w:tcW w:w="426" w:type="pct"/>
            <w:shd w:val="clear" w:color="auto" w:fill="auto"/>
            <w:vAlign w:val="center"/>
          </w:tcPr>
          <w:p w14:paraId="64475DFC"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2018.5.30</w:t>
            </w:r>
          </w:p>
        </w:tc>
        <w:tc>
          <w:tcPr>
            <w:tcW w:w="1022" w:type="pct"/>
            <w:shd w:val="clear" w:color="auto" w:fill="auto"/>
            <w:vAlign w:val="center"/>
          </w:tcPr>
          <w:p w14:paraId="20ED7D6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51F02DEF"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061F040B"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CE07BE" w14:paraId="03FEDD94" w14:textId="77777777" w:rsidTr="00403479">
        <w:trPr>
          <w:cantSplit/>
          <w:trHeight w:val="454"/>
          <w:jc w:val="center"/>
        </w:trPr>
        <w:tc>
          <w:tcPr>
            <w:tcW w:w="262" w:type="pct"/>
            <w:shd w:val="clear" w:color="auto" w:fill="auto"/>
            <w:vAlign w:val="center"/>
          </w:tcPr>
          <w:p w14:paraId="3F1900CE"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lastRenderedPageBreak/>
              <w:t>5</w:t>
            </w:r>
          </w:p>
        </w:tc>
        <w:tc>
          <w:tcPr>
            <w:tcW w:w="1446" w:type="pct"/>
            <w:shd w:val="clear" w:color="auto" w:fill="auto"/>
            <w:vAlign w:val="center"/>
          </w:tcPr>
          <w:p w14:paraId="3D40AF16"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一种洗衣机配重块安装工装及洗衣机安装系统</w:t>
            </w:r>
          </w:p>
        </w:tc>
        <w:tc>
          <w:tcPr>
            <w:tcW w:w="767" w:type="pct"/>
            <w:shd w:val="clear" w:color="auto" w:fill="auto"/>
            <w:vAlign w:val="center"/>
          </w:tcPr>
          <w:p w14:paraId="7589A712"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2018107592910</w:t>
            </w:r>
          </w:p>
        </w:tc>
        <w:tc>
          <w:tcPr>
            <w:tcW w:w="426" w:type="pct"/>
            <w:shd w:val="clear" w:color="auto" w:fill="auto"/>
            <w:vAlign w:val="center"/>
          </w:tcPr>
          <w:p w14:paraId="3CDB53B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4526E51A"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002FDF9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47A0EF08"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CE07BE" w14:paraId="71C14CB7" w14:textId="77777777" w:rsidTr="00403479">
        <w:trPr>
          <w:cantSplit/>
          <w:trHeight w:val="454"/>
          <w:jc w:val="center"/>
        </w:trPr>
        <w:tc>
          <w:tcPr>
            <w:tcW w:w="262" w:type="pct"/>
            <w:shd w:val="clear" w:color="auto" w:fill="auto"/>
            <w:vAlign w:val="center"/>
          </w:tcPr>
          <w:p w14:paraId="63872632"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6</w:t>
            </w:r>
          </w:p>
        </w:tc>
        <w:tc>
          <w:tcPr>
            <w:tcW w:w="1446" w:type="pct"/>
            <w:shd w:val="clear" w:color="auto" w:fill="auto"/>
            <w:vAlign w:val="center"/>
          </w:tcPr>
          <w:p w14:paraId="52D1252E"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工装夹具及干衣机内筒装配设备</w:t>
            </w:r>
          </w:p>
        </w:tc>
        <w:tc>
          <w:tcPr>
            <w:tcW w:w="767" w:type="pct"/>
            <w:shd w:val="clear" w:color="auto" w:fill="auto"/>
            <w:vAlign w:val="center"/>
          </w:tcPr>
          <w:p w14:paraId="3C8C2775"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2018107628537</w:t>
            </w:r>
          </w:p>
        </w:tc>
        <w:tc>
          <w:tcPr>
            <w:tcW w:w="426" w:type="pct"/>
            <w:shd w:val="clear" w:color="auto" w:fill="auto"/>
            <w:vAlign w:val="center"/>
          </w:tcPr>
          <w:p w14:paraId="67D293DC"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147F4F6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73157B7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1A2DFFF6"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CE07BE" w14:paraId="3906249B" w14:textId="77777777" w:rsidTr="00403479">
        <w:trPr>
          <w:cantSplit/>
          <w:trHeight w:val="454"/>
          <w:jc w:val="center"/>
        </w:trPr>
        <w:tc>
          <w:tcPr>
            <w:tcW w:w="262" w:type="pct"/>
            <w:shd w:val="clear" w:color="auto" w:fill="auto"/>
            <w:vAlign w:val="center"/>
          </w:tcPr>
          <w:p w14:paraId="1FA90C35"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7</w:t>
            </w:r>
          </w:p>
        </w:tc>
        <w:tc>
          <w:tcPr>
            <w:tcW w:w="1446" w:type="pct"/>
            <w:shd w:val="clear" w:color="auto" w:fill="auto"/>
            <w:vAlign w:val="center"/>
          </w:tcPr>
          <w:p w14:paraId="33460D52"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箱体夹抱翻转机构及箱体翻转设备</w:t>
            </w:r>
          </w:p>
        </w:tc>
        <w:tc>
          <w:tcPr>
            <w:tcW w:w="767" w:type="pct"/>
            <w:shd w:val="clear" w:color="auto" w:fill="auto"/>
            <w:vAlign w:val="center"/>
          </w:tcPr>
          <w:p w14:paraId="2179C1E2"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2018107626387</w:t>
            </w:r>
          </w:p>
        </w:tc>
        <w:tc>
          <w:tcPr>
            <w:tcW w:w="426" w:type="pct"/>
            <w:shd w:val="clear" w:color="auto" w:fill="auto"/>
            <w:vAlign w:val="center"/>
          </w:tcPr>
          <w:p w14:paraId="570FAC5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0F52F952"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7D337A5B"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3AE9DE69"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等待实审提案</w:t>
            </w:r>
          </w:p>
        </w:tc>
      </w:tr>
      <w:tr w:rsidR="00CE07BE" w14:paraId="3AF70CFD" w14:textId="77777777" w:rsidTr="00403479">
        <w:trPr>
          <w:cantSplit/>
          <w:trHeight w:val="454"/>
          <w:jc w:val="center"/>
        </w:trPr>
        <w:tc>
          <w:tcPr>
            <w:tcW w:w="262" w:type="pct"/>
            <w:shd w:val="clear" w:color="auto" w:fill="auto"/>
            <w:vAlign w:val="center"/>
          </w:tcPr>
          <w:p w14:paraId="3BB72C92"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8</w:t>
            </w:r>
          </w:p>
        </w:tc>
        <w:tc>
          <w:tcPr>
            <w:tcW w:w="1446" w:type="pct"/>
            <w:shd w:val="clear" w:color="auto" w:fill="auto"/>
            <w:vAlign w:val="center"/>
          </w:tcPr>
          <w:p w14:paraId="7D35A3D8"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电视主板测试方法、装置、系统及测试上位机</w:t>
            </w:r>
          </w:p>
        </w:tc>
        <w:tc>
          <w:tcPr>
            <w:tcW w:w="767" w:type="pct"/>
            <w:shd w:val="clear" w:color="auto" w:fill="auto"/>
            <w:vAlign w:val="center"/>
          </w:tcPr>
          <w:p w14:paraId="0DDB8843"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2018107626372</w:t>
            </w:r>
          </w:p>
        </w:tc>
        <w:tc>
          <w:tcPr>
            <w:tcW w:w="426" w:type="pct"/>
            <w:shd w:val="clear" w:color="auto" w:fill="auto"/>
            <w:vAlign w:val="center"/>
          </w:tcPr>
          <w:p w14:paraId="3A07304E"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40D5027E"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46CD73AA"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52DB1D12"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r w:rsidR="00CE07BE" w14:paraId="028D8513" w14:textId="77777777" w:rsidTr="00403479">
        <w:trPr>
          <w:cantSplit/>
          <w:trHeight w:val="454"/>
          <w:jc w:val="center"/>
        </w:trPr>
        <w:tc>
          <w:tcPr>
            <w:tcW w:w="262" w:type="pct"/>
            <w:shd w:val="clear" w:color="auto" w:fill="auto"/>
            <w:vAlign w:val="center"/>
          </w:tcPr>
          <w:p w14:paraId="32BA0A65"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9</w:t>
            </w:r>
          </w:p>
        </w:tc>
        <w:tc>
          <w:tcPr>
            <w:tcW w:w="1446" w:type="pct"/>
            <w:shd w:val="clear" w:color="auto" w:fill="auto"/>
            <w:vAlign w:val="center"/>
          </w:tcPr>
          <w:p w14:paraId="262D9F48"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多通道高速串行数字视频信号切换设备、切换方法及系统</w:t>
            </w:r>
          </w:p>
        </w:tc>
        <w:tc>
          <w:tcPr>
            <w:tcW w:w="767" w:type="pct"/>
            <w:shd w:val="clear" w:color="auto" w:fill="auto"/>
            <w:vAlign w:val="center"/>
          </w:tcPr>
          <w:p w14:paraId="3F4457C9"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2018101933396</w:t>
            </w:r>
          </w:p>
        </w:tc>
        <w:tc>
          <w:tcPr>
            <w:tcW w:w="426" w:type="pct"/>
            <w:shd w:val="clear" w:color="auto" w:fill="auto"/>
            <w:vAlign w:val="center"/>
          </w:tcPr>
          <w:p w14:paraId="3BE89090"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2018.3.8</w:t>
            </w:r>
          </w:p>
        </w:tc>
        <w:tc>
          <w:tcPr>
            <w:tcW w:w="1022" w:type="pct"/>
            <w:shd w:val="clear" w:color="auto" w:fill="auto"/>
            <w:vAlign w:val="center"/>
          </w:tcPr>
          <w:p w14:paraId="63FEB648"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3DA3DD6B"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527235F9"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r w:rsidR="00CE07BE" w14:paraId="277E2432" w14:textId="77777777" w:rsidTr="00403479">
        <w:trPr>
          <w:cantSplit/>
          <w:trHeight w:val="454"/>
          <w:jc w:val="center"/>
        </w:trPr>
        <w:tc>
          <w:tcPr>
            <w:tcW w:w="262" w:type="pct"/>
            <w:shd w:val="clear" w:color="auto" w:fill="auto"/>
            <w:vAlign w:val="center"/>
          </w:tcPr>
          <w:p w14:paraId="0A36E7CC"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10</w:t>
            </w:r>
          </w:p>
        </w:tc>
        <w:tc>
          <w:tcPr>
            <w:tcW w:w="1446" w:type="pct"/>
            <w:shd w:val="clear" w:color="auto" w:fill="auto"/>
            <w:vAlign w:val="center"/>
          </w:tcPr>
          <w:p w14:paraId="776731EF"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电路板测试方法、装置、系统及测试上位机</w:t>
            </w:r>
          </w:p>
        </w:tc>
        <w:tc>
          <w:tcPr>
            <w:tcW w:w="767" w:type="pct"/>
            <w:shd w:val="clear" w:color="auto" w:fill="auto"/>
            <w:vAlign w:val="center"/>
          </w:tcPr>
          <w:p w14:paraId="4CF390D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2018107626368</w:t>
            </w:r>
          </w:p>
        </w:tc>
        <w:tc>
          <w:tcPr>
            <w:tcW w:w="426" w:type="pct"/>
            <w:shd w:val="clear" w:color="auto" w:fill="auto"/>
            <w:vAlign w:val="center"/>
          </w:tcPr>
          <w:p w14:paraId="3707FF0A"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2018.7.11</w:t>
            </w:r>
          </w:p>
        </w:tc>
        <w:tc>
          <w:tcPr>
            <w:tcW w:w="1022" w:type="pct"/>
            <w:shd w:val="clear" w:color="auto" w:fill="auto"/>
            <w:vAlign w:val="center"/>
          </w:tcPr>
          <w:p w14:paraId="48CFFD4C"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6E351E34"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06D4A9AE"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r w:rsidR="00CE07BE" w14:paraId="3526FA54" w14:textId="77777777" w:rsidTr="00403479">
        <w:trPr>
          <w:cantSplit/>
          <w:trHeight w:val="454"/>
          <w:jc w:val="center"/>
        </w:trPr>
        <w:tc>
          <w:tcPr>
            <w:tcW w:w="262" w:type="pct"/>
            <w:shd w:val="clear" w:color="auto" w:fill="auto"/>
            <w:vAlign w:val="center"/>
          </w:tcPr>
          <w:p w14:paraId="2D3F5D8B" w14:textId="77777777" w:rsidR="00CE07BE" w:rsidRDefault="00CE07BE" w:rsidP="00403479">
            <w:pPr>
              <w:adjustRightInd w:val="0"/>
              <w:snapToGrid w:val="0"/>
              <w:jc w:val="center"/>
              <w:rPr>
                <w:rFonts w:ascii="Times New Roman" w:hAnsi="Times New Roman"/>
                <w:sz w:val="21"/>
                <w:szCs w:val="21"/>
              </w:rPr>
            </w:pPr>
            <w:r>
              <w:rPr>
                <w:rFonts w:ascii="Times New Roman" w:hAnsi="Times New Roman"/>
                <w:sz w:val="21"/>
                <w:szCs w:val="21"/>
              </w:rPr>
              <w:t>11</w:t>
            </w:r>
          </w:p>
        </w:tc>
        <w:tc>
          <w:tcPr>
            <w:tcW w:w="1446" w:type="pct"/>
            <w:shd w:val="clear" w:color="auto" w:fill="auto"/>
            <w:vAlign w:val="center"/>
          </w:tcPr>
          <w:p w14:paraId="72F46CFE"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单主机多工位同步测试的调度方法及装置</w:t>
            </w:r>
          </w:p>
        </w:tc>
        <w:tc>
          <w:tcPr>
            <w:tcW w:w="767" w:type="pct"/>
            <w:shd w:val="clear" w:color="auto" w:fill="auto"/>
            <w:vAlign w:val="center"/>
          </w:tcPr>
          <w:p w14:paraId="260641C3"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2018101935103</w:t>
            </w:r>
          </w:p>
        </w:tc>
        <w:tc>
          <w:tcPr>
            <w:tcW w:w="426" w:type="pct"/>
            <w:shd w:val="clear" w:color="auto" w:fill="auto"/>
            <w:vAlign w:val="center"/>
          </w:tcPr>
          <w:p w14:paraId="5915A87C"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color w:val="000000"/>
                <w:sz w:val="21"/>
                <w:szCs w:val="21"/>
              </w:rPr>
              <w:t>2018.3.8</w:t>
            </w:r>
          </w:p>
        </w:tc>
        <w:tc>
          <w:tcPr>
            <w:tcW w:w="1022" w:type="pct"/>
            <w:shd w:val="clear" w:color="auto" w:fill="auto"/>
            <w:vAlign w:val="center"/>
          </w:tcPr>
          <w:p w14:paraId="2EED844D"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标的公司</w:t>
            </w:r>
          </w:p>
        </w:tc>
        <w:tc>
          <w:tcPr>
            <w:tcW w:w="426" w:type="pct"/>
            <w:shd w:val="clear" w:color="auto" w:fill="auto"/>
            <w:vAlign w:val="center"/>
          </w:tcPr>
          <w:p w14:paraId="68F93CFC"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发明专利</w:t>
            </w:r>
          </w:p>
        </w:tc>
        <w:tc>
          <w:tcPr>
            <w:tcW w:w="651" w:type="pct"/>
            <w:vAlign w:val="center"/>
          </w:tcPr>
          <w:p w14:paraId="3CA58689" w14:textId="77777777" w:rsidR="00CE07BE" w:rsidRPr="00722E5D" w:rsidRDefault="00CE07BE" w:rsidP="00403479">
            <w:pPr>
              <w:adjustRightInd w:val="0"/>
              <w:snapToGrid w:val="0"/>
              <w:jc w:val="center"/>
              <w:rPr>
                <w:rFonts w:ascii="Times New Roman" w:hAnsi="Times New Roman"/>
                <w:color w:val="000000"/>
                <w:sz w:val="21"/>
                <w:szCs w:val="21"/>
              </w:rPr>
            </w:pPr>
            <w:r w:rsidRPr="00722E5D">
              <w:rPr>
                <w:rFonts w:ascii="Times New Roman" w:hAnsi="Times New Roman" w:hint="eastAsia"/>
                <w:color w:val="000000"/>
                <w:sz w:val="21"/>
                <w:szCs w:val="21"/>
              </w:rPr>
              <w:t>驳回等复审请求</w:t>
            </w:r>
          </w:p>
        </w:tc>
      </w:tr>
    </w:tbl>
    <w:bookmarkEnd w:id="32"/>
    <w:p w14:paraId="2E028011"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二、全部或部分专利尚未申请成功的原因</w:t>
      </w:r>
    </w:p>
    <w:p w14:paraId="63226059" w14:textId="77777777" w:rsidR="00CE07BE" w:rsidRDefault="006116D1" w:rsidP="00CE07BE">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截至本核查意见出具日，</w:t>
      </w:r>
      <w:bookmarkStart w:id="33" w:name="_Hlk69802969"/>
      <w:r w:rsidR="00CE07BE" w:rsidRPr="00703BC2">
        <w:rPr>
          <w:rFonts w:ascii="Times New Roman" w:hAnsi="Times New Roman" w:hint="eastAsia"/>
        </w:rPr>
        <w:t>北洋天青申请中的专利</w:t>
      </w:r>
      <w:r w:rsidR="00CE07BE">
        <w:rPr>
          <w:rFonts w:ascii="Times New Roman" w:hAnsi="Times New Roman" w:hint="eastAsia"/>
        </w:rPr>
        <w:t>最新进展</w:t>
      </w:r>
      <w:r w:rsidR="00CE07BE" w:rsidRPr="00703BC2">
        <w:rPr>
          <w:rFonts w:ascii="Times New Roman" w:hAnsi="Times New Roman" w:hint="eastAsia"/>
        </w:rPr>
        <w:t>情况</w:t>
      </w:r>
      <w:r w:rsidR="00CE07BE">
        <w:rPr>
          <w:rFonts w:ascii="Times New Roman" w:hAnsi="Times New Roman" w:hint="eastAsia"/>
        </w:rPr>
        <w:t>及部分</w:t>
      </w:r>
      <w:r w:rsidR="00CE07BE" w:rsidRPr="003C3C51">
        <w:rPr>
          <w:rFonts w:ascii="Times New Roman" w:hAnsi="Times New Roman" w:hint="eastAsia"/>
        </w:rPr>
        <w:t>专利尚未获得授权的原因具体如下：</w:t>
      </w:r>
    </w:p>
    <w:tbl>
      <w:tblPr>
        <w:tblW w:w="4843"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437"/>
        <w:gridCol w:w="2328"/>
        <w:gridCol w:w="1177"/>
        <w:gridCol w:w="710"/>
        <w:gridCol w:w="708"/>
        <w:gridCol w:w="994"/>
        <w:gridCol w:w="1900"/>
      </w:tblGrid>
      <w:tr w:rsidR="00CE07BE" w14:paraId="35565A6D" w14:textId="77777777" w:rsidTr="00403479">
        <w:trPr>
          <w:cantSplit/>
          <w:trHeight w:val="397"/>
          <w:tblHeader/>
          <w:jc w:val="center"/>
        </w:trPr>
        <w:tc>
          <w:tcPr>
            <w:tcW w:w="265" w:type="pct"/>
            <w:tcBorders>
              <w:top w:val="single" w:sz="12" w:space="0" w:color="auto"/>
              <w:bottom w:val="single" w:sz="4" w:space="0" w:color="auto"/>
              <w:right w:val="single" w:sz="4" w:space="0" w:color="auto"/>
            </w:tcBorders>
            <w:shd w:val="clear" w:color="auto" w:fill="auto"/>
            <w:noWrap/>
            <w:vAlign w:val="center"/>
          </w:tcPr>
          <w:p w14:paraId="38D7138B" w14:textId="77777777" w:rsidR="00CE07BE" w:rsidRDefault="00CE07BE" w:rsidP="00403479">
            <w:pPr>
              <w:jc w:val="center"/>
              <w:rPr>
                <w:rFonts w:ascii="Times New Roman" w:hAnsi="Times New Roman" w:cs="Times New Roman"/>
                <w:b/>
                <w:bCs/>
                <w:sz w:val="21"/>
                <w:szCs w:val="21"/>
              </w:rPr>
            </w:pPr>
            <w:bookmarkStart w:id="34" w:name="_Hlk69132417"/>
            <w:r>
              <w:rPr>
                <w:rFonts w:ascii="Times New Roman" w:hAnsi="Times New Roman" w:cs="Times New Roman" w:hint="eastAsia"/>
                <w:b/>
                <w:bCs/>
                <w:sz w:val="21"/>
                <w:szCs w:val="21"/>
              </w:rPr>
              <w:t>序号</w:t>
            </w:r>
          </w:p>
        </w:tc>
        <w:tc>
          <w:tcPr>
            <w:tcW w:w="1410"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2E1593D7" w14:textId="77777777" w:rsidR="00CE07BE" w:rsidRDefault="00CE07BE" w:rsidP="00403479">
            <w:pPr>
              <w:jc w:val="center"/>
              <w:rPr>
                <w:rFonts w:ascii="Times New Roman" w:hAnsi="Times New Roman" w:cs="Times New Roman"/>
                <w:b/>
                <w:bCs/>
                <w:sz w:val="21"/>
                <w:szCs w:val="21"/>
              </w:rPr>
            </w:pPr>
            <w:r>
              <w:rPr>
                <w:rFonts w:ascii="Times New Roman" w:hAnsi="Times New Roman" w:cs="Times New Roman" w:hint="eastAsia"/>
                <w:b/>
                <w:bCs/>
                <w:sz w:val="21"/>
                <w:szCs w:val="21"/>
              </w:rPr>
              <w:t>专利名称</w:t>
            </w:r>
          </w:p>
        </w:tc>
        <w:tc>
          <w:tcPr>
            <w:tcW w:w="713"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0CD55881" w14:textId="77777777" w:rsidR="00CE07BE" w:rsidRDefault="00CE07BE" w:rsidP="0040347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申请号</w:t>
            </w:r>
          </w:p>
        </w:tc>
        <w:tc>
          <w:tcPr>
            <w:tcW w:w="430"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6FB10595" w14:textId="77777777" w:rsidR="00CE07BE" w:rsidRDefault="00CE07BE" w:rsidP="00403479">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申请日期</w:t>
            </w:r>
          </w:p>
        </w:tc>
        <w:tc>
          <w:tcPr>
            <w:tcW w:w="429" w:type="pct"/>
            <w:tcBorders>
              <w:top w:val="single" w:sz="12" w:space="0" w:color="auto"/>
              <w:left w:val="single" w:sz="4" w:space="0" w:color="auto"/>
              <w:bottom w:val="single" w:sz="4" w:space="0" w:color="auto"/>
              <w:right w:val="single" w:sz="4" w:space="0" w:color="auto"/>
            </w:tcBorders>
            <w:shd w:val="clear" w:color="auto" w:fill="auto"/>
            <w:noWrap/>
            <w:vAlign w:val="center"/>
          </w:tcPr>
          <w:p w14:paraId="75301239" w14:textId="77777777" w:rsidR="00CE07BE" w:rsidRDefault="00CE07BE" w:rsidP="00403479">
            <w:pPr>
              <w:jc w:val="center"/>
              <w:rPr>
                <w:rFonts w:ascii="Times New Roman" w:hAnsi="Times New Roman" w:cs="Times New Roman"/>
                <w:b/>
                <w:bCs/>
                <w:sz w:val="21"/>
                <w:szCs w:val="21"/>
              </w:rPr>
            </w:pPr>
            <w:r>
              <w:rPr>
                <w:rFonts w:ascii="Times New Roman" w:hAnsi="Times New Roman" w:cs="Times New Roman" w:hint="eastAsia"/>
                <w:b/>
                <w:bCs/>
                <w:sz w:val="21"/>
                <w:szCs w:val="21"/>
              </w:rPr>
              <w:t>专利类型</w:t>
            </w:r>
          </w:p>
        </w:tc>
        <w:tc>
          <w:tcPr>
            <w:tcW w:w="602" w:type="pct"/>
            <w:tcBorders>
              <w:top w:val="single" w:sz="12" w:space="0" w:color="auto"/>
              <w:left w:val="single" w:sz="4" w:space="0" w:color="auto"/>
              <w:bottom w:val="single" w:sz="4" w:space="0" w:color="auto"/>
              <w:right w:val="single" w:sz="4" w:space="0" w:color="auto"/>
            </w:tcBorders>
            <w:vAlign w:val="center"/>
          </w:tcPr>
          <w:p w14:paraId="50380087" w14:textId="77777777" w:rsidR="00CE07BE" w:rsidRDefault="00CE07BE" w:rsidP="00403479">
            <w:pPr>
              <w:jc w:val="center"/>
              <w:rPr>
                <w:rFonts w:ascii="Times New Roman" w:hAnsi="Times New Roman" w:cs="Times New Roman"/>
                <w:b/>
                <w:bCs/>
                <w:sz w:val="21"/>
                <w:szCs w:val="21"/>
              </w:rPr>
            </w:pPr>
            <w:r>
              <w:rPr>
                <w:rFonts w:ascii="Times New Roman" w:hAnsi="Times New Roman" w:cs="Times New Roman" w:hint="eastAsia"/>
                <w:b/>
                <w:bCs/>
                <w:sz w:val="21"/>
                <w:szCs w:val="21"/>
              </w:rPr>
              <w:t>状态</w:t>
            </w:r>
          </w:p>
        </w:tc>
        <w:tc>
          <w:tcPr>
            <w:tcW w:w="1151" w:type="pct"/>
            <w:tcBorders>
              <w:top w:val="single" w:sz="12" w:space="0" w:color="auto"/>
              <w:left w:val="single" w:sz="4" w:space="0" w:color="auto"/>
              <w:bottom w:val="single" w:sz="4" w:space="0" w:color="auto"/>
            </w:tcBorders>
            <w:vAlign w:val="center"/>
          </w:tcPr>
          <w:p w14:paraId="0F792392" w14:textId="77777777" w:rsidR="00CE07BE" w:rsidRDefault="00CE07BE" w:rsidP="00403479">
            <w:pPr>
              <w:jc w:val="center"/>
              <w:rPr>
                <w:rFonts w:ascii="Times New Roman" w:hAnsi="Times New Roman" w:cs="Times New Roman"/>
                <w:b/>
                <w:bCs/>
                <w:sz w:val="21"/>
                <w:szCs w:val="21"/>
              </w:rPr>
            </w:pPr>
            <w:r>
              <w:rPr>
                <w:rFonts w:ascii="Times New Roman" w:hAnsi="Times New Roman" w:cs="Times New Roman" w:hint="eastAsia"/>
                <w:b/>
                <w:bCs/>
                <w:sz w:val="21"/>
                <w:szCs w:val="21"/>
              </w:rPr>
              <w:t>尚未申请成功的原因</w:t>
            </w:r>
          </w:p>
        </w:tc>
      </w:tr>
      <w:tr w:rsidR="00CE07BE" w14:paraId="76224434"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4CD7DEE3"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E9BC2"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一种堵料供料机及应用堵料供料机的自动注料系统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FA2D87"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2019104599679</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B17BE5"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2019.5.30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EAD097"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175106E0"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等年登印费</w:t>
            </w:r>
          </w:p>
        </w:tc>
        <w:tc>
          <w:tcPr>
            <w:tcW w:w="1151" w:type="pct"/>
            <w:tcBorders>
              <w:top w:val="single" w:sz="4" w:space="0" w:color="auto"/>
              <w:left w:val="single" w:sz="4" w:space="0" w:color="auto"/>
              <w:bottom w:val="single" w:sz="4" w:space="0" w:color="auto"/>
            </w:tcBorders>
            <w:vAlign w:val="center"/>
          </w:tcPr>
          <w:p w14:paraId="1A8186EF"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2</w:t>
            </w:r>
            <w:r w:rsidRPr="00416C9E">
              <w:rPr>
                <w:rFonts w:ascii="Times New Roman" w:hAnsi="Times New Roman"/>
                <w:color w:val="000000"/>
                <w:sz w:val="21"/>
                <w:szCs w:val="21"/>
              </w:rPr>
              <w:t>021</w:t>
            </w:r>
            <w:r w:rsidRPr="00416C9E">
              <w:rPr>
                <w:rFonts w:ascii="Times New Roman" w:hAnsi="Times New Roman" w:hint="eastAsia"/>
                <w:color w:val="000000"/>
                <w:sz w:val="21"/>
                <w:szCs w:val="21"/>
              </w:rPr>
              <w:t>年</w:t>
            </w:r>
            <w:r w:rsidRPr="00416C9E">
              <w:rPr>
                <w:rFonts w:ascii="Times New Roman" w:hAnsi="Times New Roman" w:hint="eastAsia"/>
                <w:color w:val="000000"/>
                <w:sz w:val="21"/>
                <w:szCs w:val="21"/>
              </w:rPr>
              <w:t>4</w:t>
            </w:r>
            <w:r w:rsidRPr="00416C9E">
              <w:rPr>
                <w:rFonts w:ascii="Times New Roman" w:hAnsi="Times New Roman" w:hint="eastAsia"/>
                <w:color w:val="000000"/>
                <w:sz w:val="21"/>
                <w:szCs w:val="21"/>
              </w:rPr>
              <w:t>月</w:t>
            </w:r>
            <w:r w:rsidRPr="00416C9E">
              <w:rPr>
                <w:rFonts w:ascii="Times New Roman" w:hAnsi="Times New Roman" w:hint="eastAsia"/>
                <w:color w:val="000000"/>
                <w:sz w:val="21"/>
                <w:szCs w:val="21"/>
              </w:rPr>
              <w:t>1</w:t>
            </w:r>
            <w:r w:rsidRPr="00416C9E">
              <w:rPr>
                <w:rFonts w:ascii="Times New Roman" w:hAnsi="Times New Roman"/>
                <w:color w:val="000000"/>
                <w:sz w:val="21"/>
                <w:szCs w:val="21"/>
              </w:rPr>
              <w:t>6</w:t>
            </w:r>
            <w:r w:rsidRPr="00416C9E">
              <w:rPr>
                <w:rFonts w:ascii="Times New Roman" w:hAnsi="Times New Roman" w:hint="eastAsia"/>
                <w:color w:val="000000"/>
                <w:sz w:val="21"/>
                <w:szCs w:val="21"/>
              </w:rPr>
              <w:t>日取得《授予发明专利权通知书》，申请人办理登记手续后将颁发发明专利证书</w:t>
            </w:r>
          </w:p>
        </w:tc>
      </w:tr>
      <w:tr w:rsidR="00CE07BE" w14:paraId="5C02A531"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1B9F86BD"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sz w:val="21"/>
                <w:szCs w:val="21"/>
              </w:rPr>
              <w:t>2</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00C046"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干衣机内筒涂胶设备及其涂胶工艺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DD1F71"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2018105682594</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0BD5A5"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2018.5.30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FD923"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6B09D50D"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733F3C8B"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CE07BE" w14:paraId="2025F71C"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6C883D03"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sz w:val="21"/>
                <w:szCs w:val="21"/>
              </w:rPr>
              <w:t>3</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991BA"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干衣机门体涂胶设备及其涂胶工艺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786D4E"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2018105362948</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060FEC"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2018.5.30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9D8843"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1381164F"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5A418F5E"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CE07BE" w14:paraId="4D9ABE56"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6B85A2D1"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sz w:val="21"/>
                <w:szCs w:val="21"/>
              </w:rPr>
              <w:t>4</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C42E3B"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一种洗衣机配重块安装工装及洗衣机安装系统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E3C1E"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2018107592910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50498"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4E1B50"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197AA05C"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1066AA2A"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CE07BE" w14:paraId="3E8F68CA"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4484C21B"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sz w:val="21"/>
                <w:szCs w:val="21"/>
              </w:rPr>
              <w:t>5</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176FFC"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工装夹具及干衣机内筒装配设备</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2FD8CA"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2018107628537</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C6061"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2A160D"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0B9CACAA"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1498A219"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CE07BE" w14:paraId="5D96CA19"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1EB3D2E6"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6</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E9279"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箱体夹抱翻转机构及箱体翻转设备</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3632C2"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2018107626387</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5E743"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C5C450"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43091C23"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4F8933D8"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CE07BE" w14:paraId="1205FA25"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7CD3F8BF"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7</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AA528"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一种门体配送的空中积放控制系统及其方法</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ECD6B"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2020113353223</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B4C46"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A016D"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5045B74C"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等待实审提案</w:t>
            </w:r>
          </w:p>
        </w:tc>
        <w:tc>
          <w:tcPr>
            <w:tcW w:w="1151" w:type="pct"/>
            <w:tcBorders>
              <w:top w:val="single" w:sz="4" w:space="0" w:color="auto"/>
              <w:left w:val="single" w:sz="4" w:space="0" w:color="auto"/>
              <w:bottom w:val="single" w:sz="4" w:space="0" w:color="auto"/>
            </w:tcBorders>
            <w:vAlign w:val="center"/>
          </w:tcPr>
          <w:p w14:paraId="1D95AC76"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实质审查阶段，等待审核意见</w:t>
            </w:r>
          </w:p>
        </w:tc>
      </w:tr>
      <w:tr w:rsidR="00CE07BE" w14:paraId="639328C2"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0A5A17AA"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8</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4A8D67"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门壳自动线换模系统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1F8E8B"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2020116035010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AC5A71"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662EA"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35DD77E3"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初审</w:t>
            </w:r>
          </w:p>
          <w:p w14:paraId="0C4D00E1"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合格</w:t>
            </w:r>
          </w:p>
        </w:tc>
        <w:tc>
          <w:tcPr>
            <w:tcW w:w="1151" w:type="pct"/>
            <w:tcBorders>
              <w:top w:val="single" w:sz="4" w:space="0" w:color="auto"/>
              <w:left w:val="single" w:sz="4" w:space="0" w:color="auto"/>
              <w:bottom w:val="single" w:sz="4" w:space="0" w:color="auto"/>
            </w:tcBorders>
            <w:vAlign w:val="center"/>
          </w:tcPr>
          <w:p w14:paraId="0127812C"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初审合格</w:t>
            </w:r>
            <w:r w:rsidRPr="00416C9E">
              <w:rPr>
                <w:rFonts w:ascii="Times New Roman" w:hAnsi="Times New Roman"/>
                <w:color w:val="000000"/>
                <w:sz w:val="21"/>
                <w:szCs w:val="21"/>
              </w:rPr>
              <w:t>,</w:t>
            </w:r>
            <w:r w:rsidRPr="00416C9E">
              <w:rPr>
                <w:rFonts w:ascii="Times New Roman" w:hAnsi="Times New Roman" w:hint="eastAsia"/>
                <w:color w:val="000000"/>
                <w:sz w:val="21"/>
                <w:szCs w:val="21"/>
              </w:rPr>
              <w:t>等待实质审查</w:t>
            </w:r>
          </w:p>
        </w:tc>
      </w:tr>
      <w:tr w:rsidR="00CE07BE" w14:paraId="77AB01A1"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1F8F8806"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lastRenderedPageBreak/>
              <w:t>9</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62228C"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一种冰箱自动上压机生产系统及其自动上压机生产方法</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442EE"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2020116035699</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1877C7"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80CE6"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65D393EB"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00DE7957"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71E19F59"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7C050581"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766A833B"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10</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9777A"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一种用于积放小车的强轴向力摩擦杆安装结构</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965B4"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2020227565478</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AF70E7"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8AFE79"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77513667"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01A11471"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1B99F2D1"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0EED4FA5"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67B11970"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11</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9D1C1"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一种防脱轨的积放小车</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609A74"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2020227565552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2169B"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F9F034"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0780E811"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77537A3C"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58855A7D"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4A31942C"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41152570"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12</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4A11E0"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一种吊胆提升机组</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9CB690"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2020227596885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147347"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9730C7"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48370ECB"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033F6D0C"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33471D08"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602A48E9"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6B0E4BC6"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13</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7DEB6F"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一种新型摩擦杆动力传输机构</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BDC894"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2020227623312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C4CC01"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2020.11.25</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D30DF8"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71CBA122"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2BF17E7A"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6A8DE22A"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2B829E2A"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513C02D0"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14</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4BC2F"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一种模具立体仓库</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409A7"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2020229581085</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231672"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2020.12.9</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20F7E5"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12D2D5ED"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3D658E62"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7C1422A9"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7AD42C1D"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4CFA72F8"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15</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197966"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一种冰箱自动上压机生产系统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5307B5"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2020232655900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5B99CC"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8084B"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72D2EF46"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21323BF4"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1F32CC4B"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35E9463A"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38AD50B1"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16</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FD6F63"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门壳自动线换模系统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A7280A"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2020232911150</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B80A3C"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2020.12.30</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6D6A59"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实用新型</w:t>
            </w:r>
          </w:p>
        </w:tc>
        <w:tc>
          <w:tcPr>
            <w:tcW w:w="602" w:type="pct"/>
            <w:tcBorders>
              <w:top w:val="single" w:sz="4" w:space="0" w:color="auto"/>
              <w:left w:val="single" w:sz="4" w:space="0" w:color="auto"/>
              <w:bottom w:val="single" w:sz="4" w:space="0" w:color="auto"/>
              <w:right w:val="single" w:sz="4" w:space="0" w:color="auto"/>
            </w:tcBorders>
            <w:vAlign w:val="center"/>
          </w:tcPr>
          <w:p w14:paraId="7695CE44" w14:textId="77777777" w:rsidR="00CE07BE" w:rsidRPr="00416C9E" w:rsidRDefault="00CE07BE" w:rsidP="00403479">
            <w:pPr>
              <w:adjustRightInd w:val="0"/>
              <w:snapToGrid w:val="0"/>
              <w:jc w:val="center"/>
              <w:rPr>
                <w:rFonts w:ascii="Times New Roman" w:hAnsi="Times New Roman"/>
                <w:color w:val="000000"/>
                <w:sz w:val="21"/>
                <w:szCs w:val="21"/>
              </w:rPr>
            </w:pPr>
            <w:r w:rsidRPr="00416C9E">
              <w:rPr>
                <w:rFonts w:ascii="Times New Roman" w:hAnsi="Times New Roman" w:hint="eastAsia"/>
                <w:color w:val="000000"/>
                <w:sz w:val="21"/>
                <w:szCs w:val="21"/>
              </w:rPr>
              <w:t>受理</w:t>
            </w:r>
          </w:p>
          <w:p w14:paraId="6C17034E"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审查</w:t>
            </w:r>
          </w:p>
        </w:tc>
        <w:tc>
          <w:tcPr>
            <w:tcW w:w="1151" w:type="pct"/>
            <w:tcBorders>
              <w:top w:val="single" w:sz="4" w:space="0" w:color="auto"/>
              <w:left w:val="single" w:sz="4" w:space="0" w:color="auto"/>
              <w:bottom w:val="single" w:sz="4" w:space="0" w:color="auto"/>
            </w:tcBorders>
            <w:vAlign w:val="center"/>
          </w:tcPr>
          <w:p w14:paraId="49E6CA3C"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案件已受理，正在等待审查意见</w:t>
            </w:r>
          </w:p>
        </w:tc>
      </w:tr>
      <w:tr w:rsidR="00CE07BE" w14:paraId="61FB59F8"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5137DE29"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17</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52A27C"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电视主板测试方法、装置、系统及测试上位机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3055D9"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2018107626372</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A47C4"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7FED31"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09BB331E"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4" w:space="0" w:color="auto"/>
            </w:tcBorders>
            <w:vAlign w:val="center"/>
          </w:tcPr>
          <w:p w14:paraId="6DA4AFDB"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r w:rsidR="00CE07BE" w14:paraId="5BF1B715"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02B77137"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18</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7EF098"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多通道高速串行数字视频信号切换设备、切换方法及系统</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E0D81A"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2018101933396</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CF48F8"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2018.3.8</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2F1EC0"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07BB5843"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4" w:space="0" w:color="auto"/>
            </w:tcBorders>
            <w:vAlign w:val="center"/>
          </w:tcPr>
          <w:p w14:paraId="3935B1C5"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r w:rsidR="00CE07BE" w14:paraId="5CD6058F" w14:textId="77777777" w:rsidTr="00403479">
        <w:trPr>
          <w:cantSplit/>
          <w:trHeight w:val="397"/>
          <w:jc w:val="center"/>
        </w:trPr>
        <w:tc>
          <w:tcPr>
            <w:tcW w:w="265" w:type="pct"/>
            <w:tcBorders>
              <w:top w:val="single" w:sz="4" w:space="0" w:color="auto"/>
              <w:bottom w:val="single" w:sz="4" w:space="0" w:color="auto"/>
              <w:right w:val="single" w:sz="4" w:space="0" w:color="auto"/>
            </w:tcBorders>
            <w:shd w:val="clear" w:color="auto" w:fill="auto"/>
            <w:noWrap/>
            <w:vAlign w:val="center"/>
          </w:tcPr>
          <w:p w14:paraId="630980FC"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19</w:t>
            </w:r>
          </w:p>
        </w:tc>
        <w:tc>
          <w:tcPr>
            <w:tcW w:w="14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63403"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电路板测试方法、装置、系统及测试上位机</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64994"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2018107626368</w:t>
            </w:r>
          </w:p>
        </w:tc>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1A195"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2018.7.11</w:t>
            </w:r>
          </w:p>
        </w:tc>
        <w:tc>
          <w:tcPr>
            <w:tcW w:w="42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00C3C5"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4" w:space="0" w:color="auto"/>
              <w:right w:val="single" w:sz="4" w:space="0" w:color="auto"/>
            </w:tcBorders>
            <w:vAlign w:val="center"/>
          </w:tcPr>
          <w:p w14:paraId="536332F5"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4" w:space="0" w:color="auto"/>
            </w:tcBorders>
            <w:vAlign w:val="center"/>
          </w:tcPr>
          <w:p w14:paraId="1FA6CB68"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r w:rsidR="00CE07BE" w14:paraId="340C28FE" w14:textId="77777777" w:rsidTr="00403479">
        <w:trPr>
          <w:cantSplit/>
          <w:trHeight w:val="397"/>
          <w:jc w:val="center"/>
        </w:trPr>
        <w:tc>
          <w:tcPr>
            <w:tcW w:w="265" w:type="pct"/>
            <w:tcBorders>
              <w:top w:val="single" w:sz="4" w:space="0" w:color="auto"/>
              <w:bottom w:val="single" w:sz="12" w:space="0" w:color="auto"/>
              <w:right w:val="single" w:sz="4" w:space="0" w:color="auto"/>
            </w:tcBorders>
            <w:shd w:val="clear" w:color="auto" w:fill="auto"/>
            <w:noWrap/>
            <w:vAlign w:val="center"/>
          </w:tcPr>
          <w:p w14:paraId="19A0224F"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sz w:val="21"/>
                <w:szCs w:val="21"/>
              </w:rPr>
              <w:t>20</w:t>
            </w:r>
          </w:p>
        </w:tc>
        <w:tc>
          <w:tcPr>
            <w:tcW w:w="1410"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2F50DEA2"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单主机多工位同步测试的调度方法及装置</w:t>
            </w:r>
          </w:p>
        </w:tc>
        <w:tc>
          <w:tcPr>
            <w:tcW w:w="713"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4C79AD97"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2018101935103</w:t>
            </w:r>
          </w:p>
        </w:tc>
        <w:tc>
          <w:tcPr>
            <w:tcW w:w="430"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7305514B" w14:textId="77777777" w:rsidR="00CE07BE" w:rsidRPr="00416C9E" w:rsidRDefault="00CE07BE" w:rsidP="00403479">
            <w:pPr>
              <w:jc w:val="center"/>
              <w:rPr>
                <w:rFonts w:ascii="Times New Roman" w:hAnsi="Times New Roman" w:cs="Times New Roman"/>
                <w:color w:val="000000"/>
                <w:sz w:val="21"/>
                <w:szCs w:val="21"/>
              </w:rPr>
            </w:pPr>
            <w:r w:rsidRPr="00416C9E">
              <w:rPr>
                <w:rFonts w:ascii="Times New Roman" w:hAnsi="Times New Roman"/>
                <w:color w:val="000000"/>
                <w:sz w:val="21"/>
                <w:szCs w:val="21"/>
              </w:rPr>
              <w:t>2018.3.8</w:t>
            </w:r>
          </w:p>
        </w:tc>
        <w:tc>
          <w:tcPr>
            <w:tcW w:w="429" w:type="pct"/>
            <w:tcBorders>
              <w:top w:val="single" w:sz="4" w:space="0" w:color="auto"/>
              <w:left w:val="single" w:sz="4" w:space="0" w:color="auto"/>
              <w:bottom w:val="single" w:sz="12" w:space="0" w:color="auto"/>
              <w:right w:val="single" w:sz="4" w:space="0" w:color="auto"/>
            </w:tcBorders>
            <w:shd w:val="clear" w:color="auto" w:fill="auto"/>
            <w:noWrap/>
            <w:vAlign w:val="center"/>
          </w:tcPr>
          <w:p w14:paraId="2E0CA97A"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发明专利</w:t>
            </w:r>
          </w:p>
        </w:tc>
        <w:tc>
          <w:tcPr>
            <w:tcW w:w="602" w:type="pct"/>
            <w:tcBorders>
              <w:top w:val="single" w:sz="4" w:space="0" w:color="auto"/>
              <w:left w:val="single" w:sz="4" w:space="0" w:color="auto"/>
              <w:bottom w:val="single" w:sz="12" w:space="0" w:color="auto"/>
              <w:right w:val="single" w:sz="4" w:space="0" w:color="auto"/>
            </w:tcBorders>
            <w:vAlign w:val="center"/>
          </w:tcPr>
          <w:p w14:paraId="36CE7148" w14:textId="77777777" w:rsidR="00CE07BE" w:rsidRPr="00416C9E" w:rsidRDefault="00CE07BE" w:rsidP="00403479">
            <w:pPr>
              <w:jc w:val="center"/>
              <w:rPr>
                <w:rFonts w:ascii="Times New Roman" w:hAnsi="Times New Roman" w:cs="Times New Roman"/>
                <w:sz w:val="21"/>
                <w:szCs w:val="21"/>
              </w:rPr>
            </w:pPr>
            <w:r w:rsidRPr="00416C9E">
              <w:rPr>
                <w:rFonts w:ascii="Times New Roman" w:hAnsi="Times New Roman" w:hint="eastAsia"/>
                <w:color w:val="000000"/>
                <w:sz w:val="21"/>
                <w:szCs w:val="21"/>
              </w:rPr>
              <w:t>驳回等复审请求</w:t>
            </w:r>
          </w:p>
        </w:tc>
        <w:tc>
          <w:tcPr>
            <w:tcW w:w="1151" w:type="pct"/>
            <w:tcBorders>
              <w:top w:val="single" w:sz="4" w:space="0" w:color="auto"/>
              <w:left w:val="single" w:sz="4" w:space="0" w:color="auto"/>
              <w:bottom w:val="single" w:sz="12" w:space="0" w:color="auto"/>
            </w:tcBorders>
            <w:vAlign w:val="center"/>
          </w:tcPr>
          <w:p w14:paraId="28DCA755" w14:textId="77777777" w:rsidR="00CE07BE" w:rsidRPr="00416C9E" w:rsidRDefault="00CE07BE" w:rsidP="00403479">
            <w:pPr>
              <w:jc w:val="both"/>
              <w:rPr>
                <w:rFonts w:ascii="Times New Roman" w:hAnsi="Times New Roman" w:cs="Times New Roman"/>
                <w:sz w:val="21"/>
                <w:szCs w:val="21"/>
              </w:rPr>
            </w:pPr>
            <w:r w:rsidRPr="00416C9E">
              <w:rPr>
                <w:rFonts w:ascii="Times New Roman" w:hAnsi="Times New Roman" w:hint="eastAsia"/>
                <w:color w:val="000000"/>
                <w:sz w:val="21"/>
                <w:szCs w:val="21"/>
              </w:rPr>
              <w:t>审查认为不具有创造性</w:t>
            </w:r>
          </w:p>
        </w:tc>
      </w:tr>
    </w:tbl>
    <w:bookmarkEnd w:id="33"/>
    <w:bookmarkEnd w:id="34"/>
    <w:p w14:paraId="2C2588DA" w14:textId="345363F6" w:rsidR="00C02929" w:rsidRDefault="00504445" w:rsidP="00CE07BE">
      <w:pPr>
        <w:spacing w:beforeLines="50" w:before="156" w:line="360" w:lineRule="auto"/>
        <w:ind w:firstLineChars="200" w:firstLine="480"/>
        <w:jc w:val="both"/>
        <w:rPr>
          <w:rFonts w:ascii="Times New Roman" w:hAnsi="Times New Roman" w:cs="Times New Roman"/>
          <w:bCs/>
          <w:color w:val="000000"/>
          <w:szCs w:val="21"/>
        </w:rPr>
      </w:pPr>
      <w:r w:rsidRPr="003C3C51">
        <w:rPr>
          <w:rFonts w:ascii="Times New Roman" w:hAnsi="Times New Roman" w:hint="eastAsia"/>
          <w:bCs/>
          <w:color w:val="000000"/>
        </w:rPr>
        <w:t>标的公司申请日为</w:t>
      </w:r>
      <w:r w:rsidRPr="003C3C51">
        <w:rPr>
          <w:rFonts w:ascii="Times New Roman" w:hAnsi="Times New Roman" w:hint="eastAsia"/>
          <w:bCs/>
          <w:color w:val="000000"/>
        </w:rPr>
        <w:t>2</w:t>
      </w:r>
      <w:r w:rsidRPr="003C3C51">
        <w:rPr>
          <w:rFonts w:ascii="Times New Roman" w:hAnsi="Times New Roman"/>
          <w:bCs/>
          <w:color w:val="000000"/>
        </w:rPr>
        <w:t>020</w:t>
      </w:r>
      <w:r w:rsidRPr="003C3C51">
        <w:rPr>
          <w:rFonts w:ascii="Times New Roman" w:hAnsi="Times New Roman" w:hint="eastAsia"/>
          <w:bCs/>
          <w:color w:val="000000"/>
        </w:rPr>
        <w:t>年</w:t>
      </w:r>
      <w:r w:rsidRPr="003C3C51">
        <w:rPr>
          <w:rFonts w:ascii="Times New Roman" w:hAnsi="Times New Roman" w:hint="eastAsia"/>
          <w:bCs/>
          <w:color w:val="000000"/>
        </w:rPr>
        <w:t>1</w:t>
      </w:r>
      <w:r w:rsidRPr="003C3C51">
        <w:rPr>
          <w:rFonts w:ascii="Times New Roman" w:hAnsi="Times New Roman" w:hint="eastAsia"/>
          <w:bCs/>
          <w:color w:val="000000"/>
        </w:rPr>
        <w:t>月</w:t>
      </w:r>
      <w:r w:rsidRPr="003C3C51">
        <w:rPr>
          <w:rFonts w:ascii="Times New Roman" w:hAnsi="Times New Roman" w:hint="eastAsia"/>
          <w:bCs/>
          <w:color w:val="000000"/>
        </w:rPr>
        <w:t>1</w:t>
      </w:r>
      <w:r w:rsidRPr="003C3C51">
        <w:rPr>
          <w:rFonts w:ascii="Times New Roman" w:hAnsi="Times New Roman" w:hint="eastAsia"/>
          <w:bCs/>
          <w:color w:val="000000"/>
        </w:rPr>
        <w:t>日以前</w:t>
      </w:r>
      <w:r>
        <w:rPr>
          <w:rFonts w:ascii="Times New Roman" w:hAnsi="Times New Roman" w:hint="eastAsia"/>
          <w:bCs/>
          <w:color w:val="000000"/>
        </w:rPr>
        <w:t>且</w:t>
      </w:r>
      <w:r w:rsidRPr="003C3C51">
        <w:rPr>
          <w:rFonts w:ascii="Times New Roman" w:hAnsi="Times New Roman" w:hint="eastAsia"/>
          <w:bCs/>
          <w:color w:val="000000"/>
        </w:rPr>
        <w:t>尚未获得授权的专利</w:t>
      </w:r>
      <w:r>
        <w:rPr>
          <w:rFonts w:ascii="Times New Roman" w:hAnsi="Times New Roman" w:hint="eastAsia"/>
          <w:bCs/>
          <w:color w:val="000000"/>
        </w:rPr>
        <w:t>共</w:t>
      </w:r>
      <w:r>
        <w:rPr>
          <w:rFonts w:ascii="Times New Roman" w:hAnsi="Times New Roman" w:hint="eastAsia"/>
          <w:bCs/>
          <w:color w:val="000000"/>
        </w:rPr>
        <w:t>1</w:t>
      </w:r>
      <w:r>
        <w:rPr>
          <w:rFonts w:ascii="Times New Roman" w:hAnsi="Times New Roman"/>
          <w:bCs/>
          <w:color w:val="000000"/>
        </w:rPr>
        <w:t>0</w:t>
      </w:r>
      <w:r>
        <w:rPr>
          <w:rFonts w:ascii="Times New Roman" w:hAnsi="Times New Roman" w:hint="eastAsia"/>
          <w:bCs/>
          <w:color w:val="000000"/>
        </w:rPr>
        <w:t>项，尚未获得授权的主要原因为专利申请已进入实质审查阶段等待审查意见，或者专利主管部门认为申请的专利不具有创造性作出驳回决定，该等原因系发明专利申请过程中的常见情况，</w:t>
      </w:r>
      <w:r w:rsidR="00CE07BE">
        <w:rPr>
          <w:rFonts w:ascii="Times New Roman" w:hAnsi="Times New Roman" w:hint="eastAsia"/>
          <w:bCs/>
          <w:color w:val="000000"/>
        </w:rPr>
        <w:t>专利申请人通常需要根据专利主管部门的意见做出一次或多次答复，才能获得授权。对于被驳回的专利申请，标的公司目前正在研讨论证是否提出专利复审申请或其他专利申请；对于专利主管部门提出的审查意见，标的公司将积极给予答复，以推动申请进程的完成并获得授权专利。</w:t>
      </w:r>
    </w:p>
    <w:p w14:paraId="36FFE7A4"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lastRenderedPageBreak/>
        <w:t>3</w:t>
      </w:r>
      <w:r>
        <w:rPr>
          <w:rFonts w:ascii="Times New Roman" w:eastAsia="黑体" w:hAnsi="Times New Roman" w:cs="Times New Roman" w:hint="eastAsia"/>
          <w:b/>
          <w:color w:val="000000"/>
          <w:szCs w:val="21"/>
        </w:rPr>
        <w:t>）标的资产核心技术人员在其他企事业单位任职或投资情况（如有）及其原因，该等行为是否违反与标的资产签订的竞业限制等相关协议。</w:t>
      </w:r>
    </w:p>
    <w:p w14:paraId="12664D42"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截至本核查意见出具日，标的公司的核心技术人员为周业荣、程云南、张李强、刘成斌、帅智强。</w:t>
      </w:r>
    </w:p>
    <w:p w14:paraId="3750562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根据标的公司核心技术人员填写的《自然人情况查询表及承诺》及出具的承诺，标的公司的核心技术人员均不存在在其他企事业单位任职或投资的情况，不存在违反与标的公司签订的竞业限制等相关协议的情形。</w:t>
      </w:r>
    </w:p>
    <w:p w14:paraId="2006DF7B"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）报告期内标的资产技术人员离职情况，防止交易完成后核心技术人员流失的措施及其充分性</w:t>
      </w:r>
    </w:p>
    <w:p w14:paraId="42B83113"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一、报告期内标的资产技术人员离职情况</w:t>
      </w:r>
    </w:p>
    <w:p w14:paraId="2F3F7301" w14:textId="45EC4158"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标的公司及其子公司</w:t>
      </w:r>
      <w:r>
        <w:rPr>
          <w:rFonts w:ascii="Times New Roman" w:hAnsi="Times New Roman" w:cs="Times New Roman"/>
          <w:bCs/>
          <w:color w:val="000000"/>
          <w:szCs w:val="21"/>
        </w:rPr>
        <w:t>2018</w:t>
      </w:r>
      <w:r>
        <w:rPr>
          <w:rFonts w:ascii="Times New Roman" w:hAnsi="Times New Roman" w:cs="Times New Roman"/>
          <w:bCs/>
          <w:color w:val="000000"/>
          <w:szCs w:val="21"/>
        </w:rPr>
        <w:t>年</w:t>
      </w:r>
      <w:r>
        <w:rPr>
          <w:rFonts w:ascii="Times New Roman" w:hAnsi="Times New Roman" w:cs="Times New Roman"/>
          <w:bCs/>
          <w:color w:val="000000"/>
          <w:szCs w:val="21"/>
        </w:rPr>
        <w:t>1</w:t>
      </w:r>
      <w:r>
        <w:rPr>
          <w:rFonts w:ascii="Times New Roman" w:hAnsi="Times New Roman" w:cs="Times New Roman"/>
          <w:bCs/>
          <w:color w:val="000000"/>
          <w:szCs w:val="21"/>
        </w:rPr>
        <w:t>月</w:t>
      </w:r>
      <w:r>
        <w:rPr>
          <w:rFonts w:ascii="Times New Roman" w:hAnsi="Times New Roman" w:cs="Times New Roman"/>
          <w:bCs/>
          <w:color w:val="000000"/>
          <w:szCs w:val="21"/>
        </w:rPr>
        <w:t>1</w:t>
      </w:r>
      <w:r>
        <w:rPr>
          <w:rFonts w:ascii="Times New Roman" w:hAnsi="Times New Roman" w:cs="Times New Roman"/>
          <w:bCs/>
          <w:color w:val="000000"/>
          <w:szCs w:val="21"/>
        </w:rPr>
        <w:t>日在岗技术人员人数为</w:t>
      </w:r>
      <w:r>
        <w:rPr>
          <w:rFonts w:ascii="Times New Roman" w:hAnsi="Times New Roman" w:cs="Times New Roman"/>
          <w:bCs/>
          <w:color w:val="000000"/>
          <w:szCs w:val="21"/>
        </w:rPr>
        <w:t>23</w:t>
      </w:r>
      <w:r>
        <w:rPr>
          <w:rFonts w:ascii="Times New Roman" w:hAnsi="Times New Roman" w:cs="Times New Roman"/>
          <w:bCs/>
          <w:color w:val="000000"/>
          <w:szCs w:val="21"/>
        </w:rPr>
        <w:t>人，截至</w:t>
      </w:r>
      <w:r>
        <w:rPr>
          <w:rFonts w:ascii="Times New Roman" w:hAnsi="Times New Roman" w:cs="Times New Roman"/>
          <w:bCs/>
          <w:color w:val="000000"/>
          <w:szCs w:val="21"/>
        </w:rPr>
        <w:t>2020</w:t>
      </w:r>
      <w:r>
        <w:rPr>
          <w:rFonts w:ascii="Times New Roman" w:hAnsi="Times New Roman" w:cs="Times New Roman"/>
          <w:bCs/>
          <w:color w:val="000000"/>
          <w:szCs w:val="21"/>
        </w:rPr>
        <w:t>年</w:t>
      </w:r>
      <w:r>
        <w:rPr>
          <w:rFonts w:ascii="Times New Roman" w:hAnsi="Times New Roman" w:cs="Times New Roman"/>
          <w:bCs/>
          <w:color w:val="000000"/>
          <w:szCs w:val="21"/>
        </w:rPr>
        <w:t>12</w:t>
      </w:r>
      <w:r>
        <w:rPr>
          <w:rFonts w:ascii="Times New Roman" w:hAnsi="Times New Roman" w:cs="Times New Roman"/>
          <w:bCs/>
          <w:color w:val="000000"/>
          <w:szCs w:val="21"/>
        </w:rPr>
        <w:t>月</w:t>
      </w:r>
      <w:r>
        <w:rPr>
          <w:rFonts w:ascii="Times New Roman" w:hAnsi="Times New Roman" w:cs="Times New Roman"/>
          <w:bCs/>
          <w:color w:val="000000"/>
          <w:szCs w:val="21"/>
        </w:rPr>
        <w:t>31</w:t>
      </w:r>
      <w:r>
        <w:rPr>
          <w:rFonts w:ascii="Times New Roman" w:hAnsi="Times New Roman" w:cs="Times New Roman"/>
          <w:bCs/>
          <w:color w:val="000000"/>
          <w:szCs w:val="21"/>
        </w:rPr>
        <w:t>日在岗技术人员人数为</w:t>
      </w:r>
      <w:r>
        <w:rPr>
          <w:rFonts w:ascii="Times New Roman" w:hAnsi="Times New Roman" w:cs="Times New Roman"/>
          <w:bCs/>
          <w:color w:val="000000"/>
          <w:szCs w:val="21"/>
        </w:rPr>
        <w:t>40</w:t>
      </w:r>
      <w:r>
        <w:rPr>
          <w:rFonts w:ascii="Times New Roman" w:hAnsi="Times New Roman" w:cs="Times New Roman"/>
          <w:bCs/>
          <w:color w:val="000000"/>
          <w:szCs w:val="21"/>
        </w:rPr>
        <w:t>人。</w:t>
      </w:r>
      <w:r>
        <w:rPr>
          <w:rFonts w:ascii="Times New Roman" w:hAnsi="Times New Roman" w:cs="Times New Roman" w:hint="eastAsia"/>
          <w:bCs/>
          <w:color w:val="000000"/>
          <w:szCs w:val="21"/>
        </w:rPr>
        <w:t>标的公司技术人员</w:t>
      </w:r>
      <w:r>
        <w:rPr>
          <w:rFonts w:ascii="Times New Roman" w:hAnsi="Times New Roman" w:cs="Times New Roman"/>
          <w:bCs/>
          <w:color w:val="000000"/>
          <w:szCs w:val="21"/>
        </w:rPr>
        <w:t>2018</w:t>
      </w:r>
      <w:r>
        <w:rPr>
          <w:rFonts w:ascii="Times New Roman" w:hAnsi="Times New Roman" w:cs="Times New Roman"/>
          <w:bCs/>
          <w:color w:val="000000"/>
          <w:szCs w:val="21"/>
        </w:rPr>
        <w:t>年度新增</w:t>
      </w:r>
      <w:r>
        <w:rPr>
          <w:rFonts w:ascii="Times New Roman" w:hAnsi="Times New Roman" w:cs="Times New Roman"/>
          <w:bCs/>
          <w:color w:val="000000"/>
          <w:szCs w:val="21"/>
        </w:rPr>
        <w:t>14</w:t>
      </w:r>
      <w:r>
        <w:rPr>
          <w:rFonts w:ascii="Times New Roman" w:hAnsi="Times New Roman" w:cs="Times New Roman"/>
          <w:bCs/>
          <w:color w:val="000000"/>
          <w:szCs w:val="21"/>
        </w:rPr>
        <w:t>人，离职</w:t>
      </w:r>
      <w:r>
        <w:rPr>
          <w:rFonts w:ascii="Times New Roman" w:hAnsi="Times New Roman" w:cs="Times New Roman"/>
          <w:bCs/>
          <w:color w:val="000000"/>
          <w:szCs w:val="21"/>
        </w:rPr>
        <w:t>14</w:t>
      </w:r>
      <w:r>
        <w:rPr>
          <w:rFonts w:ascii="Times New Roman" w:hAnsi="Times New Roman" w:cs="Times New Roman"/>
          <w:bCs/>
          <w:color w:val="000000"/>
          <w:szCs w:val="21"/>
        </w:rPr>
        <w:t>人；</w:t>
      </w:r>
      <w:r>
        <w:rPr>
          <w:rFonts w:ascii="Times New Roman" w:hAnsi="Times New Roman" w:cs="Times New Roman"/>
          <w:bCs/>
          <w:color w:val="000000"/>
          <w:szCs w:val="21"/>
        </w:rPr>
        <w:t>2019</w:t>
      </w:r>
      <w:r>
        <w:rPr>
          <w:rFonts w:ascii="Times New Roman" w:hAnsi="Times New Roman" w:cs="Times New Roman"/>
          <w:bCs/>
          <w:color w:val="000000"/>
          <w:szCs w:val="21"/>
        </w:rPr>
        <w:t>年度新增</w:t>
      </w:r>
      <w:r>
        <w:rPr>
          <w:rFonts w:ascii="Times New Roman" w:hAnsi="Times New Roman" w:cs="Times New Roman"/>
          <w:bCs/>
          <w:color w:val="000000"/>
          <w:szCs w:val="21"/>
        </w:rPr>
        <w:t>35</w:t>
      </w:r>
      <w:r>
        <w:rPr>
          <w:rFonts w:ascii="Times New Roman" w:hAnsi="Times New Roman" w:cs="Times New Roman"/>
          <w:bCs/>
          <w:color w:val="000000"/>
          <w:szCs w:val="21"/>
        </w:rPr>
        <w:t>人，离职</w:t>
      </w:r>
      <w:r>
        <w:rPr>
          <w:rFonts w:ascii="Times New Roman" w:hAnsi="Times New Roman" w:cs="Times New Roman"/>
          <w:bCs/>
          <w:color w:val="000000"/>
          <w:szCs w:val="21"/>
        </w:rPr>
        <w:t>12</w:t>
      </w:r>
      <w:r>
        <w:rPr>
          <w:rFonts w:ascii="Times New Roman" w:hAnsi="Times New Roman" w:cs="Times New Roman"/>
          <w:bCs/>
          <w:color w:val="000000"/>
          <w:szCs w:val="21"/>
        </w:rPr>
        <w:t>人；</w:t>
      </w:r>
      <w:r>
        <w:rPr>
          <w:rFonts w:ascii="Times New Roman" w:hAnsi="Times New Roman" w:cs="Times New Roman"/>
          <w:bCs/>
          <w:color w:val="000000"/>
          <w:szCs w:val="21"/>
        </w:rPr>
        <w:t>2020</w:t>
      </w:r>
      <w:r>
        <w:rPr>
          <w:rFonts w:ascii="Times New Roman" w:hAnsi="Times New Roman" w:cs="Times New Roman"/>
          <w:bCs/>
          <w:color w:val="000000"/>
          <w:szCs w:val="21"/>
        </w:rPr>
        <w:t>年度新增</w:t>
      </w:r>
      <w:r>
        <w:rPr>
          <w:rFonts w:ascii="Times New Roman" w:hAnsi="Times New Roman" w:cs="Times New Roman"/>
          <w:bCs/>
          <w:color w:val="000000"/>
          <w:szCs w:val="21"/>
        </w:rPr>
        <w:t>18</w:t>
      </w:r>
      <w:r>
        <w:rPr>
          <w:rFonts w:ascii="Times New Roman" w:hAnsi="Times New Roman" w:cs="Times New Roman"/>
          <w:bCs/>
          <w:color w:val="000000"/>
          <w:szCs w:val="21"/>
        </w:rPr>
        <w:t>人，离职</w:t>
      </w:r>
      <w:r>
        <w:rPr>
          <w:rFonts w:ascii="Times New Roman" w:hAnsi="Times New Roman" w:cs="Times New Roman"/>
          <w:bCs/>
          <w:color w:val="000000"/>
          <w:szCs w:val="21"/>
        </w:rPr>
        <w:t>24</w:t>
      </w:r>
      <w:r>
        <w:rPr>
          <w:rFonts w:ascii="Times New Roman" w:hAnsi="Times New Roman" w:cs="Times New Roman"/>
          <w:bCs/>
          <w:color w:val="000000"/>
          <w:szCs w:val="21"/>
        </w:rPr>
        <w:t>人</w:t>
      </w:r>
      <w:r>
        <w:rPr>
          <w:rFonts w:ascii="Times New Roman" w:hAnsi="Times New Roman" w:cs="Times New Roman" w:hint="eastAsia"/>
          <w:bCs/>
          <w:color w:val="000000"/>
          <w:szCs w:val="21"/>
        </w:rPr>
        <w:t>（</w:t>
      </w:r>
      <w:r w:rsidRPr="001F3E46">
        <w:rPr>
          <w:rFonts w:ascii="Times New Roman" w:hAnsi="Times New Roman" w:cs="Times New Roman"/>
          <w:bCs/>
          <w:color w:val="000000"/>
          <w:szCs w:val="21"/>
        </w:rPr>
        <w:t>2018</w:t>
      </w:r>
      <w:r w:rsidRPr="001F3E46">
        <w:rPr>
          <w:rFonts w:ascii="Times New Roman" w:hAnsi="Times New Roman" w:cs="Times New Roman"/>
          <w:bCs/>
          <w:color w:val="000000"/>
          <w:szCs w:val="21"/>
        </w:rPr>
        <w:t>年</w:t>
      </w:r>
      <w:r w:rsidRPr="001F3E46">
        <w:rPr>
          <w:rFonts w:ascii="Times New Roman" w:hAnsi="Times New Roman" w:cs="Times New Roman"/>
          <w:bCs/>
          <w:color w:val="000000"/>
          <w:szCs w:val="21"/>
        </w:rPr>
        <w:t>1</w:t>
      </w:r>
      <w:r w:rsidRPr="001F3E46">
        <w:rPr>
          <w:rFonts w:ascii="Times New Roman" w:hAnsi="Times New Roman" w:cs="Times New Roman"/>
          <w:bCs/>
          <w:color w:val="000000"/>
          <w:szCs w:val="21"/>
        </w:rPr>
        <w:t>月</w:t>
      </w:r>
      <w:r w:rsidRPr="001F3E46">
        <w:rPr>
          <w:rFonts w:ascii="Times New Roman" w:hAnsi="Times New Roman" w:cs="Times New Roman"/>
          <w:bCs/>
          <w:color w:val="000000"/>
          <w:szCs w:val="21"/>
        </w:rPr>
        <w:t>1</w:t>
      </w:r>
      <w:r w:rsidRPr="001F3E46">
        <w:rPr>
          <w:rFonts w:ascii="Times New Roman" w:hAnsi="Times New Roman" w:cs="Times New Roman"/>
          <w:bCs/>
          <w:color w:val="000000"/>
          <w:szCs w:val="21"/>
        </w:rPr>
        <w:t>日至</w:t>
      </w:r>
      <w:r w:rsidRPr="001F3E46">
        <w:rPr>
          <w:rFonts w:ascii="Times New Roman" w:hAnsi="Times New Roman" w:cs="Times New Roman"/>
          <w:bCs/>
          <w:color w:val="000000"/>
          <w:szCs w:val="21"/>
        </w:rPr>
        <w:t>2020</w:t>
      </w:r>
      <w:r w:rsidRPr="001F3E46">
        <w:rPr>
          <w:rFonts w:ascii="Times New Roman" w:hAnsi="Times New Roman" w:cs="Times New Roman"/>
          <w:bCs/>
          <w:color w:val="000000"/>
          <w:szCs w:val="21"/>
        </w:rPr>
        <w:t>年</w:t>
      </w:r>
      <w:r w:rsidRPr="001F3E46">
        <w:rPr>
          <w:rFonts w:ascii="Times New Roman" w:hAnsi="Times New Roman" w:cs="Times New Roman"/>
          <w:bCs/>
          <w:color w:val="000000"/>
          <w:szCs w:val="21"/>
        </w:rPr>
        <w:t>12</w:t>
      </w:r>
      <w:r w:rsidRPr="001F3E46">
        <w:rPr>
          <w:rFonts w:ascii="Times New Roman" w:hAnsi="Times New Roman" w:cs="Times New Roman"/>
          <w:bCs/>
          <w:color w:val="000000"/>
          <w:szCs w:val="21"/>
        </w:rPr>
        <w:t>月</w:t>
      </w:r>
      <w:r w:rsidRPr="001F3E46">
        <w:rPr>
          <w:rFonts w:ascii="Times New Roman" w:hAnsi="Times New Roman" w:cs="Times New Roman"/>
          <w:bCs/>
          <w:color w:val="000000"/>
          <w:szCs w:val="21"/>
        </w:rPr>
        <w:t>31</w:t>
      </w:r>
      <w:r w:rsidRPr="001F3E46">
        <w:rPr>
          <w:rFonts w:ascii="Times New Roman" w:hAnsi="Times New Roman" w:cs="Times New Roman"/>
          <w:bCs/>
          <w:color w:val="000000"/>
          <w:szCs w:val="21"/>
        </w:rPr>
        <w:t>日期间的技术人员新增人数和离职人数的统计口径不包含试用期届满前离职的非正式员工</w:t>
      </w:r>
      <w:r>
        <w:rPr>
          <w:rFonts w:ascii="Times New Roman" w:hAnsi="Times New Roman" w:cs="Times New Roman" w:hint="eastAsia"/>
          <w:bCs/>
          <w:color w:val="000000"/>
          <w:szCs w:val="21"/>
        </w:rPr>
        <w:t>）</w:t>
      </w:r>
      <w:r>
        <w:rPr>
          <w:rFonts w:ascii="Times New Roman" w:hAnsi="Times New Roman" w:cs="Times New Roman"/>
          <w:bCs/>
          <w:color w:val="000000"/>
          <w:szCs w:val="21"/>
        </w:rPr>
        <w:t>。标的公司报告期内技术人员变动较大，主要原因为公司业务快速发展，订单量不断增加，标的公司不断补充技术人员，与此同时对技术人员综合素质要求不断提高，标的公司为提高管理效率和技术要求，对部分技术人员进行有序调整，其变动符合标的公司实际业务情况。</w:t>
      </w:r>
    </w:p>
    <w:p w14:paraId="302BC3AF" w14:textId="38843109"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标的公司目前核心技术人员为周业荣、程云南、张李强、刘成斌、帅智强。报告期内，除</w:t>
      </w:r>
      <w:r w:rsidR="00504445">
        <w:rPr>
          <w:rFonts w:ascii="Times New Roman" w:hAnsi="Times New Roman" w:hint="eastAsia"/>
          <w:bCs/>
          <w:color w:val="000000"/>
        </w:rPr>
        <w:t>肖中海、</w:t>
      </w:r>
      <w:r>
        <w:rPr>
          <w:rFonts w:ascii="Times New Roman" w:hAnsi="Times New Roman" w:cs="Times New Roman" w:hint="eastAsia"/>
          <w:bCs/>
          <w:color w:val="000000"/>
          <w:szCs w:val="21"/>
        </w:rPr>
        <w:t>周建勇和朱可辉因个人原因离职外，报告期内标的公司其他核心技术人员未出现离职情形。标的公司其他技术骨干人员较为稳定，上述技术人员变动不会对公司持续经营能力产生重大影响。</w:t>
      </w:r>
    </w:p>
    <w:p w14:paraId="19FECDA5"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二、防止交易完成后核心技术人员流失的措施及其充分性</w:t>
      </w:r>
    </w:p>
    <w:p w14:paraId="5F23E7D7"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为防止核心技术人员的流失，标的公司已采取以下措施：</w:t>
      </w:r>
    </w:p>
    <w:p w14:paraId="7F820615" w14:textId="59191C25"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1</w:t>
      </w:r>
      <w:r>
        <w:rPr>
          <w:rFonts w:ascii="Times New Roman" w:hAnsi="Times New Roman" w:cs="Times New Roman" w:hint="eastAsia"/>
          <w:bCs/>
          <w:color w:val="000000"/>
          <w:szCs w:val="21"/>
        </w:rPr>
        <w:t>、标的公司已与全部核心技术人员签订较长期限的劳动合同和《保密协议》，保证核心技术人员的稳定。</w:t>
      </w:r>
    </w:p>
    <w:p w14:paraId="3A3051CF"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、标的公司为核心技术人员提供了具有市场竞争力的薪酬及相关福利待遇，并持续完善绩效考核体系，从而进一步增强公司对核心技术人员的吸引力，有效保障核心技术人员的积极性及稳定性。</w:t>
      </w:r>
    </w:p>
    <w:p w14:paraId="6ABF478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、标的公司制定了较为健全的研发管理制度，对标的公司研发工作的日常管理、研发项目申报、设计和开发做出了明确的规范，保障了研发工作的规范化、流程化、高效化。</w:t>
      </w:r>
    </w:p>
    <w:p w14:paraId="4728751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标的公司制定了完善的培训体系，由公司组织、部门组织、自发学习三个层次组成，充分整合企业内部资源与外部资源，根据市场变化及产业发展战略调整，完善管理层、核心技术人员的知识结构，在给予管理层、核心技术人员不断提升技术与业务能力的同时使之更好地满足标的公司战略发展的需要。</w:t>
      </w:r>
    </w:p>
    <w:p w14:paraId="761FD148"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如果本次交易顺利完成，标的公司将成为上市公司的控股子公司，标的公司所有核心技术人员的劳动合同签订主体保持不变，上市公司将继续执行以上协议及安排，并采取进一步措施保证核心技术人员的稳定性：</w:t>
      </w:r>
    </w:p>
    <w:p w14:paraId="3DACBBA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）敦促标的公司继续执行相关协议或安排，最大限度地保证北洋天青核心技术人员的稳定性和经营策略的持续性，通过多元化的措施安排，从制度上保证核心人员的稳定性。</w:t>
      </w:r>
    </w:p>
    <w:p w14:paraId="26A6EEB9"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）本次交易完成后，上市公司将积极与相关人员沟通，争取与更多核心技术人员签订长期或永久无固定期限期的劳动合同，尽量延长与核心人员的劳动合同服务期限，保持核心人员的稳定性。</w:t>
      </w:r>
    </w:p>
    <w:p w14:paraId="6D2103E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对于标的公司的优秀技术人员，未来上市公司将为其提供更具市场竞争力的薪酬体系，并适时聘请标的公司重要技术人员成为上市公司核心业务负责人，赋予其充分的经营自主权以保障相关业务的进一步发展，保证本次交易完成后上市公司核心技术人员的稳定性。</w:t>
      </w:r>
    </w:p>
    <w:p w14:paraId="269E8BF5"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综上，上市公司及标的公司已建立了防止核心技术人员流失的相应措施，以保持标的公司核心技术人员的稳定性和可持续性，能够充分防止本次交易完成后核心技术人员流失。</w:t>
      </w:r>
    </w:p>
    <w:p w14:paraId="2B6BF8EB" w14:textId="59C6E3EA"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三、独立财务顾问核查意见</w:t>
      </w:r>
    </w:p>
    <w:p w14:paraId="68390AB6"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经核查，独立财务顾问认为：结合标的资产技术人员数量、研发费用占营业收入的比重，以及同行业可比公司的专利数量、技术储备、研发获奖情况等，认为标的资产属于家电行业的领先企业的依据充分。标的公司核心技术人员不存在在其他企事业单位任职或投资的情况，不存在违反与标的公司签订的竞业限制等相关协议的情形。上市公司及标的公司已建立了防止核心技术人员流失的相应措施，以保持标的公司核心技术人员的稳定性和可持续性，能够充分防止本次交易完成后核心技术人员流失。</w:t>
      </w:r>
    </w:p>
    <w:p w14:paraId="6F5CE2EC" w14:textId="77777777" w:rsidR="00C02929" w:rsidRDefault="00C02929">
      <w:pPr>
        <w:pStyle w:val="afffff"/>
        <w:sectPr w:rsidR="00C02929">
          <w:pgSz w:w="11906" w:h="16838"/>
          <w:pgMar w:top="1440" w:right="1800" w:bottom="1440" w:left="1800" w:header="851" w:footer="992" w:gutter="0"/>
          <w:cols w:space="720"/>
          <w:docGrid w:type="lines" w:linePitch="312"/>
        </w:sectPr>
      </w:pPr>
      <w:bookmarkStart w:id="35" w:name="_Toc69256854"/>
      <w:bookmarkStart w:id="36" w:name="_Toc69256872"/>
      <w:bookmarkEnd w:id="23"/>
      <w:bookmarkEnd w:id="24"/>
    </w:p>
    <w:p w14:paraId="597A6CC5" w14:textId="77777777" w:rsidR="00C02929" w:rsidRDefault="006116D1">
      <w:pPr>
        <w:pStyle w:val="afffff"/>
      </w:pPr>
      <w:r>
        <w:rPr>
          <w:rFonts w:hint="eastAsia"/>
        </w:rPr>
        <w:lastRenderedPageBreak/>
        <w:t>第六题</w:t>
      </w:r>
    </w:p>
    <w:p w14:paraId="48ABB747"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）黄晓峰、李红夫妇为标的资产实际控制人，黄晓峰担任标的资产执行董事兼法人代表，赵庆担任董事长。</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）杨平自</w:t>
      </w:r>
      <w:r>
        <w:rPr>
          <w:rFonts w:ascii="Times New Roman" w:eastAsia="黑体" w:hAnsi="Times New Roman" w:cs="Times New Roman" w:hint="eastAsia"/>
          <w:b/>
          <w:color w:val="000000"/>
          <w:szCs w:val="21"/>
        </w:rPr>
        <w:t>1994</w:t>
      </w:r>
      <w:r>
        <w:rPr>
          <w:rFonts w:ascii="Times New Roman" w:eastAsia="黑体" w:hAnsi="Times New Roman" w:cs="Times New Roman" w:hint="eastAsia"/>
          <w:b/>
          <w:color w:val="000000"/>
          <w:szCs w:val="21"/>
        </w:rPr>
        <w:t>年至今担任天津大明机电股份有限公司质检员，目前兼任标的资产董事。傅敦、徐炳雷、修军担任标的资产监事、采购部长或其他管理职务的同时，均存在于其他单位兼职的情形。请你公司：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）结合报告期内标的资产股东大会、董事会、监事会的人员构成及运作情况，补充披露标的资产是否具备健全有效的法人治理结构。</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报告期内核心管理团队成员的姓名、职务和在外兼职、投资情况及原因，兼职或投资行为是否违反相关法律法规及公司规章制度、是否影响其勤勉尽责履职，兼职或投资单位与标的资产有无关联关系或经营同类业务。</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）补充披露交易完成后强化标的资产内部治理的具体措施。请独立财务顾问和律师核查并发表明确意见。</w:t>
      </w:r>
    </w:p>
    <w:p w14:paraId="7EA30657" w14:textId="77777777" w:rsidR="00C02929" w:rsidRDefault="006116D1">
      <w:pPr>
        <w:pStyle w:val="affffd"/>
        <w:spacing w:before="156"/>
        <w:ind w:firstLine="482"/>
        <w:rPr>
          <w:b/>
        </w:rPr>
      </w:pPr>
      <w:r>
        <w:rPr>
          <w:rFonts w:hint="eastAsia"/>
          <w:b/>
        </w:rPr>
        <w:t>【回复说明】</w:t>
      </w:r>
    </w:p>
    <w:p w14:paraId="4F3738DB" w14:textId="5D7E3A7D"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）结合报告期内标的资产股东大会、董事会、监事会的人员构成及运作情况，补充披露标的资产是否具备健全有效的法人治理结构</w:t>
      </w:r>
    </w:p>
    <w:p w14:paraId="148D1023"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一、报告期内标的公司的股东大会、董事会、监事会的人员构成</w:t>
      </w:r>
    </w:p>
    <w:p w14:paraId="02B0DBBF"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（一）报告期内标的公司的股东大会人员构成及其变化情况</w:t>
      </w:r>
    </w:p>
    <w:p w14:paraId="55EAD75F" w14:textId="77777777" w:rsidR="00C02929" w:rsidRDefault="006116D1">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1</w:t>
      </w:r>
      <w:r>
        <w:rPr>
          <w:rFonts w:ascii="Times New Roman" w:hAnsi="Times New Roman" w:cs="Times New Roman" w:hint="eastAsia"/>
          <w:b/>
        </w:rPr>
        <w:t>、</w:t>
      </w:r>
      <w:r>
        <w:rPr>
          <w:rFonts w:ascii="Times New Roman" w:hAnsi="Times New Roman" w:cs="Times New Roman" w:hint="eastAsia"/>
          <w:b/>
        </w:rPr>
        <w:t>2018</w:t>
      </w:r>
      <w:r>
        <w:rPr>
          <w:rFonts w:ascii="Times New Roman" w:hAnsi="Times New Roman" w:cs="Times New Roman" w:hint="eastAsia"/>
          <w:b/>
        </w:rPr>
        <w:t>年</w:t>
      </w:r>
      <w:r>
        <w:rPr>
          <w:rFonts w:ascii="Times New Roman" w:hAnsi="Times New Roman" w:cs="Times New Roman"/>
          <w:b/>
        </w:rPr>
        <w:t>1</w:t>
      </w:r>
      <w:r>
        <w:rPr>
          <w:rFonts w:ascii="Times New Roman" w:hAnsi="Times New Roman" w:cs="Times New Roman"/>
          <w:b/>
        </w:rPr>
        <w:t>月</w:t>
      </w:r>
      <w:r>
        <w:rPr>
          <w:rFonts w:ascii="Times New Roman" w:hAnsi="Times New Roman" w:cs="Times New Roman"/>
          <w:b/>
        </w:rPr>
        <w:t>1</w:t>
      </w:r>
      <w:r>
        <w:rPr>
          <w:rFonts w:ascii="Times New Roman" w:hAnsi="Times New Roman" w:cs="Times New Roman"/>
          <w:b/>
        </w:rPr>
        <w:t>日</w:t>
      </w:r>
      <w:r>
        <w:rPr>
          <w:rFonts w:ascii="Times New Roman" w:hAnsi="Times New Roman" w:cs="Times New Roman" w:hint="eastAsia"/>
          <w:b/>
        </w:rPr>
        <w:t>，标的公司的股权结构如下：</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74"/>
        <w:gridCol w:w="2079"/>
        <w:gridCol w:w="2933"/>
        <w:gridCol w:w="2236"/>
      </w:tblGrid>
      <w:tr w:rsidR="00C02929" w14:paraId="637AF1F3" w14:textId="77777777">
        <w:trPr>
          <w:cantSplit/>
          <w:trHeight w:val="397"/>
          <w:tblHeader/>
          <w:jc w:val="center"/>
        </w:trPr>
        <w:tc>
          <w:tcPr>
            <w:tcW w:w="747" w:type="pct"/>
            <w:shd w:val="clear" w:color="auto" w:fill="FFFFFF"/>
            <w:vAlign w:val="center"/>
          </w:tcPr>
          <w:p w14:paraId="2D553F1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1220" w:type="pct"/>
            <w:shd w:val="clear" w:color="auto" w:fill="FFFFFF"/>
            <w:vAlign w:val="center"/>
          </w:tcPr>
          <w:p w14:paraId="3A613AB4"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股东姓名</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名称</w:t>
            </w:r>
          </w:p>
        </w:tc>
        <w:tc>
          <w:tcPr>
            <w:tcW w:w="1721" w:type="pct"/>
            <w:shd w:val="clear" w:color="auto" w:fill="FFFFFF"/>
            <w:vAlign w:val="center"/>
          </w:tcPr>
          <w:p w14:paraId="3F15E8D4"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持股数（股）</w:t>
            </w:r>
          </w:p>
        </w:tc>
        <w:tc>
          <w:tcPr>
            <w:tcW w:w="1312" w:type="pct"/>
            <w:shd w:val="clear" w:color="auto" w:fill="FFFFFF"/>
            <w:vAlign w:val="center"/>
          </w:tcPr>
          <w:p w14:paraId="4691D3E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持股比例（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r>
      <w:tr w:rsidR="00C02929" w14:paraId="5A32E651" w14:textId="77777777">
        <w:trPr>
          <w:cantSplit/>
          <w:trHeight w:val="397"/>
          <w:jc w:val="center"/>
        </w:trPr>
        <w:tc>
          <w:tcPr>
            <w:tcW w:w="747" w:type="pct"/>
            <w:shd w:val="clear" w:color="auto" w:fill="FFFFFF"/>
            <w:vAlign w:val="center"/>
          </w:tcPr>
          <w:p w14:paraId="7EA0D77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220" w:type="pct"/>
            <w:shd w:val="clear" w:color="auto" w:fill="FFFFFF"/>
            <w:vAlign w:val="center"/>
          </w:tcPr>
          <w:p w14:paraId="7B77929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李红</w:t>
            </w:r>
          </w:p>
        </w:tc>
        <w:tc>
          <w:tcPr>
            <w:tcW w:w="1721" w:type="pct"/>
            <w:shd w:val="clear" w:color="auto" w:fill="FFFFFF"/>
            <w:vAlign w:val="center"/>
          </w:tcPr>
          <w:p w14:paraId="353F0C36"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7,615,854</w:t>
            </w:r>
          </w:p>
        </w:tc>
        <w:tc>
          <w:tcPr>
            <w:tcW w:w="1312" w:type="pct"/>
            <w:shd w:val="clear" w:color="auto" w:fill="FFFFFF"/>
            <w:vAlign w:val="center"/>
          </w:tcPr>
          <w:p w14:paraId="4EC4425E"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38.34</w:t>
            </w:r>
          </w:p>
        </w:tc>
      </w:tr>
      <w:tr w:rsidR="00C02929" w14:paraId="2DB791F7" w14:textId="77777777">
        <w:trPr>
          <w:cantSplit/>
          <w:trHeight w:val="397"/>
          <w:jc w:val="center"/>
        </w:trPr>
        <w:tc>
          <w:tcPr>
            <w:tcW w:w="747" w:type="pct"/>
            <w:shd w:val="clear" w:color="auto" w:fill="FFFFFF"/>
            <w:vAlign w:val="center"/>
          </w:tcPr>
          <w:p w14:paraId="6DBA86E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220" w:type="pct"/>
            <w:shd w:val="clear" w:color="auto" w:fill="FFFFFF"/>
            <w:vAlign w:val="center"/>
          </w:tcPr>
          <w:p w14:paraId="27D6C8E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赵庆</w:t>
            </w:r>
          </w:p>
        </w:tc>
        <w:tc>
          <w:tcPr>
            <w:tcW w:w="1721" w:type="pct"/>
            <w:shd w:val="clear" w:color="auto" w:fill="FFFFFF"/>
            <w:vAlign w:val="center"/>
          </w:tcPr>
          <w:p w14:paraId="75E51B9A"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2,774,229</w:t>
            </w:r>
          </w:p>
        </w:tc>
        <w:tc>
          <w:tcPr>
            <w:tcW w:w="1312" w:type="pct"/>
            <w:shd w:val="clear" w:color="auto" w:fill="FFFFFF"/>
            <w:vAlign w:val="center"/>
          </w:tcPr>
          <w:p w14:paraId="7160E82A"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13.97</w:t>
            </w:r>
          </w:p>
        </w:tc>
      </w:tr>
      <w:tr w:rsidR="00C02929" w14:paraId="6C017223" w14:textId="77777777">
        <w:trPr>
          <w:cantSplit/>
          <w:trHeight w:val="397"/>
          <w:jc w:val="center"/>
        </w:trPr>
        <w:tc>
          <w:tcPr>
            <w:tcW w:w="747" w:type="pct"/>
            <w:shd w:val="clear" w:color="auto" w:fill="FFFFFF"/>
            <w:vAlign w:val="center"/>
          </w:tcPr>
          <w:p w14:paraId="76676A3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220" w:type="pct"/>
            <w:shd w:val="clear" w:color="auto" w:fill="FFFFFF"/>
            <w:vAlign w:val="center"/>
          </w:tcPr>
          <w:p w14:paraId="78620C9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青岛艾特诺</w:t>
            </w:r>
          </w:p>
        </w:tc>
        <w:tc>
          <w:tcPr>
            <w:tcW w:w="1721" w:type="pct"/>
            <w:shd w:val="clear" w:color="auto" w:fill="FFFFFF"/>
            <w:vAlign w:val="center"/>
          </w:tcPr>
          <w:p w14:paraId="648972E3"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1,987,942</w:t>
            </w:r>
          </w:p>
        </w:tc>
        <w:tc>
          <w:tcPr>
            <w:tcW w:w="1312" w:type="pct"/>
            <w:shd w:val="clear" w:color="auto" w:fill="FFFFFF"/>
            <w:vAlign w:val="center"/>
          </w:tcPr>
          <w:p w14:paraId="080968AD"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10.01</w:t>
            </w:r>
          </w:p>
        </w:tc>
      </w:tr>
      <w:tr w:rsidR="00C02929" w14:paraId="6E510ACA" w14:textId="77777777">
        <w:trPr>
          <w:cantSplit/>
          <w:trHeight w:val="397"/>
          <w:jc w:val="center"/>
        </w:trPr>
        <w:tc>
          <w:tcPr>
            <w:tcW w:w="747" w:type="pct"/>
            <w:shd w:val="clear" w:color="auto" w:fill="FFFFFF"/>
            <w:vAlign w:val="center"/>
          </w:tcPr>
          <w:p w14:paraId="0E8498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220" w:type="pct"/>
            <w:shd w:val="clear" w:color="auto" w:fill="FFFFFF"/>
            <w:vAlign w:val="center"/>
          </w:tcPr>
          <w:p w14:paraId="0FE9ECC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杨平</w:t>
            </w:r>
          </w:p>
        </w:tc>
        <w:tc>
          <w:tcPr>
            <w:tcW w:w="1721" w:type="pct"/>
            <w:shd w:val="clear" w:color="auto" w:fill="FFFFFF"/>
            <w:vAlign w:val="center"/>
          </w:tcPr>
          <w:p w14:paraId="1C2E07A8"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1,834,289</w:t>
            </w:r>
          </w:p>
        </w:tc>
        <w:tc>
          <w:tcPr>
            <w:tcW w:w="1312" w:type="pct"/>
            <w:shd w:val="clear" w:color="auto" w:fill="FFFFFF"/>
            <w:vAlign w:val="center"/>
          </w:tcPr>
          <w:p w14:paraId="2CE87EB1" w14:textId="1393A995"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9.2</w:t>
            </w:r>
            <w:r>
              <w:rPr>
                <w:rFonts w:ascii="Times New Roman" w:hAnsi="Times New Roman" w:hint="eastAsia"/>
                <w:color w:val="000000"/>
                <w:sz w:val="21"/>
                <w:szCs w:val="21"/>
              </w:rPr>
              <w:t>3</w:t>
            </w:r>
          </w:p>
        </w:tc>
      </w:tr>
      <w:tr w:rsidR="00C02929" w14:paraId="70759FAF" w14:textId="77777777">
        <w:trPr>
          <w:cantSplit/>
          <w:trHeight w:val="397"/>
          <w:jc w:val="center"/>
        </w:trPr>
        <w:tc>
          <w:tcPr>
            <w:tcW w:w="747" w:type="pct"/>
            <w:shd w:val="clear" w:color="auto" w:fill="FFFFFF"/>
            <w:vAlign w:val="center"/>
          </w:tcPr>
          <w:p w14:paraId="3617D3F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220" w:type="pct"/>
            <w:shd w:val="clear" w:color="auto" w:fill="FFFFFF"/>
            <w:vAlign w:val="center"/>
          </w:tcPr>
          <w:p w14:paraId="4B2B191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当代文化</w:t>
            </w:r>
          </w:p>
        </w:tc>
        <w:tc>
          <w:tcPr>
            <w:tcW w:w="1721" w:type="pct"/>
            <w:shd w:val="clear" w:color="auto" w:fill="FFFFFF"/>
            <w:vAlign w:val="center"/>
          </w:tcPr>
          <w:p w14:paraId="4F6FA02A"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1,714,286</w:t>
            </w:r>
          </w:p>
        </w:tc>
        <w:tc>
          <w:tcPr>
            <w:tcW w:w="1312" w:type="pct"/>
            <w:shd w:val="clear" w:color="auto" w:fill="FFFFFF"/>
            <w:vAlign w:val="center"/>
          </w:tcPr>
          <w:p w14:paraId="0860464D"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8.63</w:t>
            </w:r>
          </w:p>
        </w:tc>
      </w:tr>
      <w:tr w:rsidR="00C02929" w14:paraId="2A39D441" w14:textId="77777777">
        <w:trPr>
          <w:cantSplit/>
          <w:trHeight w:val="397"/>
          <w:jc w:val="center"/>
        </w:trPr>
        <w:tc>
          <w:tcPr>
            <w:tcW w:w="747" w:type="pct"/>
            <w:shd w:val="clear" w:color="auto" w:fill="FFFFFF"/>
            <w:vAlign w:val="center"/>
          </w:tcPr>
          <w:p w14:paraId="6B7BE0C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220" w:type="pct"/>
            <w:shd w:val="clear" w:color="auto" w:fill="FFFFFF"/>
            <w:vAlign w:val="center"/>
          </w:tcPr>
          <w:p w14:paraId="0A6A206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肖中海</w:t>
            </w:r>
          </w:p>
        </w:tc>
        <w:tc>
          <w:tcPr>
            <w:tcW w:w="1721" w:type="pct"/>
            <w:shd w:val="clear" w:color="auto" w:fill="FFFFFF"/>
            <w:vAlign w:val="center"/>
          </w:tcPr>
          <w:p w14:paraId="246A1CF6"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1,500,000</w:t>
            </w:r>
          </w:p>
        </w:tc>
        <w:tc>
          <w:tcPr>
            <w:tcW w:w="1312" w:type="pct"/>
            <w:shd w:val="clear" w:color="auto" w:fill="FFFFFF"/>
            <w:vAlign w:val="center"/>
          </w:tcPr>
          <w:p w14:paraId="15E5C16B"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7.55</w:t>
            </w:r>
          </w:p>
        </w:tc>
      </w:tr>
      <w:tr w:rsidR="00C02929" w14:paraId="08DBC2C4" w14:textId="77777777">
        <w:trPr>
          <w:cantSplit/>
          <w:trHeight w:val="397"/>
          <w:jc w:val="center"/>
        </w:trPr>
        <w:tc>
          <w:tcPr>
            <w:tcW w:w="747" w:type="pct"/>
            <w:shd w:val="clear" w:color="auto" w:fill="FFFFFF"/>
            <w:vAlign w:val="center"/>
          </w:tcPr>
          <w:p w14:paraId="079085C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220" w:type="pct"/>
            <w:shd w:val="clear" w:color="auto" w:fill="FFFFFF"/>
            <w:vAlign w:val="center"/>
          </w:tcPr>
          <w:p w14:paraId="4E69C83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夏涛</w:t>
            </w:r>
          </w:p>
        </w:tc>
        <w:tc>
          <w:tcPr>
            <w:tcW w:w="1721" w:type="pct"/>
            <w:shd w:val="clear" w:color="auto" w:fill="FFFFFF"/>
            <w:vAlign w:val="center"/>
          </w:tcPr>
          <w:p w14:paraId="4B31B48D"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683,761</w:t>
            </w:r>
          </w:p>
        </w:tc>
        <w:tc>
          <w:tcPr>
            <w:tcW w:w="1312" w:type="pct"/>
            <w:shd w:val="clear" w:color="auto" w:fill="FFFFFF"/>
            <w:vAlign w:val="center"/>
          </w:tcPr>
          <w:p w14:paraId="4CE85A44"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3.44</w:t>
            </w:r>
          </w:p>
        </w:tc>
      </w:tr>
      <w:tr w:rsidR="00C02929" w14:paraId="59E146EC" w14:textId="77777777">
        <w:trPr>
          <w:cantSplit/>
          <w:trHeight w:val="397"/>
          <w:jc w:val="center"/>
        </w:trPr>
        <w:tc>
          <w:tcPr>
            <w:tcW w:w="747" w:type="pct"/>
            <w:shd w:val="clear" w:color="auto" w:fill="FFFFFF"/>
            <w:vAlign w:val="center"/>
          </w:tcPr>
          <w:p w14:paraId="71CB876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220" w:type="pct"/>
            <w:shd w:val="clear" w:color="auto" w:fill="FFFFFF"/>
            <w:vAlign w:val="center"/>
          </w:tcPr>
          <w:p w14:paraId="281789F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王华东</w:t>
            </w:r>
          </w:p>
        </w:tc>
        <w:tc>
          <w:tcPr>
            <w:tcW w:w="1721" w:type="pct"/>
            <w:shd w:val="clear" w:color="auto" w:fill="FFFFFF"/>
            <w:vAlign w:val="center"/>
          </w:tcPr>
          <w:p w14:paraId="2A138325"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683,761</w:t>
            </w:r>
          </w:p>
        </w:tc>
        <w:tc>
          <w:tcPr>
            <w:tcW w:w="1312" w:type="pct"/>
            <w:shd w:val="clear" w:color="auto" w:fill="FFFFFF"/>
            <w:vAlign w:val="center"/>
          </w:tcPr>
          <w:p w14:paraId="499AFCCE"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3.44</w:t>
            </w:r>
          </w:p>
        </w:tc>
      </w:tr>
      <w:tr w:rsidR="00C02929" w14:paraId="17E96C5C" w14:textId="77777777">
        <w:trPr>
          <w:cantSplit/>
          <w:trHeight w:val="397"/>
          <w:jc w:val="center"/>
        </w:trPr>
        <w:tc>
          <w:tcPr>
            <w:tcW w:w="747" w:type="pct"/>
            <w:shd w:val="clear" w:color="auto" w:fill="FFFFFF"/>
            <w:vAlign w:val="center"/>
          </w:tcPr>
          <w:p w14:paraId="326AAEA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220" w:type="pct"/>
            <w:shd w:val="clear" w:color="auto" w:fill="FFFFFF"/>
            <w:vAlign w:val="center"/>
          </w:tcPr>
          <w:p w14:paraId="41BA9A6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钱雨嫣</w:t>
            </w:r>
          </w:p>
        </w:tc>
        <w:tc>
          <w:tcPr>
            <w:tcW w:w="1721" w:type="pct"/>
            <w:shd w:val="clear" w:color="auto" w:fill="FFFFFF"/>
            <w:vAlign w:val="center"/>
          </w:tcPr>
          <w:p w14:paraId="2EC32110"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341,880</w:t>
            </w:r>
          </w:p>
        </w:tc>
        <w:tc>
          <w:tcPr>
            <w:tcW w:w="1312" w:type="pct"/>
            <w:shd w:val="clear" w:color="auto" w:fill="FFFFFF"/>
            <w:vAlign w:val="center"/>
          </w:tcPr>
          <w:p w14:paraId="0ED83802"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1.72</w:t>
            </w:r>
          </w:p>
        </w:tc>
      </w:tr>
      <w:tr w:rsidR="00C02929" w14:paraId="7481EEC2" w14:textId="77777777">
        <w:trPr>
          <w:cantSplit/>
          <w:trHeight w:val="397"/>
          <w:jc w:val="center"/>
        </w:trPr>
        <w:tc>
          <w:tcPr>
            <w:tcW w:w="747" w:type="pct"/>
            <w:shd w:val="clear" w:color="auto" w:fill="FFFFFF"/>
            <w:vAlign w:val="center"/>
          </w:tcPr>
          <w:p w14:paraId="70EED1C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10</w:t>
            </w:r>
          </w:p>
        </w:tc>
        <w:tc>
          <w:tcPr>
            <w:tcW w:w="1220" w:type="pct"/>
            <w:shd w:val="clear" w:color="auto" w:fill="FFFFFF"/>
            <w:vAlign w:val="center"/>
          </w:tcPr>
          <w:p w14:paraId="14F2764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修军</w:t>
            </w:r>
          </w:p>
        </w:tc>
        <w:tc>
          <w:tcPr>
            <w:tcW w:w="1721" w:type="pct"/>
            <w:shd w:val="clear" w:color="auto" w:fill="FFFFFF"/>
            <w:vAlign w:val="center"/>
          </w:tcPr>
          <w:p w14:paraId="34B0DB50"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178,571</w:t>
            </w:r>
          </w:p>
        </w:tc>
        <w:tc>
          <w:tcPr>
            <w:tcW w:w="1312" w:type="pct"/>
            <w:shd w:val="clear" w:color="auto" w:fill="FFFFFF"/>
            <w:vAlign w:val="center"/>
          </w:tcPr>
          <w:p w14:paraId="7FDA4B26"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0.90</w:t>
            </w:r>
          </w:p>
        </w:tc>
      </w:tr>
      <w:tr w:rsidR="00DA6417" w14:paraId="05F2DC3D" w14:textId="77777777">
        <w:trPr>
          <w:cantSplit/>
          <w:trHeight w:val="397"/>
          <w:jc w:val="center"/>
        </w:trPr>
        <w:tc>
          <w:tcPr>
            <w:tcW w:w="747" w:type="pct"/>
            <w:shd w:val="clear" w:color="auto" w:fill="FFFFFF"/>
            <w:vAlign w:val="center"/>
          </w:tcPr>
          <w:p w14:paraId="37B16F5B" w14:textId="77777777" w:rsidR="00DA6417" w:rsidRDefault="00DA6417" w:rsidP="00DA6417">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220" w:type="pct"/>
            <w:shd w:val="clear" w:color="auto" w:fill="FFFFFF"/>
            <w:vAlign w:val="center"/>
          </w:tcPr>
          <w:p w14:paraId="2D09B8AC" w14:textId="77777777" w:rsidR="00DA6417" w:rsidRDefault="00DA6417" w:rsidP="00DA6417">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李威</w:t>
            </w:r>
          </w:p>
        </w:tc>
        <w:tc>
          <w:tcPr>
            <w:tcW w:w="1721" w:type="pct"/>
            <w:shd w:val="clear" w:color="auto" w:fill="FFFFFF"/>
            <w:vAlign w:val="center"/>
          </w:tcPr>
          <w:p w14:paraId="68FE6451" w14:textId="0B831E37" w:rsidR="00DA6417" w:rsidRDefault="00DA6417" w:rsidP="00DA6417">
            <w:pPr>
              <w:jc w:val="right"/>
              <w:rPr>
                <w:rFonts w:ascii="Times New Roman" w:hAnsi="Times New Roman" w:cs="Times New Roman"/>
                <w:color w:val="000000"/>
                <w:sz w:val="21"/>
                <w:szCs w:val="21"/>
              </w:rPr>
            </w:pPr>
            <w:r w:rsidRPr="0023728B">
              <w:rPr>
                <w:rFonts w:ascii="Times New Roman" w:hAnsi="Times New Roman"/>
                <w:color w:val="000000"/>
                <w:sz w:val="21"/>
                <w:szCs w:val="21"/>
              </w:rPr>
              <w:t>173,504</w:t>
            </w:r>
          </w:p>
        </w:tc>
        <w:tc>
          <w:tcPr>
            <w:tcW w:w="1312" w:type="pct"/>
            <w:shd w:val="clear" w:color="auto" w:fill="FFFFFF"/>
            <w:vAlign w:val="center"/>
          </w:tcPr>
          <w:p w14:paraId="025B5C5C" w14:textId="486A203A" w:rsidR="00DA6417" w:rsidRDefault="00DA6417" w:rsidP="00DA6417">
            <w:pPr>
              <w:jc w:val="right"/>
              <w:rPr>
                <w:rFonts w:ascii="Times New Roman" w:hAnsi="Times New Roman" w:cs="Times New Roman"/>
                <w:color w:val="000000"/>
                <w:sz w:val="21"/>
                <w:szCs w:val="21"/>
              </w:rPr>
            </w:pPr>
            <w:r w:rsidRPr="0023728B">
              <w:rPr>
                <w:rFonts w:ascii="Times New Roman" w:hAnsi="Times New Roman"/>
                <w:color w:val="000000"/>
                <w:sz w:val="21"/>
                <w:szCs w:val="21"/>
              </w:rPr>
              <w:t>0.87</w:t>
            </w:r>
          </w:p>
        </w:tc>
      </w:tr>
      <w:tr w:rsidR="00C02929" w14:paraId="23D88B43" w14:textId="77777777">
        <w:trPr>
          <w:cantSplit/>
          <w:trHeight w:val="397"/>
          <w:jc w:val="center"/>
        </w:trPr>
        <w:tc>
          <w:tcPr>
            <w:tcW w:w="747" w:type="pct"/>
            <w:shd w:val="clear" w:color="auto" w:fill="FFFFFF"/>
            <w:vAlign w:val="center"/>
          </w:tcPr>
          <w:p w14:paraId="50F7C71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220" w:type="pct"/>
            <w:shd w:val="clear" w:color="auto" w:fill="FFFFFF"/>
            <w:vAlign w:val="center"/>
          </w:tcPr>
          <w:p w14:paraId="4C9D66E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傅敦</w:t>
            </w:r>
          </w:p>
        </w:tc>
        <w:tc>
          <w:tcPr>
            <w:tcW w:w="1721" w:type="pct"/>
            <w:shd w:val="clear" w:color="auto" w:fill="FFFFFF"/>
            <w:vAlign w:val="center"/>
          </w:tcPr>
          <w:p w14:paraId="4D82A21C"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128,571</w:t>
            </w:r>
          </w:p>
        </w:tc>
        <w:tc>
          <w:tcPr>
            <w:tcW w:w="1312" w:type="pct"/>
            <w:shd w:val="clear" w:color="auto" w:fill="FFFFFF"/>
            <w:vAlign w:val="center"/>
          </w:tcPr>
          <w:p w14:paraId="2791EA5C"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0.65</w:t>
            </w:r>
          </w:p>
        </w:tc>
      </w:tr>
      <w:tr w:rsidR="00C02929" w14:paraId="5A37777F" w14:textId="77777777">
        <w:trPr>
          <w:cantSplit/>
          <w:trHeight w:val="397"/>
          <w:jc w:val="center"/>
        </w:trPr>
        <w:tc>
          <w:tcPr>
            <w:tcW w:w="747" w:type="pct"/>
            <w:shd w:val="clear" w:color="auto" w:fill="FFFFFF"/>
            <w:vAlign w:val="center"/>
          </w:tcPr>
          <w:p w14:paraId="456359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220" w:type="pct"/>
            <w:shd w:val="clear" w:color="auto" w:fill="FFFFFF"/>
            <w:vAlign w:val="center"/>
          </w:tcPr>
          <w:p w14:paraId="0F7C3D6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陈政言</w:t>
            </w:r>
          </w:p>
        </w:tc>
        <w:tc>
          <w:tcPr>
            <w:tcW w:w="1721" w:type="pct"/>
            <w:shd w:val="clear" w:color="auto" w:fill="FFFFFF"/>
            <w:vAlign w:val="center"/>
          </w:tcPr>
          <w:p w14:paraId="2C4D178D"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128,205</w:t>
            </w:r>
          </w:p>
        </w:tc>
        <w:tc>
          <w:tcPr>
            <w:tcW w:w="1312" w:type="pct"/>
            <w:shd w:val="clear" w:color="auto" w:fill="FFFFFF"/>
            <w:vAlign w:val="center"/>
          </w:tcPr>
          <w:p w14:paraId="248D425C" w14:textId="77777777" w:rsidR="00C02929" w:rsidRDefault="006116D1">
            <w:pPr>
              <w:jc w:val="right"/>
              <w:rPr>
                <w:rFonts w:ascii="Times New Roman" w:hAnsi="Times New Roman" w:cs="Times New Roman"/>
                <w:color w:val="000000"/>
                <w:sz w:val="21"/>
                <w:szCs w:val="21"/>
              </w:rPr>
            </w:pPr>
            <w:r>
              <w:rPr>
                <w:rFonts w:ascii="Times New Roman" w:hAnsi="Times New Roman"/>
                <w:color w:val="000000"/>
                <w:sz w:val="21"/>
                <w:szCs w:val="21"/>
              </w:rPr>
              <w:t>0.65</w:t>
            </w:r>
          </w:p>
        </w:tc>
      </w:tr>
      <w:tr w:rsidR="008F4E36" w14:paraId="178C0730" w14:textId="77777777" w:rsidTr="008F4E36">
        <w:trPr>
          <w:cantSplit/>
          <w:trHeight w:val="397"/>
          <w:jc w:val="center"/>
        </w:trPr>
        <w:tc>
          <w:tcPr>
            <w:tcW w:w="747" w:type="pct"/>
            <w:shd w:val="clear" w:color="auto" w:fill="FFFFFF"/>
            <w:vAlign w:val="center"/>
          </w:tcPr>
          <w:p w14:paraId="1CF02632" w14:textId="77777777" w:rsidR="008F4E36" w:rsidRDefault="008F4E36" w:rsidP="008F4E36">
            <w:pPr>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1220" w:type="pct"/>
            <w:shd w:val="clear" w:color="auto" w:fill="FFFFFF"/>
            <w:vAlign w:val="center"/>
          </w:tcPr>
          <w:p w14:paraId="43F60496" w14:textId="7ADC2119" w:rsidR="008F4E36" w:rsidRDefault="008F4E36" w:rsidP="008F4E36">
            <w:pPr>
              <w:jc w:val="center"/>
              <w:rPr>
                <w:rFonts w:ascii="Times New Roman" w:hAnsi="Times New Roman" w:cs="Times New Roman"/>
                <w:color w:val="000000"/>
                <w:sz w:val="21"/>
                <w:szCs w:val="21"/>
              </w:rPr>
            </w:pPr>
            <w:r w:rsidRPr="008F4E36">
              <w:rPr>
                <w:rFonts w:ascii="Times New Roman" w:hAnsi="Times New Roman" w:cs="Times New Roman" w:hint="eastAsia"/>
                <w:color w:val="000000"/>
                <w:sz w:val="21"/>
                <w:szCs w:val="21"/>
              </w:rPr>
              <w:t>张利</w:t>
            </w:r>
          </w:p>
        </w:tc>
        <w:tc>
          <w:tcPr>
            <w:tcW w:w="1721" w:type="pct"/>
            <w:shd w:val="clear" w:color="auto" w:fill="FFFFFF"/>
            <w:vAlign w:val="center"/>
          </w:tcPr>
          <w:p w14:paraId="501ABFB7"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68,376</w:t>
            </w:r>
          </w:p>
        </w:tc>
        <w:tc>
          <w:tcPr>
            <w:tcW w:w="1312" w:type="pct"/>
            <w:shd w:val="clear" w:color="auto" w:fill="FFFFFF"/>
            <w:vAlign w:val="center"/>
          </w:tcPr>
          <w:p w14:paraId="2D39A56D"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0.34</w:t>
            </w:r>
          </w:p>
        </w:tc>
      </w:tr>
      <w:tr w:rsidR="008F4E36" w14:paraId="3F6D0918" w14:textId="77777777" w:rsidTr="008F4E36">
        <w:trPr>
          <w:cantSplit/>
          <w:trHeight w:val="397"/>
          <w:jc w:val="center"/>
        </w:trPr>
        <w:tc>
          <w:tcPr>
            <w:tcW w:w="747" w:type="pct"/>
            <w:shd w:val="clear" w:color="auto" w:fill="FFFFFF"/>
            <w:vAlign w:val="center"/>
          </w:tcPr>
          <w:p w14:paraId="71FC85F0" w14:textId="77777777" w:rsidR="008F4E36" w:rsidRDefault="008F4E36" w:rsidP="008F4E36">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220" w:type="pct"/>
            <w:shd w:val="clear" w:color="auto" w:fill="FFFFFF"/>
            <w:vAlign w:val="center"/>
          </w:tcPr>
          <w:p w14:paraId="7FAB4FA7" w14:textId="037873C6" w:rsidR="008F4E36" w:rsidRDefault="008F4E36" w:rsidP="008F4E36">
            <w:pPr>
              <w:jc w:val="center"/>
              <w:rPr>
                <w:rFonts w:ascii="Times New Roman" w:hAnsi="Times New Roman" w:cs="Times New Roman"/>
                <w:color w:val="000000"/>
                <w:sz w:val="21"/>
                <w:szCs w:val="21"/>
              </w:rPr>
            </w:pPr>
            <w:r w:rsidRPr="008F4E36">
              <w:rPr>
                <w:rFonts w:ascii="Times New Roman" w:hAnsi="Times New Roman" w:cs="Times New Roman" w:hint="eastAsia"/>
                <w:color w:val="000000"/>
                <w:sz w:val="21"/>
                <w:szCs w:val="21"/>
              </w:rPr>
              <w:t>徐炳雷</w:t>
            </w:r>
          </w:p>
        </w:tc>
        <w:tc>
          <w:tcPr>
            <w:tcW w:w="1721" w:type="pct"/>
            <w:shd w:val="clear" w:color="auto" w:fill="FFFFFF"/>
            <w:vAlign w:val="center"/>
          </w:tcPr>
          <w:p w14:paraId="6A1BC974"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44,444</w:t>
            </w:r>
          </w:p>
        </w:tc>
        <w:tc>
          <w:tcPr>
            <w:tcW w:w="1312" w:type="pct"/>
            <w:shd w:val="clear" w:color="auto" w:fill="FFFFFF"/>
            <w:vAlign w:val="center"/>
          </w:tcPr>
          <w:p w14:paraId="470C56DC"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0.22</w:t>
            </w:r>
          </w:p>
        </w:tc>
      </w:tr>
      <w:tr w:rsidR="008F4E36" w14:paraId="3AE37DDC" w14:textId="77777777" w:rsidTr="008F4E36">
        <w:trPr>
          <w:cantSplit/>
          <w:trHeight w:val="397"/>
          <w:jc w:val="center"/>
        </w:trPr>
        <w:tc>
          <w:tcPr>
            <w:tcW w:w="747" w:type="pct"/>
            <w:shd w:val="clear" w:color="auto" w:fill="FFFFFF"/>
            <w:vAlign w:val="center"/>
          </w:tcPr>
          <w:p w14:paraId="5502A905" w14:textId="77777777" w:rsidR="008F4E36" w:rsidRDefault="008F4E36" w:rsidP="008F4E36">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220" w:type="pct"/>
            <w:shd w:val="clear" w:color="auto" w:fill="FFFFFF"/>
            <w:vAlign w:val="center"/>
          </w:tcPr>
          <w:p w14:paraId="621B13B5" w14:textId="38EE801D" w:rsidR="008F4E36" w:rsidRDefault="008F4E36" w:rsidP="008F4E36">
            <w:pPr>
              <w:jc w:val="center"/>
              <w:rPr>
                <w:rFonts w:ascii="Times New Roman" w:hAnsi="Times New Roman" w:cs="Times New Roman"/>
                <w:color w:val="000000"/>
                <w:sz w:val="21"/>
                <w:szCs w:val="21"/>
              </w:rPr>
            </w:pPr>
            <w:r w:rsidRPr="008F4E36">
              <w:rPr>
                <w:rFonts w:ascii="Times New Roman" w:hAnsi="Times New Roman" w:cs="Times New Roman" w:hint="eastAsia"/>
                <w:color w:val="000000"/>
                <w:sz w:val="21"/>
                <w:szCs w:val="21"/>
              </w:rPr>
              <w:t>许龙日</w:t>
            </w:r>
          </w:p>
        </w:tc>
        <w:tc>
          <w:tcPr>
            <w:tcW w:w="1721" w:type="pct"/>
            <w:shd w:val="clear" w:color="auto" w:fill="FFFFFF"/>
            <w:vAlign w:val="center"/>
          </w:tcPr>
          <w:p w14:paraId="43D0005D"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2,564</w:t>
            </w:r>
          </w:p>
        </w:tc>
        <w:tc>
          <w:tcPr>
            <w:tcW w:w="1312" w:type="pct"/>
            <w:shd w:val="clear" w:color="auto" w:fill="FFFFFF"/>
            <w:vAlign w:val="center"/>
          </w:tcPr>
          <w:p w14:paraId="1DAAC20F"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0.01</w:t>
            </w:r>
          </w:p>
        </w:tc>
      </w:tr>
      <w:tr w:rsidR="008F4E36" w14:paraId="0642E959" w14:textId="77777777" w:rsidTr="008F4E36">
        <w:trPr>
          <w:cantSplit/>
          <w:trHeight w:val="397"/>
          <w:jc w:val="center"/>
        </w:trPr>
        <w:tc>
          <w:tcPr>
            <w:tcW w:w="747" w:type="pct"/>
            <w:shd w:val="clear" w:color="auto" w:fill="FFFFFF"/>
            <w:vAlign w:val="center"/>
          </w:tcPr>
          <w:p w14:paraId="4460348B" w14:textId="77777777" w:rsidR="008F4E36" w:rsidRDefault="008F4E36" w:rsidP="008F4E36">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1220" w:type="pct"/>
            <w:shd w:val="clear" w:color="auto" w:fill="FFFFFF"/>
            <w:vAlign w:val="center"/>
          </w:tcPr>
          <w:p w14:paraId="39CC873F" w14:textId="470CED16" w:rsidR="008F4E36" w:rsidRDefault="008F4E36" w:rsidP="008F4E36">
            <w:pPr>
              <w:jc w:val="center"/>
              <w:rPr>
                <w:rFonts w:ascii="Times New Roman" w:hAnsi="Times New Roman" w:cs="Times New Roman"/>
                <w:color w:val="000000"/>
                <w:sz w:val="21"/>
                <w:szCs w:val="21"/>
              </w:rPr>
            </w:pPr>
            <w:r w:rsidRPr="008F4E36">
              <w:rPr>
                <w:rFonts w:ascii="Times New Roman" w:hAnsi="Times New Roman" w:cs="Times New Roman" w:hint="eastAsia"/>
                <w:color w:val="000000"/>
                <w:sz w:val="21"/>
                <w:szCs w:val="21"/>
              </w:rPr>
              <w:t>英入才</w:t>
            </w:r>
          </w:p>
        </w:tc>
        <w:tc>
          <w:tcPr>
            <w:tcW w:w="1721" w:type="pct"/>
            <w:shd w:val="clear" w:color="auto" w:fill="FFFFFF"/>
            <w:vAlign w:val="center"/>
          </w:tcPr>
          <w:p w14:paraId="766D520D"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1,709</w:t>
            </w:r>
          </w:p>
        </w:tc>
        <w:tc>
          <w:tcPr>
            <w:tcW w:w="1312" w:type="pct"/>
            <w:shd w:val="clear" w:color="auto" w:fill="FFFFFF"/>
            <w:vAlign w:val="center"/>
          </w:tcPr>
          <w:p w14:paraId="5AF1B894"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0.01</w:t>
            </w:r>
          </w:p>
        </w:tc>
      </w:tr>
      <w:tr w:rsidR="008F4E36" w14:paraId="5FC88527" w14:textId="77777777" w:rsidTr="008F4E36">
        <w:trPr>
          <w:cantSplit/>
          <w:trHeight w:val="397"/>
          <w:jc w:val="center"/>
        </w:trPr>
        <w:tc>
          <w:tcPr>
            <w:tcW w:w="747" w:type="pct"/>
            <w:shd w:val="clear" w:color="auto" w:fill="FFFFFF"/>
            <w:vAlign w:val="center"/>
          </w:tcPr>
          <w:p w14:paraId="4FFEBE2B" w14:textId="77777777" w:rsidR="008F4E36" w:rsidRDefault="008F4E36" w:rsidP="008F4E36">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220" w:type="pct"/>
            <w:shd w:val="clear" w:color="auto" w:fill="FFFFFF"/>
            <w:vAlign w:val="center"/>
          </w:tcPr>
          <w:p w14:paraId="7AD2525B" w14:textId="7F7302D8" w:rsidR="008F4E36" w:rsidRDefault="008F4E36" w:rsidP="008F4E36">
            <w:pPr>
              <w:jc w:val="center"/>
              <w:rPr>
                <w:rFonts w:ascii="Times New Roman" w:hAnsi="Times New Roman" w:cs="Times New Roman"/>
                <w:color w:val="000000"/>
                <w:sz w:val="21"/>
                <w:szCs w:val="21"/>
              </w:rPr>
            </w:pPr>
            <w:r w:rsidRPr="008F4E36">
              <w:rPr>
                <w:rFonts w:ascii="Times New Roman" w:hAnsi="Times New Roman" w:cs="Times New Roman" w:hint="eastAsia"/>
                <w:color w:val="000000"/>
                <w:sz w:val="21"/>
                <w:szCs w:val="21"/>
              </w:rPr>
              <w:t>阳伦胜</w:t>
            </w:r>
          </w:p>
        </w:tc>
        <w:tc>
          <w:tcPr>
            <w:tcW w:w="1721" w:type="pct"/>
            <w:shd w:val="clear" w:color="auto" w:fill="FFFFFF"/>
            <w:vAlign w:val="center"/>
          </w:tcPr>
          <w:p w14:paraId="71AE6BFC"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1,709</w:t>
            </w:r>
          </w:p>
        </w:tc>
        <w:tc>
          <w:tcPr>
            <w:tcW w:w="1312" w:type="pct"/>
            <w:shd w:val="clear" w:color="auto" w:fill="FFFFFF"/>
            <w:vAlign w:val="center"/>
          </w:tcPr>
          <w:p w14:paraId="4B71975C"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0.01</w:t>
            </w:r>
          </w:p>
        </w:tc>
      </w:tr>
      <w:tr w:rsidR="008F4E36" w14:paraId="1FFC186D" w14:textId="77777777" w:rsidTr="008F4E36">
        <w:trPr>
          <w:cantSplit/>
          <w:trHeight w:val="397"/>
          <w:jc w:val="center"/>
        </w:trPr>
        <w:tc>
          <w:tcPr>
            <w:tcW w:w="747" w:type="pct"/>
            <w:shd w:val="clear" w:color="auto" w:fill="FFFFFF"/>
            <w:vAlign w:val="center"/>
          </w:tcPr>
          <w:p w14:paraId="2AA9161E" w14:textId="77777777" w:rsidR="008F4E36" w:rsidRDefault="008F4E36" w:rsidP="008F4E36">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1220" w:type="pct"/>
            <w:shd w:val="clear" w:color="auto" w:fill="FFFFFF"/>
            <w:vAlign w:val="center"/>
          </w:tcPr>
          <w:p w14:paraId="33C2346C" w14:textId="2FBDE066" w:rsidR="008F4E36" w:rsidRDefault="008F4E36" w:rsidP="008F4E36">
            <w:pPr>
              <w:jc w:val="center"/>
              <w:rPr>
                <w:rFonts w:ascii="Times New Roman" w:hAnsi="Times New Roman" w:cs="Times New Roman"/>
                <w:color w:val="000000"/>
                <w:sz w:val="21"/>
                <w:szCs w:val="21"/>
              </w:rPr>
            </w:pPr>
            <w:r w:rsidRPr="008F4E36">
              <w:rPr>
                <w:rFonts w:ascii="Times New Roman" w:hAnsi="Times New Roman" w:cs="Times New Roman" w:hint="eastAsia"/>
                <w:color w:val="000000"/>
                <w:sz w:val="21"/>
                <w:szCs w:val="21"/>
              </w:rPr>
              <w:t>辛兰</w:t>
            </w:r>
          </w:p>
        </w:tc>
        <w:tc>
          <w:tcPr>
            <w:tcW w:w="1721" w:type="pct"/>
            <w:shd w:val="clear" w:color="auto" w:fill="FFFFFF"/>
            <w:vAlign w:val="center"/>
          </w:tcPr>
          <w:p w14:paraId="3C61DD90"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1,709</w:t>
            </w:r>
          </w:p>
        </w:tc>
        <w:tc>
          <w:tcPr>
            <w:tcW w:w="1312" w:type="pct"/>
            <w:shd w:val="clear" w:color="auto" w:fill="FFFFFF"/>
            <w:vAlign w:val="center"/>
          </w:tcPr>
          <w:p w14:paraId="117DBE59" w14:textId="77777777" w:rsidR="008F4E36" w:rsidRDefault="008F4E36" w:rsidP="008F4E36">
            <w:pPr>
              <w:jc w:val="right"/>
              <w:rPr>
                <w:rFonts w:ascii="Times New Roman" w:hAnsi="Times New Roman" w:cs="Times New Roman"/>
                <w:color w:val="000000"/>
                <w:sz w:val="21"/>
                <w:szCs w:val="21"/>
              </w:rPr>
            </w:pPr>
            <w:r>
              <w:rPr>
                <w:rFonts w:ascii="Times New Roman" w:hAnsi="Times New Roman"/>
                <w:color w:val="000000"/>
                <w:sz w:val="21"/>
                <w:szCs w:val="21"/>
              </w:rPr>
              <w:t>0.01</w:t>
            </w:r>
          </w:p>
        </w:tc>
      </w:tr>
      <w:tr w:rsidR="00C02929" w14:paraId="34C31FA0" w14:textId="77777777">
        <w:trPr>
          <w:cantSplit/>
          <w:trHeight w:val="397"/>
          <w:jc w:val="center"/>
        </w:trPr>
        <w:tc>
          <w:tcPr>
            <w:tcW w:w="1967" w:type="pct"/>
            <w:gridSpan w:val="2"/>
            <w:shd w:val="clear" w:color="auto" w:fill="FFFFFF"/>
            <w:vAlign w:val="center"/>
          </w:tcPr>
          <w:p w14:paraId="0D26154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721" w:type="pct"/>
            <w:shd w:val="clear" w:color="auto" w:fill="FFFFFF"/>
            <w:vAlign w:val="center"/>
          </w:tcPr>
          <w:p w14:paraId="090BE86B"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19,862,800</w:t>
            </w:r>
          </w:p>
        </w:tc>
        <w:tc>
          <w:tcPr>
            <w:tcW w:w="1312" w:type="pct"/>
            <w:shd w:val="clear" w:color="auto" w:fill="FFFFFF"/>
            <w:vAlign w:val="center"/>
          </w:tcPr>
          <w:p w14:paraId="28E00240"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3CA116D1" w14:textId="77777777" w:rsidR="00C02929" w:rsidRDefault="006116D1">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2</w:t>
      </w:r>
      <w:r>
        <w:rPr>
          <w:rFonts w:ascii="Times New Roman" w:hAnsi="Times New Roman" w:cs="Times New Roman" w:hint="eastAsia"/>
          <w:b/>
        </w:rPr>
        <w:t>、</w:t>
      </w:r>
      <w:r>
        <w:rPr>
          <w:rFonts w:ascii="Times New Roman" w:hAnsi="Times New Roman" w:cs="Times New Roman" w:hint="eastAsia"/>
          <w:b/>
        </w:rPr>
        <w:t>2018</w:t>
      </w:r>
      <w:r>
        <w:rPr>
          <w:rFonts w:ascii="Times New Roman" w:hAnsi="Times New Roman" w:cs="Times New Roman" w:hint="eastAsia"/>
          <w:b/>
        </w:rPr>
        <w:t>年</w:t>
      </w:r>
      <w:r>
        <w:rPr>
          <w:rFonts w:ascii="Times New Roman" w:hAnsi="Times New Roman" w:cs="Times New Roman"/>
          <w:b/>
        </w:rPr>
        <w:t>1</w:t>
      </w:r>
      <w:r>
        <w:rPr>
          <w:rFonts w:ascii="Times New Roman" w:hAnsi="Times New Roman" w:cs="Times New Roman"/>
          <w:b/>
        </w:rPr>
        <w:t>月</w:t>
      </w:r>
      <w:r>
        <w:rPr>
          <w:rFonts w:ascii="Times New Roman" w:hAnsi="Times New Roman" w:cs="Times New Roman"/>
          <w:b/>
        </w:rPr>
        <w:t>1</w:t>
      </w:r>
      <w:r>
        <w:rPr>
          <w:rFonts w:ascii="Times New Roman" w:hAnsi="Times New Roman" w:cs="Times New Roman"/>
          <w:b/>
        </w:rPr>
        <w:t>日</w:t>
      </w:r>
      <w:r>
        <w:rPr>
          <w:rFonts w:ascii="Times New Roman" w:hAnsi="Times New Roman" w:cs="Times New Roman" w:hint="eastAsia"/>
          <w:b/>
        </w:rPr>
        <w:t>至标的公司终止挂牌期间的股东大会人员变化</w:t>
      </w:r>
    </w:p>
    <w:p w14:paraId="0AF513AA"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w:t>
      </w:r>
      <w:r>
        <w:rPr>
          <w:rFonts w:ascii="Times New Roman" w:hAnsi="Times New Roman" w:cs="Times New Roman"/>
          <w:bCs/>
          <w:color w:val="000000"/>
          <w:szCs w:val="21"/>
        </w:rPr>
        <w:t>1</w:t>
      </w:r>
      <w:r>
        <w:rPr>
          <w:rFonts w:ascii="Times New Roman" w:hAnsi="Times New Roman" w:cs="Times New Roman"/>
          <w:bCs/>
          <w:color w:val="000000"/>
          <w:szCs w:val="21"/>
        </w:rPr>
        <w:t>月</w:t>
      </w:r>
      <w:r>
        <w:rPr>
          <w:rFonts w:ascii="Times New Roman" w:hAnsi="Times New Roman" w:cs="Times New Roman"/>
          <w:bCs/>
          <w:color w:val="000000"/>
          <w:szCs w:val="21"/>
        </w:rPr>
        <w:t>1</w:t>
      </w:r>
      <w:r>
        <w:rPr>
          <w:rFonts w:ascii="Times New Roman" w:hAnsi="Times New Roman" w:cs="Times New Roman"/>
          <w:bCs/>
          <w:color w:val="000000"/>
          <w:szCs w:val="21"/>
        </w:rPr>
        <w:t>日</w:t>
      </w:r>
      <w:r>
        <w:rPr>
          <w:rFonts w:ascii="Times New Roman" w:hAnsi="Times New Roman" w:cs="Times New Roman" w:hint="eastAsia"/>
          <w:bCs/>
          <w:color w:val="000000"/>
          <w:szCs w:val="21"/>
        </w:rPr>
        <w:t>至标的公司终止挂牌期间，北洋天青股东的股份交易情况具体如下：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24"/>
        <w:gridCol w:w="1701"/>
        <w:gridCol w:w="1616"/>
        <w:gridCol w:w="2132"/>
        <w:gridCol w:w="1549"/>
      </w:tblGrid>
      <w:tr w:rsidR="00C02929" w14:paraId="04368F3B" w14:textId="77777777">
        <w:trPr>
          <w:cantSplit/>
          <w:trHeight w:val="397"/>
          <w:tblHeader/>
          <w:jc w:val="center"/>
        </w:trPr>
        <w:tc>
          <w:tcPr>
            <w:tcW w:w="894" w:type="pct"/>
            <w:shd w:val="clear" w:color="auto" w:fill="auto"/>
            <w:vAlign w:val="center"/>
          </w:tcPr>
          <w:p w14:paraId="77001C06"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转让方</w:t>
            </w:r>
          </w:p>
        </w:tc>
        <w:tc>
          <w:tcPr>
            <w:tcW w:w="998" w:type="pct"/>
            <w:shd w:val="clear" w:color="auto" w:fill="auto"/>
            <w:vAlign w:val="center"/>
          </w:tcPr>
          <w:p w14:paraId="5A400604"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受让方</w:t>
            </w:r>
          </w:p>
        </w:tc>
        <w:tc>
          <w:tcPr>
            <w:tcW w:w="948" w:type="pct"/>
            <w:shd w:val="clear" w:color="auto" w:fill="auto"/>
            <w:vAlign w:val="center"/>
          </w:tcPr>
          <w:p w14:paraId="6533C0C3"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股份数（股）</w:t>
            </w:r>
          </w:p>
        </w:tc>
        <w:tc>
          <w:tcPr>
            <w:tcW w:w="1251" w:type="pct"/>
            <w:shd w:val="clear" w:color="auto" w:fill="auto"/>
            <w:vAlign w:val="center"/>
          </w:tcPr>
          <w:p w14:paraId="0D76D59B"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转让价格（元</w:t>
            </w:r>
            <w:r>
              <w:rPr>
                <w:rFonts w:ascii="Times New Roman" w:hAnsi="Times New Roman" w:cs="Times New Roman" w:hint="eastAsia"/>
                <w:b/>
                <w:bCs/>
                <w:color w:val="000000"/>
                <w:sz w:val="21"/>
                <w:szCs w:val="21"/>
                <w:lang w:bidi="ar"/>
              </w:rPr>
              <w:t>/</w:t>
            </w:r>
            <w:r>
              <w:rPr>
                <w:rFonts w:ascii="Times New Roman" w:hAnsi="Times New Roman" w:cs="Times New Roman" w:hint="eastAsia"/>
                <w:b/>
                <w:bCs/>
                <w:color w:val="000000"/>
                <w:sz w:val="21"/>
                <w:szCs w:val="21"/>
                <w:lang w:bidi="ar"/>
              </w:rPr>
              <w:t>股）</w:t>
            </w:r>
          </w:p>
        </w:tc>
        <w:tc>
          <w:tcPr>
            <w:tcW w:w="909" w:type="pct"/>
            <w:shd w:val="clear" w:color="auto" w:fill="auto"/>
            <w:vAlign w:val="center"/>
          </w:tcPr>
          <w:p w14:paraId="22ED49D7" w14:textId="77777777" w:rsidR="00C02929" w:rsidRDefault="006116D1">
            <w:pPr>
              <w:adjustRightInd w:val="0"/>
              <w:snapToGrid w:val="0"/>
              <w:jc w:val="center"/>
              <w:rPr>
                <w:rFonts w:ascii="Times New Roman" w:hAnsi="Times New Roman" w:cs="Times New Roman"/>
                <w:b/>
                <w:bCs/>
                <w:color w:val="000000"/>
                <w:sz w:val="21"/>
                <w:szCs w:val="21"/>
                <w:lang w:bidi="ar"/>
              </w:rPr>
            </w:pPr>
            <w:r>
              <w:rPr>
                <w:rFonts w:ascii="Times New Roman" w:hAnsi="Times New Roman" w:cs="Times New Roman" w:hint="eastAsia"/>
                <w:b/>
                <w:bCs/>
                <w:color w:val="000000"/>
                <w:sz w:val="21"/>
                <w:szCs w:val="21"/>
                <w:lang w:bidi="ar"/>
              </w:rPr>
              <w:t>转让时间</w:t>
            </w:r>
          </w:p>
        </w:tc>
      </w:tr>
      <w:tr w:rsidR="00C02929" w14:paraId="1C765FBC" w14:textId="77777777">
        <w:trPr>
          <w:cantSplit/>
          <w:trHeight w:val="397"/>
          <w:jc w:val="center"/>
        </w:trPr>
        <w:tc>
          <w:tcPr>
            <w:tcW w:w="894" w:type="pct"/>
            <w:vMerge w:val="restart"/>
            <w:shd w:val="clear" w:color="auto" w:fill="auto"/>
            <w:vAlign w:val="center"/>
          </w:tcPr>
          <w:p w14:paraId="3C2180E8"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当代文化</w:t>
            </w:r>
          </w:p>
        </w:tc>
        <w:tc>
          <w:tcPr>
            <w:tcW w:w="998" w:type="pct"/>
            <w:shd w:val="clear" w:color="auto" w:fill="auto"/>
            <w:vAlign w:val="center"/>
          </w:tcPr>
          <w:p w14:paraId="6C5B2024"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钱祥丰</w:t>
            </w:r>
          </w:p>
        </w:tc>
        <w:tc>
          <w:tcPr>
            <w:tcW w:w="948" w:type="pct"/>
            <w:shd w:val="clear" w:color="auto" w:fill="auto"/>
            <w:vAlign w:val="center"/>
          </w:tcPr>
          <w:p w14:paraId="7EECF970"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w:t>
            </w:r>
          </w:p>
        </w:tc>
        <w:tc>
          <w:tcPr>
            <w:tcW w:w="1251" w:type="pct"/>
            <w:shd w:val="clear" w:color="auto" w:fill="auto"/>
            <w:vAlign w:val="center"/>
          </w:tcPr>
          <w:p w14:paraId="642A4156"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44195FA0"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2018.01.24</w:t>
            </w:r>
          </w:p>
        </w:tc>
      </w:tr>
      <w:tr w:rsidR="00C02929" w14:paraId="5CD90870" w14:textId="77777777">
        <w:trPr>
          <w:cantSplit/>
          <w:trHeight w:val="397"/>
          <w:jc w:val="center"/>
        </w:trPr>
        <w:tc>
          <w:tcPr>
            <w:tcW w:w="894" w:type="pct"/>
            <w:vMerge/>
            <w:shd w:val="clear" w:color="auto" w:fill="auto"/>
            <w:vAlign w:val="center"/>
          </w:tcPr>
          <w:p w14:paraId="04436446"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98" w:type="pct"/>
            <w:vMerge w:val="restart"/>
            <w:shd w:val="clear" w:color="auto" w:fill="auto"/>
            <w:vAlign w:val="center"/>
          </w:tcPr>
          <w:p w14:paraId="286A9504"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王晓晖</w:t>
            </w:r>
          </w:p>
        </w:tc>
        <w:tc>
          <w:tcPr>
            <w:tcW w:w="948" w:type="pct"/>
            <w:shd w:val="clear" w:color="auto" w:fill="auto"/>
            <w:vAlign w:val="center"/>
          </w:tcPr>
          <w:p w14:paraId="1BE38E27"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900,000</w:t>
            </w:r>
          </w:p>
        </w:tc>
        <w:tc>
          <w:tcPr>
            <w:tcW w:w="1251" w:type="pct"/>
            <w:shd w:val="clear" w:color="auto" w:fill="auto"/>
            <w:vAlign w:val="center"/>
          </w:tcPr>
          <w:p w14:paraId="03D11D87"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08666FBB"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2018.01.24</w:t>
            </w:r>
          </w:p>
        </w:tc>
      </w:tr>
      <w:tr w:rsidR="00C02929" w14:paraId="28A2305B" w14:textId="77777777">
        <w:trPr>
          <w:cantSplit/>
          <w:trHeight w:val="397"/>
          <w:jc w:val="center"/>
        </w:trPr>
        <w:tc>
          <w:tcPr>
            <w:tcW w:w="894" w:type="pct"/>
            <w:vMerge/>
            <w:shd w:val="clear" w:color="auto" w:fill="auto"/>
            <w:vAlign w:val="center"/>
          </w:tcPr>
          <w:p w14:paraId="0D2590AD"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752BE41B"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2FDAE6E8"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810,000</w:t>
            </w:r>
          </w:p>
        </w:tc>
        <w:tc>
          <w:tcPr>
            <w:tcW w:w="1251" w:type="pct"/>
            <w:shd w:val="clear" w:color="auto" w:fill="auto"/>
            <w:vAlign w:val="center"/>
          </w:tcPr>
          <w:p w14:paraId="7BD918EF"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529E940A"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2018.01.26</w:t>
            </w:r>
          </w:p>
        </w:tc>
      </w:tr>
      <w:tr w:rsidR="00C02929" w14:paraId="4330B030" w14:textId="77777777">
        <w:trPr>
          <w:cantSplit/>
          <w:trHeight w:val="397"/>
          <w:jc w:val="center"/>
        </w:trPr>
        <w:tc>
          <w:tcPr>
            <w:tcW w:w="894" w:type="pct"/>
            <w:vMerge/>
            <w:shd w:val="clear" w:color="auto" w:fill="auto"/>
            <w:vAlign w:val="center"/>
          </w:tcPr>
          <w:p w14:paraId="7125DC09"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54774253"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7E384A22"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3,000</w:t>
            </w:r>
          </w:p>
        </w:tc>
        <w:tc>
          <w:tcPr>
            <w:tcW w:w="1251" w:type="pct"/>
            <w:shd w:val="clear" w:color="auto" w:fill="auto"/>
            <w:vAlign w:val="center"/>
          </w:tcPr>
          <w:p w14:paraId="5080EE57"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7D446056"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2018.01.29</w:t>
            </w:r>
          </w:p>
        </w:tc>
      </w:tr>
      <w:tr w:rsidR="00C02929" w14:paraId="2BDAC663" w14:textId="77777777">
        <w:trPr>
          <w:cantSplit/>
          <w:trHeight w:val="397"/>
          <w:jc w:val="center"/>
        </w:trPr>
        <w:tc>
          <w:tcPr>
            <w:tcW w:w="894" w:type="pct"/>
            <w:vMerge/>
            <w:shd w:val="clear" w:color="auto" w:fill="auto"/>
            <w:vAlign w:val="center"/>
          </w:tcPr>
          <w:p w14:paraId="3DE3FF79"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6ECC9D38"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3AB86C7F"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286</w:t>
            </w:r>
          </w:p>
        </w:tc>
        <w:tc>
          <w:tcPr>
            <w:tcW w:w="1251" w:type="pct"/>
            <w:shd w:val="clear" w:color="auto" w:fill="auto"/>
            <w:vAlign w:val="center"/>
          </w:tcPr>
          <w:p w14:paraId="5027276B"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09200133"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2018.01.30</w:t>
            </w:r>
          </w:p>
        </w:tc>
      </w:tr>
      <w:tr w:rsidR="00C02929" w14:paraId="4603A59C" w14:textId="77777777">
        <w:trPr>
          <w:cantSplit/>
          <w:trHeight w:val="397"/>
          <w:jc w:val="center"/>
        </w:trPr>
        <w:tc>
          <w:tcPr>
            <w:tcW w:w="894" w:type="pct"/>
            <w:vMerge w:val="restart"/>
            <w:shd w:val="clear" w:color="auto" w:fill="auto"/>
            <w:vAlign w:val="center"/>
          </w:tcPr>
          <w:p w14:paraId="02F99B09"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肖中海</w:t>
            </w:r>
          </w:p>
        </w:tc>
        <w:tc>
          <w:tcPr>
            <w:tcW w:w="998" w:type="pct"/>
            <w:shd w:val="clear" w:color="auto" w:fill="auto"/>
            <w:vAlign w:val="center"/>
          </w:tcPr>
          <w:p w14:paraId="3CBD5E4B"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曹义海</w:t>
            </w:r>
          </w:p>
        </w:tc>
        <w:tc>
          <w:tcPr>
            <w:tcW w:w="948" w:type="pct"/>
            <w:shd w:val="clear" w:color="auto" w:fill="auto"/>
            <w:vAlign w:val="center"/>
          </w:tcPr>
          <w:p w14:paraId="47D73BAA"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w:t>
            </w:r>
          </w:p>
        </w:tc>
        <w:tc>
          <w:tcPr>
            <w:tcW w:w="1251" w:type="pct"/>
            <w:shd w:val="clear" w:color="auto" w:fill="auto"/>
            <w:vAlign w:val="center"/>
          </w:tcPr>
          <w:p w14:paraId="2718C020"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4.28</w:t>
            </w:r>
          </w:p>
        </w:tc>
        <w:tc>
          <w:tcPr>
            <w:tcW w:w="909" w:type="pct"/>
            <w:shd w:val="clear" w:color="auto" w:fill="auto"/>
            <w:vAlign w:val="center"/>
          </w:tcPr>
          <w:p w14:paraId="7B8F5D85"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2019.12.19</w:t>
            </w:r>
          </w:p>
        </w:tc>
      </w:tr>
      <w:tr w:rsidR="00C02929" w14:paraId="73059F51" w14:textId="77777777">
        <w:trPr>
          <w:cantSplit/>
          <w:trHeight w:val="397"/>
          <w:jc w:val="center"/>
        </w:trPr>
        <w:tc>
          <w:tcPr>
            <w:tcW w:w="894" w:type="pct"/>
            <w:vMerge/>
            <w:shd w:val="clear" w:color="auto" w:fill="auto"/>
            <w:vAlign w:val="center"/>
          </w:tcPr>
          <w:p w14:paraId="14F539E6"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98" w:type="pct"/>
            <w:vMerge w:val="restart"/>
            <w:shd w:val="clear" w:color="auto" w:fill="auto"/>
            <w:vAlign w:val="center"/>
          </w:tcPr>
          <w:p w14:paraId="1EBAF96F"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李红</w:t>
            </w:r>
          </w:p>
        </w:tc>
        <w:tc>
          <w:tcPr>
            <w:tcW w:w="948" w:type="pct"/>
            <w:shd w:val="clear" w:color="auto" w:fill="auto"/>
            <w:vAlign w:val="center"/>
          </w:tcPr>
          <w:p w14:paraId="05FFD8BE"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100,000</w:t>
            </w:r>
          </w:p>
        </w:tc>
        <w:tc>
          <w:tcPr>
            <w:tcW w:w="1251" w:type="pct"/>
            <w:shd w:val="clear" w:color="auto" w:fill="auto"/>
            <w:vAlign w:val="center"/>
          </w:tcPr>
          <w:p w14:paraId="432A9417"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2.15</w:t>
            </w:r>
          </w:p>
        </w:tc>
        <w:tc>
          <w:tcPr>
            <w:tcW w:w="909" w:type="pct"/>
            <w:shd w:val="clear" w:color="auto" w:fill="auto"/>
            <w:vAlign w:val="center"/>
          </w:tcPr>
          <w:p w14:paraId="5380107E"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2019.12.20</w:t>
            </w:r>
          </w:p>
        </w:tc>
      </w:tr>
      <w:tr w:rsidR="00C02929" w14:paraId="06507AB9" w14:textId="77777777">
        <w:trPr>
          <w:cantSplit/>
          <w:trHeight w:val="397"/>
          <w:jc w:val="center"/>
        </w:trPr>
        <w:tc>
          <w:tcPr>
            <w:tcW w:w="894" w:type="pct"/>
            <w:vMerge/>
            <w:shd w:val="clear" w:color="auto" w:fill="auto"/>
            <w:vAlign w:val="center"/>
          </w:tcPr>
          <w:p w14:paraId="39BDD5B2"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98" w:type="pct"/>
            <w:vMerge/>
            <w:shd w:val="clear" w:color="auto" w:fill="auto"/>
            <w:vAlign w:val="center"/>
          </w:tcPr>
          <w:p w14:paraId="42BBDD76" w14:textId="77777777" w:rsidR="00C02929" w:rsidRDefault="00C02929">
            <w:pPr>
              <w:adjustRightInd w:val="0"/>
              <w:snapToGrid w:val="0"/>
              <w:jc w:val="center"/>
              <w:rPr>
                <w:rFonts w:ascii="Times New Roman" w:hAnsi="Times New Roman" w:cs="Times New Roman"/>
                <w:color w:val="000000"/>
                <w:sz w:val="21"/>
                <w:szCs w:val="21"/>
                <w:lang w:bidi="ar"/>
              </w:rPr>
            </w:pPr>
          </w:p>
        </w:tc>
        <w:tc>
          <w:tcPr>
            <w:tcW w:w="948" w:type="pct"/>
            <w:shd w:val="clear" w:color="auto" w:fill="auto"/>
            <w:vAlign w:val="center"/>
          </w:tcPr>
          <w:p w14:paraId="3C2BE2DE"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230,000</w:t>
            </w:r>
          </w:p>
        </w:tc>
        <w:tc>
          <w:tcPr>
            <w:tcW w:w="1251" w:type="pct"/>
            <w:shd w:val="clear" w:color="auto" w:fill="auto"/>
            <w:vAlign w:val="center"/>
          </w:tcPr>
          <w:p w14:paraId="7AAB20CF"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2.15</w:t>
            </w:r>
          </w:p>
        </w:tc>
        <w:tc>
          <w:tcPr>
            <w:tcW w:w="909" w:type="pct"/>
            <w:shd w:val="clear" w:color="auto" w:fill="auto"/>
            <w:vAlign w:val="center"/>
          </w:tcPr>
          <w:p w14:paraId="12168DF4"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2019.12.23</w:t>
            </w:r>
          </w:p>
        </w:tc>
      </w:tr>
      <w:tr w:rsidR="00C02929" w14:paraId="35587B1B" w14:textId="77777777">
        <w:trPr>
          <w:cantSplit/>
          <w:trHeight w:val="397"/>
          <w:jc w:val="center"/>
        </w:trPr>
        <w:tc>
          <w:tcPr>
            <w:tcW w:w="894" w:type="pct"/>
            <w:shd w:val="clear" w:color="auto" w:fill="auto"/>
            <w:vAlign w:val="center"/>
          </w:tcPr>
          <w:p w14:paraId="5880BDB5"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曹义海</w:t>
            </w:r>
          </w:p>
        </w:tc>
        <w:tc>
          <w:tcPr>
            <w:tcW w:w="998" w:type="pct"/>
            <w:shd w:val="clear" w:color="auto" w:fill="auto"/>
            <w:vAlign w:val="center"/>
          </w:tcPr>
          <w:p w14:paraId="5DFAB2ED"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李祥华</w:t>
            </w:r>
          </w:p>
        </w:tc>
        <w:tc>
          <w:tcPr>
            <w:tcW w:w="948" w:type="pct"/>
            <w:shd w:val="clear" w:color="auto" w:fill="auto"/>
            <w:vAlign w:val="center"/>
          </w:tcPr>
          <w:p w14:paraId="75AF16B2"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1,000</w:t>
            </w:r>
          </w:p>
        </w:tc>
        <w:tc>
          <w:tcPr>
            <w:tcW w:w="1251" w:type="pct"/>
            <w:shd w:val="clear" w:color="auto" w:fill="auto"/>
            <w:vAlign w:val="center"/>
          </w:tcPr>
          <w:p w14:paraId="59069A62"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6.01</w:t>
            </w:r>
          </w:p>
        </w:tc>
        <w:tc>
          <w:tcPr>
            <w:tcW w:w="909" w:type="pct"/>
            <w:shd w:val="clear" w:color="auto" w:fill="auto"/>
            <w:vAlign w:val="center"/>
          </w:tcPr>
          <w:p w14:paraId="6D5D74D8"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2019.12.25</w:t>
            </w:r>
          </w:p>
        </w:tc>
      </w:tr>
      <w:tr w:rsidR="00C02929" w14:paraId="409C4155" w14:textId="77777777">
        <w:trPr>
          <w:cantSplit/>
          <w:trHeight w:val="397"/>
          <w:jc w:val="center"/>
        </w:trPr>
        <w:tc>
          <w:tcPr>
            <w:tcW w:w="894" w:type="pct"/>
            <w:shd w:val="clear" w:color="auto" w:fill="auto"/>
            <w:vAlign w:val="center"/>
          </w:tcPr>
          <w:p w14:paraId="1E777F5F"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李威</w:t>
            </w:r>
          </w:p>
        </w:tc>
        <w:tc>
          <w:tcPr>
            <w:tcW w:w="998" w:type="pct"/>
            <w:shd w:val="clear" w:color="auto" w:fill="auto"/>
            <w:vAlign w:val="center"/>
          </w:tcPr>
          <w:p w14:paraId="695E1AB4"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hint="eastAsia"/>
                <w:color w:val="000000"/>
                <w:sz w:val="21"/>
                <w:szCs w:val="21"/>
                <w:lang w:bidi="ar"/>
              </w:rPr>
              <w:t>李红</w:t>
            </w:r>
          </w:p>
        </w:tc>
        <w:tc>
          <w:tcPr>
            <w:tcW w:w="948" w:type="pct"/>
            <w:shd w:val="clear" w:color="auto" w:fill="auto"/>
            <w:vAlign w:val="center"/>
          </w:tcPr>
          <w:p w14:paraId="5A335843"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173,000</w:t>
            </w:r>
          </w:p>
        </w:tc>
        <w:tc>
          <w:tcPr>
            <w:tcW w:w="1251" w:type="pct"/>
            <w:shd w:val="clear" w:color="auto" w:fill="auto"/>
            <w:vAlign w:val="center"/>
          </w:tcPr>
          <w:p w14:paraId="7ECDD941" w14:textId="77777777" w:rsidR="00C02929" w:rsidRDefault="006116D1">
            <w:pPr>
              <w:adjustRightInd w:val="0"/>
              <w:snapToGrid w:val="0"/>
              <w:jc w:val="right"/>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3.01</w:t>
            </w:r>
          </w:p>
        </w:tc>
        <w:tc>
          <w:tcPr>
            <w:tcW w:w="909" w:type="pct"/>
            <w:shd w:val="clear" w:color="auto" w:fill="auto"/>
            <w:vAlign w:val="center"/>
          </w:tcPr>
          <w:p w14:paraId="3A14876D" w14:textId="77777777" w:rsidR="00C02929" w:rsidRDefault="006116D1">
            <w:pPr>
              <w:adjustRightInd w:val="0"/>
              <w:snapToGrid w:val="0"/>
              <w:jc w:val="center"/>
              <w:rPr>
                <w:rFonts w:ascii="Times New Roman" w:hAnsi="Times New Roman" w:cs="Times New Roman"/>
                <w:color w:val="000000"/>
                <w:sz w:val="21"/>
                <w:szCs w:val="21"/>
                <w:lang w:bidi="ar"/>
              </w:rPr>
            </w:pPr>
            <w:r>
              <w:rPr>
                <w:rFonts w:ascii="Times New Roman" w:hAnsi="Times New Roman" w:cs="Times New Roman"/>
                <w:color w:val="000000"/>
                <w:sz w:val="21"/>
                <w:szCs w:val="21"/>
                <w:lang w:bidi="ar"/>
              </w:rPr>
              <w:t>2019.12.27</w:t>
            </w:r>
          </w:p>
        </w:tc>
      </w:tr>
    </w:tbl>
    <w:p w14:paraId="45832076"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截至北洋天青</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12</w:t>
      </w:r>
      <w:r>
        <w:rPr>
          <w:rFonts w:ascii="Times New Roman" w:hAnsi="Times New Roman" w:cs="Times New Roman" w:hint="eastAsia"/>
          <w:bCs/>
          <w:color w:val="000000"/>
          <w:szCs w:val="21"/>
        </w:rPr>
        <w:t>日终止挂牌时，北洋天青的股权结构如下：</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4"/>
        <w:gridCol w:w="2335"/>
        <w:gridCol w:w="2800"/>
        <w:gridCol w:w="2393"/>
      </w:tblGrid>
      <w:tr w:rsidR="00C02929" w14:paraId="4234CB65" w14:textId="77777777">
        <w:trPr>
          <w:cantSplit/>
          <w:trHeight w:val="397"/>
          <w:tblHeader/>
          <w:jc w:val="center"/>
        </w:trPr>
        <w:tc>
          <w:tcPr>
            <w:tcW w:w="583" w:type="pct"/>
            <w:vAlign w:val="center"/>
          </w:tcPr>
          <w:p w14:paraId="52812CC0"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序号</w:t>
            </w:r>
          </w:p>
        </w:tc>
        <w:tc>
          <w:tcPr>
            <w:tcW w:w="1370" w:type="pct"/>
            <w:vAlign w:val="center"/>
          </w:tcPr>
          <w:p w14:paraId="409EB271"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股东</w:t>
            </w:r>
          </w:p>
        </w:tc>
        <w:tc>
          <w:tcPr>
            <w:tcW w:w="1643" w:type="pct"/>
            <w:vAlign w:val="center"/>
          </w:tcPr>
          <w:p w14:paraId="23307A16"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持股数（股）</w:t>
            </w:r>
          </w:p>
        </w:tc>
        <w:tc>
          <w:tcPr>
            <w:tcW w:w="1404" w:type="pct"/>
            <w:vAlign w:val="center"/>
          </w:tcPr>
          <w:p w14:paraId="15C85A16"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持股比例（</w:t>
            </w:r>
            <w:r>
              <w:rPr>
                <w:rFonts w:ascii="Times New Roman" w:hAnsi="Times New Roman" w:cs="Times New Roman" w:hint="eastAsia"/>
                <w:b/>
                <w:color w:val="000000"/>
                <w:sz w:val="21"/>
                <w:szCs w:val="21"/>
              </w:rPr>
              <w:t>%</w:t>
            </w:r>
            <w:r>
              <w:rPr>
                <w:rFonts w:ascii="Times New Roman" w:hAnsi="Times New Roman" w:cs="Times New Roman" w:hint="eastAsia"/>
                <w:b/>
                <w:color w:val="000000"/>
                <w:sz w:val="21"/>
                <w:szCs w:val="21"/>
              </w:rPr>
              <w:t>）</w:t>
            </w:r>
          </w:p>
        </w:tc>
      </w:tr>
      <w:tr w:rsidR="00C02929" w14:paraId="3A85389E" w14:textId="77777777">
        <w:trPr>
          <w:cantSplit/>
          <w:trHeight w:val="397"/>
          <w:jc w:val="center"/>
        </w:trPr>
        <w:tc>
          <w:tcPr>
            <w:tcW w:w="583" w:type="pct"/>
            <w:shd w:val="clear" w:color="auto" w:fill="FFFFFF"/>
            <w:vAlign w:val="center"/>
          </w:tcPr>
          <w:p w14:paraId="7E6BAD84"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w:t>
            </w:r>
          </w:p>
        </w:tc>
        <w:tc>
          <w:tcPr>
            <w:tcW w:w="1370" w:type="pct"/>
            <w:shd w:val="clear" w:color="auto" w:fill="FFFFFF"/>
            <w:vAlign w:val="center"/>
          </w:tcPr>
          <w:p w14:paraId="03EC9A44"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李红</w:t>
            </w:r>
          </w:p>
        </w:tc>
        <w:tc>
          <w:tcPr>
            <w:tcW w:w="1643" w:type="pct"/>
            <w:shd w:val="clear" w:color="auto" w:fill="FFFFFF"/>
            <w:vAlign w:val="center"/>
          </w:tcPr>
          <w:p w14:paraId="26E6D92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8,118,854</w:t>
            </w:r>
          </w:p>
        </w:tc>
        <w:tc>
          <w:tcPr>
            <w:tcW w:w="1404" w:type="pct"/>
            <w:shd w:val="clear" w:color="auto" w:fill="FFFFFF"/>
            <w:vAlign w:val="center"/>
          </w:tcPr>
          <w:p w14:paraId="01266F3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40.87</w:t>
            </w:r>
          </w:p>
        </w:tc>
      </w:tr>
      <w:tr w:rsidR="00C02929" w14:paraId="6F09C512" w14:textId="77777777">
        <w:trPr>
          <w:cantSplit/>
          <w:trHeight w:val="397"/>
          <w:jc w:val="center"/>
        </w:trPr>
        <w:tc>
          <w:tcPr>
            <w:tcW w:w="583" w:type="pct"/>
            <w:shd w:val="clear" w:color="auto" w:fill="FFFFFF"/>
            <w:vAlign w:val="center"/>
          </w:tcPr>
          <w:p w14:paraId="23D9E29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370" w:type="pct"/>
            <w:shd w:val="clear" w:color="auto" w:fill="FFFFFF"/>
            <w:vAlign w:val="center"/>
          </w:tcPr>
          <w:p w14:paraId="78D75E7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赵庆</w:t>
            </w:r>
          </w:p>
        </w:tc>
        <w:tc>
          <w:tcPr>
            <w:tcW w:w="1643" w:type="pct"/>
            <w:shd w:val="clear" w:color="auto" w:fill="FFFFFF"/>
            <w:vAlign w:val="center"/>
          </w:tcPr>
          <w:p w14:paraId="7950460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2,774,229</w:t>
            </w:r>
          </w:p>
        </w:tc>
        <w:tc>
          <w:tcPr>
            <w:tcW w:w="1404" w:type="pct"/>
            <w:shd w:val="clear" w:color="auto" w:fill="FFFFFF"/>
            <w:vAlign w:val="center"/>
          </w:tcPr>
          <w:p w14:paraId="179CA24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13.97</w:t>
            </w:r>
          </w:p>
        </w:tc>
      </w:tr>
      <w:tr w:rsidR="00C02929" w14:paraId="4DA77963" w14:textId="77777777">
        <w:trPr>
          <w:cantSplit/>
          <w:trHeight w:val="397"/>
          <w:jc w:val="center"/>
        </w:trPr>
        <w:tc>
          <w:tcPr>
            <w:tcW w:w="583" w:type="pct"/>
            <w:shd w:val="clear" w:color="auto" w:fill="FFFFFF"/>
            <w:vAlign w:val="center"/>
          </w:tcPr>
          <w:p w14:paraId="64DA307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370" w:type="pct"/>
            <w:shd w:val="clear" w:color="auto" w:fill="FFFFFF"/>
            <w:vAlign w:val="center"/>
          </w:tcPr>
          <w:p w14:paraId="2182E31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青岛艾特诺</w:t>
            </w:r>
          </w:p>
        </w:tc>
        <w:tc>
          <w:tcPr>
            <w:tcW w:w="1643" w:type="pct"/>
            <w:shd w:val="clear" w:color="auto" w:fill="FFFFFF"/>
            <w:vAlign w:val="center"/>
          </w:tcPr>
          <w:p w14:paraId="354E74E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1,987,942</w:t>
            </w:r>
          </w:p>
        </w:tc>
        <w:tc>
          <w:tcPr>
            <w:tcW w:w="1404" w:type="pct"/>
            <w:shd w:val="clear" w:color="auto" w:fill="FFFFFF"/>
            <w:vAlign w:val="center"/>
          </w:tcPr>
          <w:p w14:paraId="1DE74DF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10.01</w:t>
            </w:r>
          </w:p>
        </w:tc>
      </w:tr>
      <w:tr w:rsidR="00C02929" w14:paraId="3BA89DBC" w14:textId="77777777">
        <w:trPr>
          <w:cantSplit/>
          <w:trHeight w:val="397"/>
          <w:jc w:val="center"/>
        </w:trPr>
        <w:tc>
          <w:tcPr>
            <w:tcW w:w="583" w:type="pct"/>
            <w:shd w:val="clear" w:color="auto" w:fill="FFFFFF"/>
            <w:vAlign w:val="center"/>
          </w:tcPr>
          <w:p w14:paraId="2CE8B7B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370" w:type="pct"/>
            <w:shd w:val="clear" w:color="auto" w:fill="FFFFFF"/>
            <w:vAlign w:val="center"/>
          </w:tcPr>
          <w:p w14:paraId="76DBA3E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杨平</w:t>
            </w:r>
          </w:p>
        </w:tc>
        <w:tc>
          <w:tcPr>
            <w:tcW w:w="1643" w:type="pct"/>
            <w:shd w:val="clear" w:color="auto" w:fill="FFFFFF"/>
            <w:vAlign w:val="center"/>
          </w:tcPr>
          <w:p w14:paraId="632C451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1,834,289</w:t>
            </w:r>
          </w:p>
        </w:tc>
        <w:tc>
          <w:tcPr>
            <w:tcW w:w="1404" w:type="pct"/>
            <w:shd w:val="clear" w:color="auto" w:fill="FFFFFF"/>
            <w:vAlign w:val="center"/>
          </w:tcPr>
          <w:p w14:paraId="346256CC" w14:textId="22DD801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9.2</w:t>
            </w:r>
            <w:r>
              <w:rPr>
                <w:rFonts w:ascii="Times New Roman" w:eastAsia="等线" w:hAnsi="Times New Roman" w:cs="Times New Roman" w:hint="eastAsia"/>
                <w:color w:val="000000"/>
                <w:sz w:val="21"/>
                <w:szCs w:val="21"/>
              </w:rPr>
              <w:t>3</w:t>
            </w:r>
          </w:p>
        </w:tc>
      </w:tr>
      <w:tr w:rsidR="00C02929" w14:paraId="125D2539" w14:textId="77777777">
        <w:trPr>
          <w:cantSplit/>
          <w:trHeight w:val="397"/>
          <w:jc w:val="center"/>
        </w:trPr>
        <w:tc>
          <w:tcPr>
            <w:tcW w:w="583" w:type="pct"/>
            <w:shd w:val="clear" w:color="auto" w:fill="FFFFFF"/>
            <w:vAlign w:val="center"/>
          </w:tcPr>
          <w:p w14:paraId="4EB8160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5</w:t>
            </w:r>
          </w:p>
        </w:tc>
        <w:tc>
          <w:tcPr>
            <w:tcW w:w="1370" w:type="pct"/>
            <w:shd w:val="clear" w:color="auto" w:fill="FFFFFF"/>
            <w:vAlign w:val="center"/>
          </w:tcPr>
          <w:p w14:paraId="0731F77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王晓晖</w:t>
            </w:r>
          </w:p>
        </w:tc>
        <w:tc>
          <w:tcPr>
            <w:tcW w:w="1643" w:type="pct"/>
            <w:shd w:val="clear" w:color="auto" w:fill="FFFFFF"/>
            <w:vAlign w:val="center"/>
          </w:tcPr>
          <w:p w14:paraId="22F0544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1,713,286</w:t>
            </w:r>
          </w:p>
        </w:tc>
        <w:tc>
          <w:tcPr>
            <w:tcW w:w="1404" w:type="pct"/>
            <w:shd w:val="clear" w:color="auto" w:fill="FFFFFF"/>
            <w:vAlign w:val="center"/>
          </w:tcPr>
          <w:p w14:paraId="78DEB1E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8.63</w:t>
            </w:r>
          </w:p>
        </w:tc>
      </w:tr>
      <w:tr w:rsidR="00C02929" w14:paraId="1C59D3E0" w14:textId="77777777">
        <w:trPr>
          <w:cantSplit/>
          <w:trHeight w:val="397"/>
          <w:jc w:val="center"/>
        </w:trPr>
        <w:tc>
          <w:tcPr>
            <w:tcW w:w="583" w:type="pct"/>
            <w:shd w:val="clear" w:color="auto" w:fill="FFFFFF"/>
            <w:vAlign w:val="center"/>
          </w:tcPr>
          <w:p w14:paraId="1A69B7E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370" w:type="pct"/>
            <w:shd w:val="clear" w:color="auto" w:fill="FFFFFF"/>
            <w:vAlign w:val="center"/>
          </w:tcPr>
          <w:p w14:paraId="64BFE0B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肖中海</w:t>
            </w:r>
          </w:p>
        </w:tc>
        <w:tc>
          <w:tcPr>
            <w:tcW w:w="1643" w:type="pct"/>
            <w:shd w:val="clear" w:color="auto" w:fill="FFFFFF"/>
            <w:vAlign w:val="center"/>
          </w:tcPr>
          <w:p w14:paraId="301DC71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1,169,000</w:t>
            </w:r>
          </w:p>
        </w:tc>
        <w:tc>
          <w:tcPr>
            <w:tcW w:w="1404" w:type="pct"/>
            <w:shd w:val="clear" w:color="auto" w:fill="FFFFFF"/>
            <w:vAlign w:val="center"/>
          </w:tcPr>
          <w:p w14:paraId="016BB70B"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5.89</w:t>
            </w:r>
          </w:p>
        </w:tc>
      </w:tr>
      <w:tr w:rsidR="00C02929" w14:paraId="65FFB9D7" w14:textId="77777777">
        <w:trPr>
          <w:cantSplit/>
          <w:trHeight w:val="397"/>
          <w:jc w:val="center"/>
        </w:trPr>
        <w:tc>
          <w:tcPr>
            <w:tcW w:w="583" w:type="pct"/>
            <w:shd w:val="clear" w:color="auto" w:fill="FFFFFF"/>
            <w:vAlign w:val="center"/>
          </w:tcPr>
          <w:p w14:paraId="3D21F8A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370" w:type="pct"/>
            <w:shd w:val="clear" w:color="auto" w:fill="FFFFFF"/>
            <w:vAlign w:val="center"/>
          </w:tcPr>
          <w:p w14:paraId="5B4D714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夏涛</w:t>
            </w:r>
          </w:p>
        </w:tc>
        <w:tc>
          <w:tcPr>
            <w:tcW w:w="1643" w:type="pct"/>
            <w:shd w:val="clear" w:color="auto" w:fill="FFFFFF"/>
            <w:vAlign w:val="center"/>
          </w:tcPr>
          <w:p w14:paraId="44FEA48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77FAA7AE"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C02929" w14:paraId="3DE4D295" w14:textId="77777777">
        <w:trPr>
          <w:cantSplit/>
          <w:trHeight w:val="397"/>
          <w:jc w:val="center"/>
        </w:trPr>
        <w:tc>
          <w:tcPr>
            <w:tcW w:w="583" w:type="pct"/>
            <w:shd w:val="clear" w:color="auto" w:fill="FFFFFF"/>
            <w:vAlign w:val="center"/>
          </w:tcPr>
          <w:p w14:paraId="1E89623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370" w:type="pct"/>
            <w:shd w:val="clear" w:color="auto" w:fill="FFFFFF"/>
            <w:vAlign w:val="center"/>
          </w:tcPr>
          <w:p w14:paraId="1789D48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王华东</w:t>
            </w:r>
          </w:p>
        </w:tc>
        <w:tc>
          <w:tcPr>
            <w:tcW w:w="1643" w:type="pct"/>
            <w:shd w:val="clear" w:color="auto" w:fill="FFFFFF"/>
            <w:vAlign w:val="center"/>
          </w:tcPr>
          <w:p w14:paraId="1DAA7B1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3040B82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C02929" w14:paraId="39B265E4" w14:textId="77777777">
        <w:trPr>
          <w:cantSplit/>
          <w:trHeight w:val="397"/>
          <w:jc w:val="center"/>
        </w:trPr>
        <w:tc>
          <w:tcPr>
            <w:tcW w:w="583" w:type="pct"/>
            <w:shd w:val="clear" w:color="auto" w:fill="FFFFFF"/>
            <w:vAlign w:val="center"/>
          </w:tcPr>
          <w:p w14:paraId="0E6F7CF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370" w:type="pct"/>
            <w:shd w:val="clear" w:color="auto" w:fill="FFFFFF"/>
            <w:vAlign w:val="center"/>
          </w:tcPr>
          <w:p w14:paraId="661ACE1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钱雨嫣</w:t>
            </w:r>
          </w:p>
        </w:tc>
        <w:tc>
          <w:tcPr>
            <w:tcW w:w="1643" w:type="pct"/>
            <w:shd w:val="clear" w:color="auto" w:fill="FFFFFF"/>
            <w:vAlign w:val="center"/>
          </w:tcPr>
          <w:p w14:paraId="2D618D4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341,880</w:t>
            </w:r>
          </w:p>
        </w:tc>
        <w:tc>
          <w:tcPr>
            <w:tcW w:w="1404" w:type="pct"/>
            <w:shd w:val="clear" w:color="auto" w:fill="FFFFFF"/>
            <w:vAlign w:val="center"/>
          </w:tcPr>
          <w:p w14:paraId="1275510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1.72</w:t>
            </w:r>
          </w:p>
        </w:tc>
      </w:tr>
      <w:tr w:rsidR="00C02929" w14:paraId="25F5ACA0" w14:textId="77777777">
        <w:trPr>
          <w:cantSplit/>
          <w:trHeight w:val="397"/>
          <w:jc w:val="center"/>
        </w:trPr>
        <w:tc>
          <w:tcPr>
            <w:tcW w:w="583" w:type="pct"/>
            <w:shd w:val="clear" w:color="auto" w:fill="FFFFFF"/>
            <w:vAlign w:val="center"/>
          </w:tcPr>
          <w:p w14:paraId="0BFBA85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1370" w:type="pct"/>
            <w:shd w:val="clear" w:color="auto" w:fill="FFFFFF"/>
            <w:vAlign w:val="center"/>
          </w:tcPr>
          <w:p w14:paraId="507589D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修军</w:t>
            </w:r>
          </w:p>
        </w:tc>
        <w:tc>
          <w:tcPr>
            <w:tcW w:w="1643" w:type="pct"/>
            <w:shd w:val="clear" w:color="auto" w:fill="FFFFFF"/>
            <w:vAlign w:val="center"/>
          </w:tcPr>
          <w:p w14:paraId="4834CE9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178,571</w:t>
            </w:r>
          </w:p>
        </w:tc>
        <w:tc>
          <w:tcPr>
            <w:tcW w:w="1404" w:type="pct"/>
            <w:shd w:val="clear" w:color="auto" w:fill="FFFFFF"/>
            <w:vAlign w:val="center"/>
          </w:tcPr>
          <w:p w14:paraId="2CE69BD9"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0.90</w:t>
            </w:r>
          </w:p>
        </w:tc>
      </w:tr>
      <w:tr w:rsidR="00C02929" w14:paraId="2EAE244B" w14:textId="77777777">
        <w:trPr>
          <w:cantSplit/>
          <w:trHeight w:val="397"/>
          <w:jc w:val="center"/>
        </w:trPr>
        <w:tc>
          <w:tcPr>
            <w:tcW w:w="583" w:type="pct"/>
            <w:shd w:val="clear" w:color="auto" w:fill="FFFFFF"/>
            <w:vAlign w:val="center"/>
          </w:tcPr>
          <w:p w14:paraId="5CEC32F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370" w:type="pct"/>
            <w:shd w:val="clear" w:color="auto" w:fill="FFFFFF"/>
            <w:vAlign w:val="center"/>
          </w:tcPr>
          <w:p w14:paraId="6C6C1A7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傅敦</w:t>
            </w:r>
          </w:p>
        </w:tc>
        <w:tc>
          <w:tcPr>
            <w:tcW w:w="1643" w:type="pct"/>
            <w:shd w:val="clear" w:color="auto" w:fill="FFFFFF"/>
            <w:vAlign w:val="center"/>
          </w:tcPr>
          <w:p w14:paraId="0A3F9D2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128,571</w:t>
            </w:r>
          </w:p>
        </w:tc>
        <w:tc>
          <w:tcPr>
            <w:tcW w:w="1404" w:type="pct"/>
            <w:shd w:val="clear" w:color="auto" w:fill="FFFFFF"/>
            <w:vAlign w:val="center"/>
          </w:tcPr>
          <w:p w14:paraId="457B851B"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C02929" w14:paraId="05BC6C9C" w14:textId="77777777">
        <w:trPr>
          <w:cantSplit/>
          <w:trHeight w:val="397"/>
          <w:jc w:val="center"/>
        </w:trPr>
        <w:tc>
          <w:tcPr>
            <w:tcW w:w="583" w:type="pct"/>
            <w:shd w:val="clear" w:color="auto" w:fill="FFFFFF"/>
            <w:vAlign w:val="center"/>
          </w:tcPr>
          <w:p w14:paraId="69B30FA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370" w:type="pct"/>
            <w:shd w:val="clear" w:color="auto" w:fill="FFFFFF"/>
            <w:vAlign w:val="center"/>
          </w:tcPr>
          <w:p w14:paraId="156CAC0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陈政言</w:t>
            </w:r>
          </w:p>
        </w:tc>
        <w:tc>
          <w:tcPr>
            <w:tcW w:w="1643" w:type="pct"/>
            <w:shd w:val="clear" w:color="auto" w:fill="FFFFFF"/>
            <w:vAlign w:val="center"/>
          </w:tcPr>
          <w:p w14:paraId="050F3B2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128,205</w:t>
            </w:r>
          </w:p>
        </w:tc>
        <w:tc>
          <w:tcPr>
            <w:tcW w:w="1404" w:type="pct"/>
            <w:shd w:val="clear" w:color="auto" w:fill="FFFFFF"/>
            <w:vAlign w:val="center"/>
          </w:tcPr>
          <w:p w14:paraId="345D98D1"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C02929" w14:paraId="7863186A" w14:textId="77777777">
        <w:trPr>
          <w:cantSplit/>
          <w:trHeight w:val="397"/>
          <w:jc w:val="center"/>
        </w:trPr>
        <w:tc>
          <w:tcPr>
            <w:tcW w:w="583" w:type="pct"/>
            <w:shd w:val="clear" w:color="auto" w:fill="FFFFFF"/>
            <w:vAlign w:val="center"/>
          </w:tcPr>
          <w:p w14:paraId="289F589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370" w:type="pct"/>
            <w:shd w:val="clear" w:color="auto" w:fill="FFFFFF"/>
            <w:vAlign w:val="center"/>
          </w:tcPr>
          <w:p w14:paraId="041764DE"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张利</w:t>
            </w:r>
          </w:p>
        </w:tc>
        <w:tc>
          <w:tcPr>
            <w:tcW w:w="1643" w:type="pct"/>
            <w:shd w:val="clear" w:color="auto" w:fill="FFFFFF"/>
            <w:vAlign w:val="center"/>
          </w:tcPr>
          <w:p w14:paraId="1085465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w:t>
            </w:r>
          </w:p>
        </w:tc>
        <w:tc>
          <w:tcPr>
            <w:tcW w:w="1404" w:type="pct"/>
            <w:shd w:val="clear" w:color="auto" w:fill="FFFFFF"/>
            <w:vAlign w:val="center"/>
          </w:tcPr>
          <w:p w14:paraId="63E8E341"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0.34</w:t>
            </w:r>
          </w:p>
        </w:tc>
      </w:tr>
      <w:tr w:rsidR="00C02929" w14:paraId="76F29927" w14:textId="77777777">
        <w:trPr>
          <w:cantSplit/>
          <w:trHeight w:val="397"/>
          <w:jc w:val="center"/>
        </w:trPr>
        <w:tc>
          <w:tcPr>
            <w:tcW w:w="583" w:type="pct"/>
            <w:shd w:val="clear" w:color="auto" w:fill="FFFFFF"/>
            <w:vAlign w:val="center"/>
          </w:tcPr>
          <w:p w14:paraId="0CAC989E"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14</w:t>
            </w:r>
          </w:p>
        </w:tc>
        <w:tc>
          <w:tcPr>
            <w:tcW w:w="1370" w:type="pct"/>
            <w:shd w:val="clear" w:color="auto" w:fill="FFFFFF"/>
            <w:vAlign w:val="center"/>
          </w:tcPr>
          <w:p w14:paraId="54678D7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徐炳雷</w:t>
            </w:r>
          </w:p>
        </w:tc>
        <w:tc>
          <w:tcPr>
            <w:tcW w:w="1643" w:type="pct"/>
            <w:shd w:val="clear" w:color="auto" w:fill="FFFFFF"/>
            <w:vAlign w:val="center"/>
          </w:tcPr>
          <w:p w14:paraId="23ABAEB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44,444</w:t>
            </w:r>
          </w:p>
        </w:tc>
        <w:tc>
          <w:tcPr>
            <w:tcW w:w="1404" w:type="pct"/>
            <w:shd w:val="clear" w:color="auto" w:fill="FFFFFF"/>
            <w:vAlign w:val="center"/>
          </w:tcPr>
          <w:p w14:paraId="0C5A155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0.22</w:t>
            </w:r>
          </w:p>
        </w:tc>
      </w:tr>
      <w:tr w:rsidR="00C02929" w14:paraId="3E32C84F" w14:textId="77777777">
        <w:trPr>
          <w:cantSplit/>
          <w:trHeight w:val="397"/>
          <w:jc w:val="center"/>
        </w:trPr>
        <w:tc>
          <w:tcPr>
            <w:tcW w:w="583" w:type="pct"/>
            <w:shd w:val="clear" w:color="auto" w:fill="FFFFFF"/>
            <w:vAlign w:val="center"/>
          </w:tcPr>
          <w:p w14:paraId="53EA5D7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370" w:type="pct"/>
            <w:shd w:val="clear" w:color="auto" w:fill="FFFFFF"/>
            <w:vAlign w:val="center"/>
          </w:tcPr>
          <w:p w14:paraId="611142A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阳伦胜</w:t>
            </w:r>
          </w:p>
        </w:tc>
        <w:tc>
          <w:tcPr>
            <w:tcW w:w="1643" w:type="pct"/>
            <w:shd w:val="clear" w:color="auto" w:fill="FFFFFF"/>
            <w:vAlign w:val="center"/>
          </w:tcPr>
          <w:p w14:paraId="6E37BE8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6B94955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6F39CF59" w14:textId="77777777">
        <w:trPr>
          <w:cantSplit/>
          <w:trHeight w:val="397"/>
          <w:jc w:val="center"/>
        </w:trPr>
        <w:tc>
          <w:tcPr>
            <w:tcW w:w="583" w:type="pct"/>
            <w:shd w:val="clear" w:color="auto" w:fill="FFFFFF"/>
            <w:vAlign w:val="center"/>
          </w:tcPr>
          <w:p w14:paraId="3D3B49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370" w:type="pct"/>
            <w:shd w:val="clear" w:color="auto" w:fill="FFFFFF"/>
            <w:vAlign w:val="center"/>
          </w:tcPr>
          <w:p w14:paraId="2670527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辛兰</w:t>
            </w:r>
          </w:p>
        </w:tc>
        <w:tc>
          <w:tcPr>
            <w:tcW w:w="1643" w:type="pct"/>
            <w:shd w:val="clear" w:color="auto" w:fill="FFFFFF"/>
            <w:vAlign w:val="center"/>
          </w:tcPr>
          <w:p w14:paraId="3E17BDC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2FD73C8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6539F61F" w14:textId="77777777">
        <w:trPr>
          <w:cantSplit/>
          <w:trHeight w:val="397"/>
          <w:jc w:val="center"/>
        </w:trPr>
        <w:tc>
          <w:tcPr>
            <w:tcW w:w="583" w:type="pct"/>
            <w:shd w:val="clear" w:color="auto" w:fill="FFFFFF"/>
            <w:vAlign w:val="center"/>
          </w:tcPr>
          <w:p w14:paraId="17D46E0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1370" w:type="pct"/>
            <w:shd w:val="clear" w:color="auto" w:fill="FFFFFF"/>
            <w:vAlign w:val="center"/>
          </w:tcPr>
          <w:p w14:paraId="4B8E2DE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英入才</w:t>
            </w:r>
          </w:p>
        </w:tc>
        <w:tc>
          <w:tcPr>
            <w:tcW w:w="1643" w:type="pct"/>
            <w:shd w:val="clear" w:color="auto" w:fill="FFFFFF"/>
            <w:vAlign w:val="center"/>
          </w:tcPr>
          <w:p w14:paraId="2883E09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664AF8D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07A48608" w14:textId="77777777">
        <w:trPr>
          <w:cantSplit/>
          <w:trHeight w:val="397"/>
          <w:jc w:val="center"/>
        </w:trPr>
        <w:tc>
          <w:tcPr>
            <w:tcW w:w="583" w:type="pct"/>
            <w:shd w:val="clear" w:color="auto" w:fill="FFFFFF"/>
            <w:vAlign w:val="center"/>
          </w:tcPr>
          <w:p w14:paraId="7BA3FA2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370" w:type="pct"/>
            <w:shd w:val="clear" w:color="auto" w:fill="FFFFFF"/>
            <w:vAlign w:val="center"/>
          </w:tcPr>
          <w:p w14:paraId="5CC14DF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李祥华</w:t>
            </w:r>
          </w:p>
        </w:tc>
        <w:tc>
          <w:tcPr>
            <w:tcW w:w="1643" w:type="pct"/>
            <w:shd w:val="clear" w:color="auto" w:fill="FFFFFF"/>
            <w:vAlign w:val="center"/>
          </w:tcPr>
          <w:p w14:paraId="7ED7D60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393A2B86"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7614827D" w14:textId="77777777">
        <w:trPr>
          <w:cantSplit/>
          <w:trHeight w:val="397"/>
          <w:jc w:val="center"/>
        </w:trPr>
        <w:tc>
          <w:tcPr>
            <w:tcW w:w="583" w:type="pct"/>
            <w:shd w:val="clear" w:color="auto" w:fill="FFFFFF"/>
            <w:vAlign w:val="center"/>
          </w:tcPr>
          <w:p w14:paraId="4DB685E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1370" w:type="pct"/>
            <w:shd w:val="clear" w:color="auto" w:fill="FFFFFF"/>
            <w:vAlign w:val="center"/>
          </w:tcPr>
          <w:p w14:paraId="6E3C7E3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钱祥丰</w:t>
            </w:r>
          </w:p>
        </w:tc>
        <w:tc>
          <w:tcPr>
            <w:tcW w:w="1643" w:type="pct"/>
            <w:shd w:val="clear" w:color="auto" w:fill="FFFFFF"/>
            <w:vAlign w:val="center"/>
          </w:tcPr>
          <w:p w14:paraId="21C392E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66E83A61"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7EAC20F9" w14:textId="77777777">
        <w:trPr>
          <w:cantSplit/>
          <w:trHeight w:val="397"/>
          <w:jc w:val="center"/>
        </w:trPr>
        <w:tc>
          <w:tcPr>
            <w:tcW w:w="583" w:type="pct"/>
            <w:shd w:val="clear" w:color="auto" w:fill="FFFFFF"/>
            <w:vAlign w:val="center"/>
          </w:tcPr>
          <w:p w14:paraId="0BDEDAC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370" w:type="pct"/>
            <w:shd w:val="clear" w:color="auto" w:fill="FFFFFF"/>
            <w:vAlign w:val="center"/>
          </w:tcPr>
          <w:p w14:paraId="7F7C481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李威</w:t>
            </w:r>
          </w:p>
        </w:tc>
        <w:tc>
          <w:tcPr>
            <w:tcW w:w="1643" w:type="pct"/>
            <w:shd w:val="clear" w:color="auto" w:fill="FFFFFF"/>
            <w:vAlign w:val="center"/>
          </w:tcPr>
          <w:p w14:paraId="5DE6192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504</w:t>
            </w:r>
          </w:p>
        </w:tc>
        <w:tc>
          <w:tcPr>
            <w:tcW w:w="1404" w:type="pct"/>
            <w:shd w:val="clear" w:color="auto" w:fill="FFFFFF"/>
            <w:vAlign w:val="center"/>
          </w:tcPr>
          <w:p w14:paraId="5F5FF0F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0.0025</w:t>
            </w:r>
          </w:p>
        </w:tc>
      </w:tr>
      <w:tr w:rsidR="00C02929" w14:paraId="12816F5B" w14:textId="77777777">
        <w:trPr>
          <w:cantSplit/>
          <w:trHeight w:val="397"/>
          <w:jc w:val="center"/>
        </w:trPr>
        <w:tc>
          <w:tcPr>
            <w:tcW w:w="1953" w:type="pct"/>
            <w:gridSpan w:val="2"/>
            <w:vAlign w:val="center"/>
          </w:tcPr>
          <w:p w14:paraId="2C79EA38"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643" w:type="pct"/>
            <w:vAlign w:val="center"/>
          </w:tcPr>
          <w:p w14:paraId="5C1B2043"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19,862,800</w:t>
            </w:r>
          </w:p>
        </w:tc>
        <w:tc>
          <w:tcPr>
            <w:tcW w:w="1404" w:type="pct"/>
            <w:vAlign w:val="center"/>
          </w:tcPr>
          <w:p w14:paraId="17B193D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b/>
                <w:bCs/>
                <w:color w:val="000000"/>
                <w:sz w:val="21"/>
                <w:szCs w:val="21"/>
              </w:rPr>
              <w:t>100.00</w:t>
            </w:r>
          </w:p>
        </w:tc>
      </w:tr>
    </w:tbl>
    <w:p w14:paraId="0A99BE25" w14:textId="77777777" w:rsidR="00C02929" w:rsidRDefault="006116D1">
      <w:pPr>
        <w:spacing w:beforeLines="50" w:before="156" w:line="360" w:lineRule="auto"/>
        <w:ind w:firstLineChars="200" w:firstLine="482"/>
        <w:jc w:val="both"/>
        <w:rPr>
          <w:rFonts w:ascii="Times New Roman" w:hAnsi="Times New Roman" w:cs="Times New Roman"/>
          <w:b/>
        </w:rPr>
      </w:pPr>
      <w:r>
        <w:rPr>
          <w:rFonts w:ascii="Times New Roman" w:hAnsi="Times New Roman" w:cs="Times New Roman" w:hint="eastAsia"/>
          <w:b/>
        </w:rPr>
        <w:t>3</w:t>
      </w:r>
      <w:r>
        <w:rPr>
          <w:rFonts w:ascii="Times New Roman" w:hAnsi="Times New Roman" w:cs="Times New Roman" w:hint="eastAsia"/>
          <w:b/>
        </w:rPr>
        <w:t>、北洋天青终止挂牌后的股东变化</w:t>
      </w:r>
    </w:p>
    <w:p w14:paraId="47203AE0" w14:textId="483B560D"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25</w:t>
      </w:r>
      <w:r>
        <w:rPr>
          <w:rFonts w:ascii="Times New Roman" w:hAnsi="Times New Roman" w:cs="Times New Roman" w:hint="eastAsia"/>
          <w:bCs/>
          <w:color w:val="000000"/>
          <w:szCs w:val="21"/>
        </w:rPr>
        <w:t>日，肖中海与李红签署了《股份转让协议》，肖中海将其所持北洋天青</w:t>
      </w:r>
      <w:r>
        <w:rPr>
          <w:rFonts w:ascii="Times New Roman" w:hAnsi="Times New Roman" w:cs="Times New Roman" w:hint="eastAsia"/>
          <w:bCs/>
          <w:color w:val="000000"/>
          <w:szCs w:val="21"/>
        </w:rPr>
        <w:t>96.9</w:t>
      </w:r>
      <w:r w:rsidR="00635981">
        <w:rPr>
          <w:rFonts w:ascii="Times New Roman" w:hAnsi="Times New Roman" w:cs="Times New Roman"/>
          <w:bCs/>
          <w:color w:val="000000"/>
          <w:szCs w:val="21"/>
        </w:rPr>
        <w:t>0</w:t>
      </w:r>
      <w:r>
        <w:rPr>
          <w:rFonts w:ascii="Times New Roman" w:hAnsi="Times New Roman" w:cs="Times New Roman" w:hint="eastAsia"/>
          <w:bCs/>
          <w:color w:val="000000"/>
          <w:szCs w:val="21"/>
        </w:rPr>
        <w:t>万股股份转让给李红。本次股份转让完成后及至本回复出具日，北洋天青的股权结构如下：</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4"/>
        <w:gridCol w:w="2335"/>
        <w:gridCol w:w="2800"/>
        <w:gridCol w:w="2393"/>
      </w:tblGrid>
      <w:tr w:rsidR="00C02929" w14:paraId="060B511B" w14:textId="77777777">
        <w:trPr>
          <w:cantSplit/>
          <w:trHeight w:val="397"/>
          <w:tblHeader/>
          <w:jc w:val="center"/>
        </w:trPr>
        <w:tc>
          <w:tcPr>
            <w:tcW w:w="583" w:type="pct"/>
            <w:vAlign w:val="center"/>
          </w:tcPr>
          <w:p w14:paraId="3A7F8E60"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序号</w:t>
            </w:r>
          </w:p>
        </w:tc>
        <w:tc>
          <w:tcPr>
            <w:tcW w:w="1370" w:type="pct"/>
            <w:vAlign w:val="center"/>
          </w:tcPr>
          <w:p w14:paraId="4A85BB09"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股东</w:t>
            </w:r>
          </w:p>
        </w:tc>
        <w:tc>
          <w:tcPr>
            <w:tcW w:w="1643" w:type="pct"/>
            <w:vAlign w:val="center"/>
          </w:tcPr>
          <w:p w14:paraId="07653106"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持股数（股）</w:t>
            </w:r>
          </w:p>
        </w:tc>
        <w:tc>
          <w:tcPr>
            <w:tcW w:w="1404" w:type="pct"/>
            <w:vAlign w:val="center"/>
          </w:tcPr>
          <w:p w14:paraId="5016641B"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持股比例（</w:t>
            </w:r>
            <w:r>
              <w:rPr>
                <w:rFonts w:ascii="Times New Roman" w:hAnsi="Times New Roman" w:cs="Times New Roman" w:hint="eastAsia"/>
                <w:b/>
                <w:color w:val="000000"/>
                <w:sz w:val="21"/>
                <w:szCs w:val="21"/>
              </w:rPr>
              <w:t>%</w:t>
            </w:r>
            <w:r>
              <w:rPr>
                <w:rFonts w:ascii="Times New Roman" w:hAnsi="Times New Roman" w:cs="Times New Roman" w:hint="eastAsia"/>
                <w:b/>
                <w:color w:val="000000"/>
                <w:sz w:val="21"/>
                <w:szCs w:val="21"/>
              </w:rPr>
              <w:t>）</w:t>
            </w:r>
          </w:p>
        </w:tc>
      </w:tr>
      <w:tr w:rsidR="00C02929" w14:paraId="6A81BD0D" w14:textId="77777777">
        <w:trPr>
          <w:cantSplit/>
          <w:trHeight w:val="397"/>
          <w:jc w:val="center"/>
        </w:trPr>
        <w:tc>
          <w:tcPr>
            <w:tcW w:w="583" w:type="pct"/>
            <w:shd w:val="clear" w:color="auto" w:fill="FFFFFF"/>
            <w:vAlign w:val="center"/>
          </w:tcPr>
          <w:p w14:paraId="7B331E7F"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w:t>
            </w:r>
          </w:p>
        </w:tc>
        <w:tc>
          <w:tcPr>
            <w:tcW w:w="1370" w:type="pct"/>
            <w:shd w:val="clear" w:color="auto" w:fill="FFFFFF"/>
            <w:vAlign w:val="center"/>
          </w:tcPr>
          <w:p w14:paraId="7325D5FC"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李红</w:t>
            </w:r>
          </w:p>
        </w:tc>
        <w:tc>
          <w:tcPr>
            <w:tcW w:w="1643" w:type="pct"/>
            <w:shd w:val="clear" w:color="auto" w:fill="FFFFFF"/>
            <w:vAlign w:val="center"/>
          </w:tcPr>
          <w:p w14:paraId="0D8F1B7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9,087,854</w:t>
            </w:r>
          </w:p>
        </w:tc>
        <w:tc>
          <w:tcPr>
            <w:tcW w:w="1404" w:type="pct"/>
            <w:shd w:val="clear" w:color="auto" w:fill="FFFFFF"/>
            <w:vAlign w:val="center"/>
          </w:tcPr>
          <w:p w14:paraId="461D3B8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45.75</w:t>
            </w:r>
          </w:p>
        </w:tc>
      </w:tr>
      <w:tr w:rsidR="00C02929" w14:paraId="62826ED8" w14:textId="77777777">
        <w:trPr>
          <w:cantSplit/>
          <w:trHeight w:val="397"/>
          <w:jc w:val="center"/>
        </w:trPr>
        <w:tc>
          <w:tcPr>
            <w:tcW w:w="583" w:type="pct"/>
            <w:shd w:val="clear" w:color="auto" w:fill="FFFFFF"/>
            <w:vAlign w:val="center"/>
          </w:tcPr>
          <w:p w14:paraId="0E3E84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370" w:type="pct"/>
            <w:shd w:val="clear" w:color="auto" w:fill="FFFFFF"/>
            <w:vAlign w:val="center"/>
          </w:tcPr>
          <w:p w14:paraId="0F5E8DE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赵庆</w:t>
            </w:r>
          </w:p>
        </w:tc>
        <w:tc>
          <w:tcPr>
            <w:tcW w:w="1643" w:type="pct"/>
            <w:shd w:val="clear" w:color="auto" w:fill="FFFFFF"/>
            <w:vAlign w:val="center"/>
          </w:tcPr>
          <w:p w14:paraId="397669B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2,774,229</w:t>
            </w:r>
          </w:p>
        </w:tc>
        <w:tc>
          <w:tcPr>
            <w:tcW w:w="1404" w:type="pct"/>
            <w:shd w:val="clear" w:color="auto" w:fill="FFFFFF"/>
            <w:vAlign w:val="center"/>
          </w:tcPr>
          <w:p w14:paraId="0EC2CEC1"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13.97</w:t>
            </w:r>
          </w:p>
        </w:tc>
      </w:tr>
      <w:tr w:rsidR="00C02929" w14:paraId="2E2C3038" w14:textId="77777777">
        <w:trPr>
          <w:cantSplit/>
          <w:trHeight w:val="397"/>
          <w:jc w:val="center"/>
        </w:trPr>
        <w:tc>
          <w:tcPr>
            <w:tcW w:w="583" w:type="pct"/>
            <w:shd w:val="clear" w:color="auto" w:fill="FFFFFF"/>
            <w:vAlign w:val="center"/>
          </w:tcPr>
          <w:p w14:paraId="40E33F2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370" w:type="pct"/>
            <w:shd w:val="clear" w:color="auto" w:fill="FFFFFF"/>
            <w:vAlign w:val="center"/>
          </w:tcPr>
          <w:p w14:paraId="68FB214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青岛艾特诺</w:t>
            </w:r>
          </w:p>
        </w:tc>
        <w:tc>
          <w:tcPr>
            <w:tcW w:w="1643" w:type="pct"/>
            <w:shd w:val="clear" w:color="auto" w:fill="FFFFFF"/>
            <w:vAlign w:val="center"/>
          </w:tcPr>
          <w:p w14:paraId="05384D4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1,987,942</w:t>
            </w:r>
          </w:p>
        </w:tc>
        <w:tc>
          <w:tcPr>
            <w:tcW w:w="1404" w:type="pct"/>
            <w:shd w:val="clear" w:color="auto" w:fill="FFFFFF"/>
            <w:vAlign w:val="center"/>
          </w:tcPr>
          <w:p w14:paraId="5BFA58C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10.01</w:t>
            </w:r>
          </w:p>
        </w:tc>
      </w:tr>
      <w:tr w:rsidR="00C02929" w14:paraId="70EB63FF" w14:textId="77777777">
        <w:trPr>
          <w:cantSplit/>
          <w:trHeight w:val="397"/>
          <w:jc w:val="center"/>
        </w:trPr>
        <w:tc>
          <w:tcPr>
            <w:tcW w:w="583" w:type="pct"/>
            <w:shd w:val="clear" w:color="auto" w:fill="FFFFFF"/>
            <w:vAlign w:val="center"/>
          </w:tcPr>
          <w:p w14:paraId="7042A61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370" w:type="pct"/>
            <w:shd w:val="clear" w:color="auto" w:fill="FFFFFF"/>
            <w:vAlign w:val="center"/>
          </w:tcPr>
          <w:p w14:paraId="47EAA0B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杨平</w:t>
            </w:r>
          </w:p>
        </w:tc>
        <w:tc>
          <w:tcPr>
            <w:tcW w:w="1643" w:type="pct"/>
            <w:shd w:val="clear" w:color="auto" w:fill="FFFFFF"/>
            <w:vAlign w:val="center"/>
          </w:tcPr>
          <w:p w14:paraId="0F2456B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1,834,289</w:t>
            </w:r>
          </w:p>
        </w:tc>
        <w:tc>
          <w:tcPr>
            <w:tcW w:w="1404" w:type="pct"/>
            <w:shd w:val="clear" w:color="auto" w:fill="FFFFFF"/>
            <w:vAlign w:val="center"/>
          </w:tcPr>
          <w:p w14:paraId="0020445D" w14:textId="2687A65C"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9.2</w:t>
            </w:r>
            <w:r>
              <w:rPr>
                <w:rFonts w:ascii="Times New Roman" w:eastAsia="等线" w:hAnsi="Times New Roman" w:cs="Times New Roman" w:hint="eastAsia"/>
                <w:color w:val="000000"/>
                <w:sz w:val="21"/>
                <w:szCs w:val="21"/>
              </w:rPr>
              <w:t>3</w:t>
            </w:r>
          </w:p>
        </w:tc>
      </w:tr>
      <w:tr w:rsidR="00C02929" w14:paraId="1AFF8710" w14:textId="77777777">
        <w:trPr>
          <w:cantSplit/>
          <w:trHeight w:val="397"/>
          <w:jc w:val="center"/>
        </w:trPr>
        <w:tc>
          <w:tcPr>
            <w:tcW w:w="583" w:type="pct"/>
            <w:shd w:val="clear" w:color="auto" w:fill="FFFFFF"/>
            <w:vAlign w:val="center"/>
          </w:tcPr>
          <w:p w14:paraId="1168210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370" w:type="pct"/>
            <w:shd w:val="clear" w:color="auto" w:fill="FFFFFF"/>
            <w:vAlign w:val="center"/>
          </w:tcPr>
          <w:p w14:paraId="62C7E74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王晓晖</w:t>
            </w:r>
          </w:p>
        </w:tc>
        <w:tc>
          <w:tcPr>
            <w:tcW w:w="1643" w:type="pct"/>
            <w:shd w:val="clear" w:color="auto" w:fill="FFFFFF"/>
            <w:vAlign w:val="center"/>
          </w:tcPr>
          <w:p w14:paraId="2A00718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1,713,286</w:t>
            </w:r>
          </w:p>
        </w:tc>
        <w:tc>
          <w:tcPr>
            <w:tcW w:w="1404" w:type="pct"/>
            <w:shd w:val="clear" w:color="auto" w:fill="FFFFFF"/>
            <w:vAlign w:val="center"/>
          </w:tcPr>
          <w:p w14:paraId="6E10F12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8.63</w:t>
            </w:r>
          </w:p>
        </w:tc>
      </w:tr>
      <w:tr w:rsidR="00C02929" w14:paraId="138C228C" w14:textId="77777777">
        <w:trPr>
          <w:cantSplit/>
          <w:trHeight w:val="397"/>
          <w:jc w:val="center"/>
        </w:trPr>
        <w:tc>
          <w:tcPr>
            <w:tcW w:w="583" w:type="pct"/>
            <w:shd w:val="clear" w:color="auto" w:fill="FFFFFF"/>
            <w:vAlign w:val="center"/>
          </w:tcPr>
          <w:p w14:paraId="57ED1EE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370" w:type="pct"/>
            <w:shd w:val="clear" w:color="auto" w:fill="FFFFFF"/>
            <w:vAlign w:val="center"/>
          </w:tcPr>
          <w:p w14:paraId="3EC705D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夏涛</w:t>
            </w:r>
          </w:p>
        </w:tc>
        <w:tc>
          <w:tcPr>
            <w:tcW w:w="1643" w:type="pct"/>
            <w:shd w:val="clear" w:color="auto" w:fill="FFFFFF"/>
            <w:vAlign w:val="center"/>
          </w:tcPr>
          <w:p w14:paraId="7438E4D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45B0327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C02929" w14:paraId="18C3F2E1" w14:textId="77777777">
        <w:trPr>
          <w:cantSplit/>
          <w:trHeight w:val="397"/>
          <w:jc w:val="center"/>
        </w:trPr>
        <w:tc>
          <w:tcPr>
            <w:tcW w:w="583" w:type="pct"/>
            <w:shd w:val="clear" w:color="auto" w:fill="FFFFFF"/>
            <w:vAlign w:val="center"/>
          </w:tcPr>
          <w:p w14:paraId="0216144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370" w:type="pct"/>
            <w:shd w:val="clear" w:color="auto" w:fill="FFFFFF"/>
            <w:vAlign w:val="center"/>
          </w:tcPr>
          <w:p w14:paraId="2413A85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王华东</w:t>
            </w:r>
          </w:p>
        </w:tc>
        <w:tc>
          <w:tcPr>
            <w:tcW w:w="1643" w:type="pct"/>
            <w:shd w:val="clear" w:color="auto" w:fill="FFFFFF"/>
            <w:vAlign w:val="center"/>
          </w:tcPr>
          <w:p w14:paraId="212E5B0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683,761</w:t>
            </w:r>
          </w:p>
        </w:tc>
        <w:tc>
          <w:tcPr>
            <w:tcW w:w="1404" w:type="pct"/>
            <w:shd w:val="clear" w:color="auto" w:fill="FFFFFF"/>
            <w:vAlign w:val="center"/>
          </w:tcPr>
          <w:p w14:paraId="0A667C8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3.44</w:t>
            </w:r>
          </w:p>
        </w:tc>
      </w:tr>
      <w:tr w:rsidR="00C02929" w14:paraId="696BE5AD" w14:textId="77777777">
        <w:trPr>
          <w:cantSplit/>
          <w:trHeight w:val="397"/>
          <w:jc w:val="center"/>
        </w:trPr>
        <w:tc>
          <w:tcPr>
            <w:tcW w:w="583" w:type="pct"/>
            <w:shd w:val="clear" w:color="auto" w:fill="FFFFFF"/>
            <w:vAlign w:val="center"/>
          </w:tcPr>
          <w:p w14:paraId="30495F2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370" w:type="pct"/>
            <w:shd w:val="clear" w:color="auto" w:fill="FFFFFF"/>
            <w:vAlign w:val="center"/>
          </w:tcPr>
          <w:p w14:paraId="09D53F7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钱雨嫣</w:t>
            </w:r>
          </w:p>
        </w:tc>
        <w:tc>
          <w:tcPr>
            <w:tcW w:w="1643" w:type="pct"/>
            <w:shd w:val="clear" w:color="auto" w:fill="FFFFFF"/>
            <w:vAlign w:val="center"/>
          </w:tcPr>
          <w:p w14:paraId="54F0138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341,880</w:t>
            </w:r>
          </w:p>
        </w:tc>
        <w:tc>
          <w:tcPr>
            <w:tcW w:w="1404" w:type="pct"/>
            <w:shd w:val="clear" w:color="auto" w:fill="FFFFFF"/>
            <w:vAlign w:val="center"/>
          </w:tcPr>
          <w:p w14:paraId="192988A5"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1.72</w:t>
            </w:r>
          </w:p>
        </w:tc>
      </w:tr>
      <w:tr w:rsidR="00C02929" w14:paraId="1BE0A78B" w14:textId="77777777">
        <w:trPr>
          <w:cantSplit/>
          <w:trHeight w:val="397"/>
          <w:jc w:val="center"/>
        </w:trPr>
        <w:tc>
          <w:tcPr>
            <w:tcW w:w="583" w:type="pct"/>
            <w:shd w:val="clear" w:color="auto" w:fill="FFFFFF"/>
            <w:vAlign w:val="center"/>
          </w:tcPr>
          <w:p w14:paraId="6B56FF7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370" w:type="pct"/>
            <w:shd w:val="clear" w:color="auto" w:fill="FFFFFF"/>
            <w:vAlign w:val="center"/>
          </w:tcPr>
          <w:p w14:paraId="0393DF2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肖中海</w:t>
            </w:r>
          </w:p>
        </w:tc>
        <w:tc>
          <w:tcPr>
            <w:tcW w:w="1643" w:type="pct"/>
            <w:shd w:val="clear" w:color="auto" w:fill="FFFFFF"/>
            <w:vAlign w:val="center"/>
          </w:tcPr>
          <w:p w14:paraId="5AE4FAD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200,000</w:t>
            </w:r>
          </w:p>
        </w:tc>
        <w:tc>
          <w:tcPr>
            <w:tcW w:w="1404" w:type="pct"/>
            <w:shd w:val="clear" w:color="auto" w:fill="FFFFFF"/>
            <w:vAlign w:val="center"/>
          </w:tcPr>
          <w:p w14:paraId="1D77E6DE"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1.01</w:t>
            </w:r>
          </w:p>
        </w:tc>
      </w:tr>
      <w:tr w:rsidR="00C02929" w14:paraId="7AA030E6" w14:textId="77777777">
        <w:trPr>
          <w:cantSplit/>
          <w:trHeight w:val="397"/>
          <w:jc w:val="center"/>
        </w:trPr>
        <w:tc>
          <w:tcPr>
            <w:tcW w:w="583" w:type="pct"/>
            <w:shd w:val="clear" w:color="auto" w:fill="FFFFFF"/>
            <w:vAlign w:val="center"/>
          </w:tcPr>
          <w:p w14:paraId="1488519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10</w:t>
            </w:r>
          </w:p>
        </w:tc>
        <w:tc>
          <w:tcPr>
            <w:tcW w:w="1370" w:type="pct"/>
            <w:shd w:val="clear" w:color="auto" w:fill="FFFFFF"/>
            <w:vAlign w:val="center"/>
          </w:tcPr>
          <w:p w14:paraId="4CAFF73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修军</w:t>
            </w:r>
          </w:p>
        </w:tc>
        <w:tc>
          <w:tcPr>
            <w:tcW w:w="1643" w:type="pct"/>
            <w:shd w:val="clear" w:color="auto" w:fill="FFFFFF"/>
            <w:vAlign w:val="center"/>
          </w:tcPr>
          <w:p w14:paraId="15AC94A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178,571</w:t>
            </w:r>
          </w:p>
        </w:tc>
        <w:tc>
          <w:tcPr>
            <w:tcW w:w="1404" w:type="pct"/>
            <w:shd w:val="clear" w:color="auto" w:fill="FFFFFF"/>
            <w:vAlign w:val="center"/>
          </w:tcPr>
          <w:p w14:paraId="18CFE566"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0.90</w:t>
            </w:r>
          </w:p>
        </w:tc>
      </w:tr>
      <w:tr w:rsidR="00C02929" w14:paraId="2B1278CC" w14:textId="77777777">
        <w:trPr>
          <w:cantSplit/>
          <w:trHeight w:val="397"/>
          <w:jc w:val="center"/>
        </w:trPr>
        <w:tc>
          <w:tcPr>
            <w:tcW w:w="583" w:type="pct"/>
            <w:shd w:val="clear" w:color="auto" w:fill="FFFFFF"/>
            <w:vAlign w:val="center"/>
          </w:tcPr>
          <w:p w14:paraId="6E80E64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370" w:type="pct"/>
            <w:shd w:val="clear" w:color="auto" w:fill="FFFFFF"/>
            <w:vAlign w:val="center"/>
          </w:tcPr>
          <w:p w14:paraId="620E51C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傅敦</w:t>
            </w:r>
          </w:p>
        </w:tc>
        <w:tc>
          <w:tcPr>
            <w:tcW w:w="1643" w:type="pct"/>
            <w:shd w:val="clear" w:color="auto" w:fill="FFFFFF"/>
            <w:vAlign w:val="center"/>
          </w:tcPr>
          <w:p w14:paraId="5A65585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128,571</w:t>
            </w:r>
          </w:p>
        </w:tc>
        <w:tc>
          <w:tcPr>
            <w:tcW w:w="1404" w:type="pct"/>
            <w:shd w:val="clear" w:color="auto" w:fill="FFFFFF"/>
            <w:vAlign w:val="center"/>
          </w:tcPr>
          <w:p w14:paraId="7CFA581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C02929" w14:paraId="42621F22" w14:textId="77777777">
        <w:trPr>
          <w:cantSplit/>
          <w:trHeight w:val="397"/>
          <w:jc w:val="center"/>
        </w:trPr>
        <w:tc>
          <w:tcPr>
            <w:tcW w:w="583" w:type="pct"/>
            <w:shd w:val="clear" w:color="auto" w:fill="FFFFFF"/>
            <w:vAlign w:val="center"/>
          </w:tcPr>
          <w:p w14:paraId="7EB0E91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370" w:type="pct"/>
            <w:shd w:val="clear" w:color="auto" w:fill="FFFFFF"/>
            <w:vAlign w:val="center"/>
          </w:tcPr>
          <w:p w14:paraId="63EC413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陈政言</w:t>
            </w:r>
          </w:p>
        </w:tc>
        <w:tc>
          <w:tcPr>
            <w:tcW w:w="1643" w:type="pct"/>
            <w:shd w:val="clear" w:color="auto" w:fill="FFFFFF"/>
            <w:vAlign w:val="center"/>
          </w:tcPr>
          <w:p w14:paraId="798FF8C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128,205</w:t>
            </w:r>
          </w:p>
        </w:tc>
        <w:tc>
          <w:tcPr>
            <w:tcW w:w="1404" w:type="pct"/>
            <w:shd w:val="clear" w:color="auto" w:fill="FFFFFF"/>
            <w:vAlign w:val="center"/>
          </w:tcPr>
          <w:p w14:paraId="2348FEC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0.65</w:t>
            </w:r>
          </w:p>
        </w:tc>
      </w:tr>
      <w:tr w:rsidR="00C02929" w14:paraId="4D031DF2" w14:textId="77777777">
        <w:trPr>
          <w:cantSplit/>
          <w:trHeight w:val="397"/>
          <w:jc w:val="center"/>
        </w:trPr>
        <w:tc>
          <w:tcPr>
            <w:tcW w:w="583" w:type="pct"/>
            <w:shd w:val="clear" w:color="auto" w:fill="FFFFFF"/>
            <w:vAlign w:val="center"/>
          </w:tcPr>
          <w:p w14:paraId="4951403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370" w:type="pct"/>
            <w:shd w:val="clear" w:color="auto" w:fill="FFFFFF"/>
            <w:vAlign w:val="center"/>
          </w:tcPr>
          <w:p w14:paraId="4D18F776"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张利</w:t>
            </w:r>
          </w:p>
        </w:tc>
        <w:tc>
          <w:tcPr>
            <w:tcW w:w="1643" w:type="pct"/>
            <w:shd w:val="clear" w:color="auto" w:fill="FFFFFF"/>
            <w:vAlign w:val="center"/>
          </w:tcPr>
          <w:p w14:paraId="51DA4B4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68,376</w:t>
            </w:r>
          </w:p>
        </w:tc>
        <w:tc>
          <w:tcPr>
            <w:tcW w:w="1404" w:type="pct"/>
            <w:shd w:val="clear" w:color="auto" w:fill="FFFFFF"/>
            <w:vAlign w:val="center"/>
          </w:tcPr>
          <w:p w14:paraId="3E869B5D"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0.34</w:t>
            </w:r>
          </w:p>
        </w:tc>
      </w:tr>
      <w:tr w:rsidR="00C02929" w14:paraId="606BCFA3" w14:textId="77777777">
        <w:trPr>
          <w:cantSplit/>
          <w:trHeight w:val="397"/>
          <w:jc w:val="center"/>
        </w:trPr>
        <w:tc>
          <w:tcPr>
            <w:tcW w:w="583" w:type="pct"/>
            <w:shd w:val="clear" w:color="auto" w:fill="FFFFFF"/>
            <w:vAlign w:val="center"/>
          </w:tcPr>
          <w:p w14:paraId="0BA09A9E"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bCs/>
                <w:color w:val="000000"/>
                <w:sz w:val="21"/>
                <w:szCs w:val="21"/>
              </w:rPr>
              <w:t>14</w:t>
            </w:r>
          </w:p>
        </w:tc>
        <w:tc>
          <w:tcPr>
            <w:tcW w:w="1370" w:type="pct"/>
            <w:shd w:val="clear" w:color="auto" w:fill="FFFFFF"/>
            <w:vAlign w:val="center"/>
          </w:tcPr>
          <w:p w14:paraId="2B5860B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徐炳雷</w:t>
            </w:r>
          </w:p>
        </w:tc>
        <w:tc>
          <w:tcPr>
            <w:tcW w:w="1643" w:type="pct"/>
            <w:shd w:val="clear" w:color="auto" w:fill="FFFFFF"/>
            <w:vAlign w:val="center"/>
          </w:tcPr>
          <w:p w14:paraId="7883F51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44,444</w:t>
            </w:r>
          </w:p>
        </w:tc>
        <w:tc>
          <w:tcPr>
            <w:tcW w:w="1404" w:type="pct"/>
            <w:shd w:val="clear" w:color="auto" w:fill="FFFFFF"/>
            <w:vAlign w:val="center"/>
          </w:tcPr>
          <w:p w14:paraId="795F8485"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0.22</w:t>
            </w:r>
          </w:p>
        </w:tc>
      </w:tr>
      <w:tr w:rsidR="00C02929" w14:paraId="58F35114" w14:textId="77777777">
        <w:trPr>
          <w:cantSplit/>
          <w:trHeight w:val="397"/>
          <w:jc w:val="center"/>
        </w:trPr>
        <w:tc>
          <w:tcPr>
            <w:tcW w:w="583" w:type="pct"/>
            <w:shd w:val="clear" w:color="auto" w:fill="FFFFFF"/>
            <w:vAlign w:val="center"/>
          </w:tcPr>
          <w:p w14:paraId="23097AA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370" w:type="pct"/>
            <w:shd w:val="clear" w:color="auto" w:fill="FFFFFF"/>
            <w:vAlign w:val="center"/>
          </w:tcPr>
          <w:p w14:paraId="3DB33BB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阳伦胜</w:t>
            </w:r>
          </w:p>
        </w:tc>
        <w:tc>
          <w:tcPr>
            <w:tcW w:w="1643" w:type="pct"/>
            <w:shd w:val="clear" w:color="auto" w:fill="FFFFFF"/>
            <w:vAlign w:val="center"/>
          </w:tcPr>
          <w:p w14:paraId="200706F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48A40F7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702FA150" w14:textId="77777777">
        <w:trPr>
          <w:cantSplit/>
          <w:trHeight w:val="397"/>
          <w:jc w:val="center"/>
        </w:trPr>
        <w:tc>
          <w:tcPr>
            <w:tcW w:w="583" w:type="pct"/>
            <w:shd w:val="clear" w:color="auto" w:fill="FFFFFF"/>
            <w:vAlign w:val="center"/>
          </w:tcPr>
          <w:p w14:paraId="097A533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370" w:type="pct"/>
            <w:shd w:val="clear" w:color="auto" w:fill="FFFFFF"/>
            <w:vAlign w:val="center"/>
          </w:tcPr>
          <w:p w14:paraId="34D754D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辛兰</w:t>
            </w:r>
          </w:p>
        </w:tc>
        <w:tc>
          <w:tcPr>
            <w:tcW w:w="1643" w:type="pct"/>
            <w:shd w:val="clear" w:color="auto" w:fill="FFFFFF"/>
            <w:vAlign w:val="center"/>
          </w:tcPr>
          <w:p w14:paraId="43DEE9F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59C1859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77AF1926" w14:textId="77777777">
        <w:trPr>
          <w:cantSplit/>
          <w:trHeight w:val="397"/>
          <w:jc w:val="center"/>
        </w:trPr>
        <w:tc>
          <w:tcPr>
            <w:tcW w:w="583" w:type="pct"/>
            <w:shd w:val="clear" w:color="auto" w:fill="FFFFFF"/>
            <w:vAlign w:val="center"/>
          </w:tcPr>
          <w:p w14:paraId="6E4C6CA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1370" w:type="pct"/>
            <w:shd w:val="clear" w:color="auto" w:fill="FFFFFF"/>
            <w:vAlign w:val="center"/>
          </w:tcPr>
          <w:p w14:paraId="04F02BF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英入才</w:t>
            </w:r>
          </w:p>
        </w:tc>
        <w:tc>
          <w:tcPr>
            <w:tcW w:w="1643" w:type="pct"/>
            <w:shd w:val="clear" w:color="auto" w:fill="FFFFFF"/>
            <w:vAlign w:val="center"/>
          </w:tcPr>
          <w:p w14:paraId="0CD4581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w:t>
            </w:r>
          </w:p>
        </w:tc>
        <w:tc>
          <w:tcPr>
            <w:tcW w:w="1404" w:type="pct"/>
            <w:shd w:val="clear" w:color="auto" w:fill="FFFFFF"/>
            <w:vAlign w:val="center"/>
          </w:tcPr>
          <w:p w14:paraId="494503C9"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75BC3C8D" w14:textId="77777777">
        <w:trPr>
          <w:cantSplit/>
          <w:trHeight w:val="397"/>
          <w:jc w:val="center"/>
        </w:trPr>
        <w:tc>
          <w:tcPr>
            <w:tcW w:w="583" w:type="pct"/>
            <w:shd w:val="clear" w:color="auto" w:fill="FFFFFF"/>
            <w:vAlign w:val="center"/>
          </w:tcPr>
          <w:p w14:paraId="1364AC8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370" w:type="pct"/>
            <w:shd w:val="clear" w:color="auto" w:fill="FFFFFF"/>
            <w:vAlign w:val="center"/>
          </w:tcPr>
          <w:p w14:paraId="183CB73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李祥华</w:t>
            </w:r>
          </w:p>
        </w:tc>
        <w:tc>
          <w:tcPr>
            <w:tcW w:w="1643" w:type="pct"/>
            <w:shd w:val="clear" w:color="auto" w:fill="FFFFFF"/>
            <w:vAlign w:val="center"/>
          </w:tcPr>
          <w:p w14:paraId="6C4D03C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6196EAD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441DCB56" w14:textId="77777777">
        <w:trPr>
          <w:cantSplit/>
          <w:trHeight w:val="397"/>
          <w:jc w:val="center"/>
        </w:trPr>
        <w:tc>
          <w:tcPr>
            <w:tcW w:w="583" w:type="pct"/>
            <w:shd w:val="clear" w:color="auto" w:fill="FFFFFF"/>
            <w:vAlign w:val="center"/>
          </w:tcPr>
          <w:p w14:paraId="516BF67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1370" w:type="pct"/>
            <w:shd w:val="clear" w:color="auto" w:fill="FFFFFF"/>
            <w:vAlign w:val="center"/>
          </w:tcPr>
          <w:p w14:paraId="35DC109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钱祥丰</w:t>
            </w:r>
          </w:p>
        </w:tc>
        <w:tc>
          <w:tcPr>
            <w:tcW w:w="1643" w:type="pct"/>
            <w:shd w:val="clear" w:color="auto" w:fill="FFFFFF"/>
            <w:vAlign w:val="center"/>
          </w:tcPr>
          <w:p w14:paraId="56767D3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1404" w:type="pct"/>
            <w:shd w:val="clear" w:color="auto" w:fill="FFFFFF"/>
            <w:vAlign w:val="center"/>
          </w:tcPr>
          <w:p w14:paraId="1AAEEF4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0.01</w:t>
            </w:r>
          </w:p>
        </w:tc>
      </w:tr>
      <w:tr w:rsidR="00C02929" w14:paraId="021CA06D" w14:textId="77777777">
        <w:trPr>
          <w:cantSplit/>
          <w:trHeight w:val="397"/>
          <w:jc w:val="center"/>
        </w:trPr>
        <w:tc>
          <w:tcPr>
            <w:tcW w:w="583" w:type="pct"/>
            <w:shd w:val="clear" w:color="auto" w:fill="FFFFFF"/>
            <w:vAlign w:val="center"/>
          </w:tcPr>
          <w:p w14:paraId="460E6E9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370" w:type="pct"/>
            <w:shd w:val="clear" w:color="auto" w:fill="FFFFFF"/>
            <w:vAlign w:val="center"/>
          </w:tcPr>
          <w:p w14:paraId="32B59A9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李威</w:t>
            </w:r>
          </w:p>
        </w:tc>
        <w:tc>
          <w:tcPr>
            <w:tcW w:w="1643" w:type="pct"/>
            <w:shd w:val="clear" w:color="auto" w:fill="FFFFFF"/>
            <w:vAlign w:val="center"/>
          </w:tcPr>
          <w:p w14:paraId="7BF8060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504</w:t>
            </w:r>
          </w:p>
        </w:tc>
        <w:tc>
          <w:tcPr>
            <w:tcW w:w="1404" w:type="pct"/>
            <w:shd w:val="clear" w:color="auto" w:fill="FFFFFF"/>
            <w:vAlign w:val="center"/>
          </w:tcPr>
          <w:p w14:paraId="750CAB8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0.0025</w:t>
            </w:r>
          </w:p>
        </w:tc>
      </w:tr>
      <w:tr w:rsidR="00C02929" w14:paraId="4992BA86" w14:textId="77777777">
        <w:trPr>
          <w:cantSplit/>
          <w:trHeight w:val="397"/>
          <w:jc w:val="center"/>
        </w:trPr>
        <w:tc>
          <w:tcPr>
            <w:tcW w:w="1953" w:type="pct"/>
            <w:gridSpan w:val="2"/>
            <w:vAlign w:val="center"/>
          </w:tcPr>
          <w:p w14:paraId="1F43355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643" w:type="pct"/>
            <w:vAlign w:val="center"/>
          </w:tcPr>
          <w:p w14:paraId="7062FA5D"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19,862,800</w:t>
            </w:r>
          </w:p>
        </w:tc>
        <w:tc>
          <w:tcPr>
            <w:tcW w:w="1404" w:type="pct"/>
            <w:vAlign w:val="center"/>
          </w:tcPr>
          <w:p w14:paraId="202BC0D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b/>
                <w:bCs/>
                <w:color w:val="000000"/>
                <w:sz w:val="21"/>
                <w:szCs w:val="21"/>
              </w:rPr>
              <w:t>100.0000</w:t>
            </w:r>
          </w:p>
        </w:tc>
      </w:tr>
    </w:tbl>
    <w:p w14:paraId="1D0A7129"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（二）报告期内标的公司的董事会人员构成及其变化情况</w:t>
      </w:r>
    </w:p>
    <w:p w14:paraId="34A3FA80"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年初，标的公司的董事会成员分别为董事长赵庆、董事黄晓峰、董事李红、董事杨平、董事陶峰。截至本核查意见出具日，标的公司董事会人员未发生变化。</w:t>
      </w:r>
    </w:p>
    <w:p w14:paraId="11CDDAB8"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（三）报告期内标的公司的监事会人员构成及其变化情况</w:t>
      </w:r>
    </w:p>
    <w:p w14:paraId="214C6CA2" w14:textId="7398B3DA"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年初，标的公司的监事会成员分别为监事会主席周业荣、监事徐炳雷、监事傅敦。截至本核查意见出具日，标的公司监事会人员未发生变化。</w:t>
      </w:r>
    </w:p>
    <w:p w14:paraId="0BF047A4"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二、报告期内标的公司股东大会、董事会和监事会运作情况，标的资产是否具备健全有效的法人治理结构</w:t>
      </w:r>
    </w:p>
    <w:p w14:paraId="026529E0" w14:textId="77777777" w:rsidR="00403479" w:rsidRDefault="00403479" w:rsidP="00403479">
      <w:pPr>
        <w:spacing w:beforeLines="50" w:before="156" w:line="360" w:lineRule="auto"/>
        <w:ind w:firstLineChars="200" w:firstLine="482"/>
        <w:jc w:val="both"/>
        <w:outlineLvl w:val="3"/>
        <w:rPr>
          <w:rFonts w:ascii="Times New Roman" w:hAnsi="Times New Roman" w:cs="Times New Roman"/>
          <w:b/>
          <w:color w:val="000000"/>
        </w:rPr>
      </w:pPr>
      <w:bookmarkStart w:id="37" w:name="_Hlk69371980"/>
      <w:r>
        <w:rPr>
          <w:rFonts w:ascii="Times New Roman" w:hAnsi="Times New Roman" w:cs="Times New Roman" w:hint="eastAsia"/>
          <w:b/>
          <w:color w:val="000000"/>
        </w:rPr>
        <w:t>（一）</w:t>
      </w:r>
      <w:bookmarkStart w:id="38" w:name="_Hlk69371969"/>
      <w:r>
        <w:rPr>
          <w:rFonts w:ascii="Times New Roman" w:hAnsi="Times New Roman" w:cs="Times New Roman" w:hint="eastAsia"/>
          <w:b/>
          <w:color w:val="000000"/>
        </w:rPr>
        <w:t>报告期内标的公司股东大会、董事会和监事会运作情况</w:t>
      </w:r>
      <w:bookmarkEnd w:id="38"/>
    </w:p>
    <w:p w14:paraId="7E042055" w14:textId="618AAAC9" w:rsidR="00403479" w:rsidRDefault="00B675A2" w:rsidP="00403479">
      <w:pPr>
        <w:spacing w:beforeLines="50" w:before="156" w:line="360" w:lineRule="auto"/>
        <w:ind w:firstLineChars="200" w:firstLine="480"/>
        <w:jc w:val="both"/>
        <w:rPr>
          <w:rFonts w:ascii="Times New Roman" w:hAnsi="Times New Roman" w:cs="Times New Roman"/>
          <w:bCs/>
          <w:color w:val="000000"/>
          <w:szCs w:val="21"/>
        </w:rPr>
      </w:pPr>
      <w:bookmarkStart w:id="39" w:name="_Hlk69814660"/>
      <w:r w:rsidRPr="00701684">
        <w:rPr>
          <w:rFonts w:ascii="Times New Roman" w:hAnsi="Times New Roman" w:hint="eastAsia"/>
          <w:bCs/>
          <w:color w:val="000000"/>
        </w:rPr>
        <w:t>标的公司按照《公司法》及《公司章程》的规定建立了股东大会、董事会和监事会</w:t>
      </w:r>
      <w:r>
        <w:rPr>
          <w:rFonts w:ascii="Times New Roman" w:hAnsi="Times New Roman" w:hint="eastAsia"/>
          <w:bCs/>
          <w:color w:val="000000"/>
        </w:rPr>
        <w:t>，</w:t>
      </w:r>
      <w:r w:rsidRPr="00701684">
        <w:rPr>
          <w:rFonts w:ascii="Times New Roman" w:hAnsi="Times New Roman" w:hint="eastAsia"/>
          <w:color w:val="000000"/>
        </w:rPr>
        <w:t>制定了《股东大会议事规则》</w:t>
      </w:r>
      <w:r>
        <w:rPr>
          <w:rFonts w:ascii="Times New Roman" w:hAnsi="Times New Roman" w:hint="eastAsia"/>
          <w:color w:val="000000"/>
        </w:rPr>
        <w:t>、《董事会议事规则》</w:t>
      </w:r>
      <w:r w:rsidRPr="00701684">
        <w:rPr>
          <w:rFonts w:ascii="Times New Roman" w:hAnsi="Times New Roman" w:hint="eastAsia"/>
          <w:color w:val="000000"/>
        </w:rPr>
        <w:t>及《监事会议事规则》等制度</w:t>
      </w:r>
      <w:r>
        <w:rPr>
          <w:rFonts w:ascii="Times New Roman" w:hAnsi="Times New Roman" w:hint="eastAsia"/>
          <w:bCs/>
          <w:color w:val="000000"/>
        </w:rPr>
        <w:t>。</w:t>
      </w:r>
      <w:r w:rsidRPr="00701684">
        <w:rPr>
          <w:rFonts w:ascii="Times New Roman" w:hAnsi="Times New Roman" w:hint="eastAsia"/>
          <w:bCs/>
          <w:color w:val="000000"/>
        </w:rPr>
        <w:t>根据标的公司提供的股东大会、董事会、监事会决议及会议记录等文件，自</w:t>
      </w:r>
      <w:r w:rsidRPr="00701684">
        <w:rPr>
          <w:rFonts w:ascii="Times New Roman" w:hAnsi="Times New Roman" w:hint="eastAsia"/>
          <w:bCs/>
          <w:color w:val="000000"/>
        </w:rPr>
        <w:t>2</w:t>
      </w:r>
      <w:r w:rsidRPr="00701684">
        <w:rPr>
          <w:rFonts w:ascii="Times New Roman" w:hAnsi="Times New Roman"/>
          <w:bCs/>
          <w:color w:val="000000"/>
        </w:rPr>
        <w:t>018</w:t>
      </w:r>
      <w:r w:rsidRPr="00701684">
        <w:rPr>
          <w:rFonts w:ascii="Times New Roman" w:hAnsi="Times New Roman" w:hint="eastAsia"/>
          <w:bCs/>
          <w:color w:val="000000"/>
        </w:rPr>
        <w:t>年</w:t>
      </w:r>
      <w:r w:rsidRPr="00701684">
        <w:rPr>
          <w:rFonts w:ascii="Times New Roman" w:hAnsi="Times New Roman" w:hint="eastAsia"/>
          <w:bCs/>
          <w:color w:val="000000"/>
        </w:rPr>
        <w:t>1</w:t>
      </w:r>
      <w:r w:rsidRPr="00701684">
        <w:rPr>
          <w:rFonts w:ascii="Times New Roman" w:hAnsi="Times New Roman" w:hint="eastAsia"/>
          <w:bCs/>
          <w:color w:val="000000"/>
        </w:rPr>
        <w:t>月</w:t>
      </w:r>
      <w:r w:rsidRPr="00701684">
        <w:rPr>
          <w:rFonts w:ascii="Times New Roman" w:hAnsi="Times New Roman" w:hint="eastAsia"/>
          <w:bCs/>
          <w:color w:val="000000"/>
        </w:rPr>
        <w:t>1</w:t>
      </w:r>
      <w:r w:rsidRPr="00701684">
        <w:rPr>
          <w:rFonts w:ascii="Times New Roman" w:hAnsi="Times New Roman" w:hint="eastAsia"/>
          <w:bCs/>
          <w:color w:val="000000"/>
        </w:rPr>
        <w:t>日至今，标的公司共召开了五次股东大会、九次董事会会议和八次监事会会议。</w:t>
      </w:r>
      <w:bookmarkEnd w:id="39"/>
    </w:p>
    <w:p w14:paraId="7F59524A" w14:textId="77777777" w:rsidR="00403479" w:rsidRDefault="00403479" w:rsidP="0040347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受到疫情影响，公司未于</w:t>
      </w:r>
      <w:r>
        <w:rPr>
          <w:rFonts w:ascii="Times New Roman" w:hAnsi="Times New Roman" w:cs="Times New Roman"/>
          <w:bCs/>
          <w:color w:val="000000"/>
          <w:szCs w:val="21"/>
        </w:rPr>
        <w:t>2020</w:t>
      </w:r>
      <w:r>
        <w:rPr>
          <w:rFonts w:ascii="Times New Roman" w:hAnsi="Times New Roman" w:cs="Times New Roman"/>
          <w:bCs/>
          <w:color w:val="000000"/>
          <w:szCs w:val="21"/>
        </w:rPr>
        <w:t>年</w:t>
      </w:r>
      <w:r>
        <w:rPr>
          <w:rFonts w:ascii="Times New Roman" w:hAnsi="Times New Roman" w:cs="Times New Roman"/>
          <w:bCs/>
          <w:color w:val="000000"/>
          <w:szCs w:val="21"/>
        </w:rPr>
        <w:t>6</w:t>
      </w:r>
      <w:r>
        <w:rPr>
          <w:rFonts w:ascii="Times New Roman" w:hAnsi="Times New Roman" w:cs="Times New Roman"/>
          <w:bCs/>
          <w:color w:val="000000"/>
          <w:szCs w:val="21"/>
        </w:rPr>
        <w:t>月份前召开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年度股东大会审议相关议案，不符合标的公司现行公司章程的规定。标的公司已于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4</w:t>
      </w:r>
      <w:r>
        <w:rPr>
          <w:rFonts w:ascii="Times New Roman" w:hAnsi="Times New Roman" w:cs="Times New Roman"/>
          <w:bCs/>
          <w:color w:val="000000"/>
          <w:szCs w:val="21"/>
        </w:rPr>
        <w:t>月</w:t>
      </w:r>
      <w:r>
        <w:rPr>
          <w:rFonts w:ascii="Times New Roman" w:hAnsi="Times New Roman" w:cs="Times New Roman" w:hint="eastAsia"/>
          <w:bCs/>
          <w:color w:val="000000"/>
          <w:szCs w:val="21"/>
        </w:rPr>
        <w:t>7</w:t>
      </w:r>
      <w:r>
        <w:rPr>
          <w:rFonts w:ascii="Times New Roman" w:hAnsi="Times New Roman" w:cs="Times New Roman"/>
          <w:bCs/>
          <w:color w:val="000000"/>
          <w:szCs w:val="21"/>
        </w:rPr>
        <w:t>日召开董事会和监事会，并于同日向全体股东发出通知拟于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5</w:t>
      </w:r>
      <w:r>
        <w:rPr>
          <w:rFonts w:ascii="Times New Roman" w:hAnsi="Times New Roman" w:cs="Times New Roman"/>
          <w:bCs/>
          <w:color w:val="000000"/>
          <w:szCs w:val="21"/>
        </w:rPr>
        <w:t>月</w:t>
      </w:r>
      <w:r>
        <w:rPr>
          <w:rFonts w:ascii="Times New Roman" w:hAnsi="Times New Roman" w:cs="Times New Roman" w:hint="eastAsia"/>
          <w:bCs/>
          <w:color w:val="000000"/>
          <w:szCs w:val="21"/>
        </w:rPr>
        <w:t>5</w:t>
      </w:r>
      <w:r>
        <w:rPr>
          <w:rFonts w:ascii="Times New Roman" w:hAnsi="Times New Roman" w:cs="Times New Roman"/>
          <w:bCs/>
          <w:color w:val="000000"/>
          <w:szCs w:val="21"/>
        </w:rPr>
        <w:t>日补充召开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年度股东大会，对董事会工作报告等相关议案进行补充审议。</w:t>
      </w:r>
    </w:p>
    <w:p w14:paraId="20B6E9EE" w14:textId="77777777" w:rsidR="00403479" w:rsidRDefault="00403479" w:rsidP="0040347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自</w:t>
      </w:r>
      <w:r>
        <w:rPr>
          <w:rFonts w:ascii="Times New Roman" w:hAnsi="Times New Roman" w:cs="Times New Roman"/>
          <w:bCs/>
          <w:color w:val="000000"/>
          <w:szCs w:val="21"/>
        </w:rPr>
        <w:t>2020</w:t>
      </w:r>
      <w:r>
        <w:rPr>
          <w:rFonts w:ascii="Times New Roman" w:hAnsi="Times New Roman" w:cs="Times New Roman"/>
          <w:bCs/>
          <w:color w:val="000000"/>
          <w:szCs w:val="21"/>
        </w:rPr>
        <w:t>年</w:t>
      </w:r>
      <w:r>
        <w:rPr>
          <w:rFonts w:ascii="Times New Roman" w:hAnsi="Times New Roman" w:cs="Times New Roman"/>
          <w:bCs/>
          <w:color w:val="000000"/>
          <w:szCs w:val="21"/>
        </w:rPr>
        <w:t>2</w:t>
      </w:r>
      <w:r>
        <w:rPr>
          <w:rFonts w:ascii="Times New Roman" w:hAnsi="Times New Roman" w:cs="Times New Roman"/>
          <w:bCs/>
          <w:color w:val="000000"/>
          <w:szCs w:val="21"/>
        </w:rPr>
        <w:t>月在新三板终止挂牌至今，标的公司股东未发生变动。李红等作为本次交易对方的标的公司股东（自标的公司</w:t>
      </w:r>
      <w:r>
        <w:rPr>
          <w:rFonts w:ascii="Times New Roman" w:hAnsi="Times New Roman" w:cs="Times New Roman"/>
          <w:bCs/>
          <w:color w:val="000000"/>
          <w:szCs w:val="21"/>
        </w:rPr>
        <w:t>2020</w:t>
      </w:r>
      <w:r>
        <w:rPr>
          <w:rFonts w:ascii="Times New Roman" w:hAnsi="Times New Roman" w:cs="Times New Roman"/>
          <w:bCs/>
          <w:color w:val="000000"/>
          <w:szCs w:val="21"/>
        </w:rPr>
        <w:t>年</w:t>
      </w:r>
      <w:r>
        <w:rPr>
          <w:rFonts w:ascii="Times New Roman" w:hAnsi="Times New Roman" w:cs="Times New Roman"/>
          <w:bCs/>
          <w:color w:val="000000"/>
          <w:szCs w:val="21"/>
        </w:rPr>
        <w:t>2</w:t>
      </w:r>
      <w:r>
        <w:rPr>
          <w:rFonts w:ascii="Times New Roman" w:hAnsi="Times New Roman" w:cs="Times New Roman"/>
          <w:bCs/>
          <w:color w:val="000000"/>
          <w:szCs w:val="21"/>
        </w:rPr>
        <w:t>月于新三板终止挂牌至今始终合计持有标的公司</w:t>
      </w:r>
      <w:r>
        <w:rPr>
          <w:rFonts w:ascii="Times New Roman" w:hAnsi="Times New Roman" w:cs="Times New Roman"/>
          <w:bCs/>
          <w:color w:val="000000"/>
          <w:szCs w:val="21"/>
        </w:rPr>
        <w:t>99.99%</w:t>
      </w:r>
      <w:r>
        <w:rPr>
          <w:rFonts w:ascii="Times New Roman" w:hAnsi="Times New Roman" w:cs="Times New Roman" w:hint="eastAsia"/>
          <w:bCs/>
          <w:color w:val="000000"/>
          <w:szCs w:val="21"/>
        </w:rPr>
        <w:t>股份</w:t>
      </w:r>
      <w:r>
        <w:rPr>
          <w:rFonts w:ascii="Times New Roman" w:hAnsi="Times New Roman" w:cs="Times New Roman"/>
          <w:bCs/>
          <w:color w:val="000000"/>
          <w:szCs w:val="21"/>
        </w:rPr>
        <w:t>）均出具《确认函》，确认对标的公司逾期未召开股东大会、拟于</w:t>
      </w:r>
      <w:r>
        <w:rPr>
          <w:rFonts w:ascii="Times New Roman" w:hAnsi="Times New Roman" w:cs="Times New Roman"/>
          <w:bCs/>
          <w:color w:val="000000"/>
          <w:szCs w:val="21"/>
        </w:rPr>
        <w:t>2021</w:t>
      </w:r>
      <w:r>
        <w:rPr>
          <w:rFonts w:ascii="Times New Roman" w:hAnsi="Times New Roman" w:cs="Times New Roman"/>
          <w:bCs/>
          <w:color w:val="000000"/>
          <w:szCs w:val="21"/>
        </w:rPr>
        <w:t>年</w:t>
      </w:r>
      <w:r>
        <w:rPr>
          <w:rFonts w:ascii="Times New Roman" w:hAnsi="Times New Roman" w:cs="Times New Roman"/>
          <w:bCs/>
          <w:color w:val="000000"/>
          <w:szCs w:val="21"/>
        </w:rPr>
        <w:t>5</w:t>
      </w:r>
      <w:r>
        <w:rPr>
          <w:rFonts w:ascii="Times New Roman" w:hAnsi="Times New Roman" w:cs="Times New Roman"/>
          <w:bCs/>
          <w:color w:val="000000"/>
          <w:szCs w:val="21"/>
        </w:rPr>
        <w:t>月</w:t>
      </w:r>
      <w:r>
        <w:rPr>
          <w:rFonts w:ascii="Times New Roman" w:hAnsi="Times New Roman" w:cs="Times New Roman" w:hint="eastAsia"/>
          <w:bCs/>
          <w:color w:val="000000"/>
          <w:szCs w:val="21"/>
        </w:rPr>
        <w:t>5</w:t>
      </w:r>
      <w:r>
        <w:rPr>
          <w:rFonts w:ascii="Times New Roman" w:hAnsi="Times New Roman" w:cs="Times New Roman"/>
          <w:bCs/>
          <w:color w:val="000000"/>
          <w:szCs w:val="21"/>
        </w:rPr>
        <w:t>日补充召开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年度股东大会的相关事宜予以知悉并认可，并确认同意标的公司</w:t>
      </w:r>
      <w:r>
        <w:rPr>
          <w:rFonts w:ascii="Times New Roman" w:hAnsi="Times New Roman" w:cs="Times New Roman"/>
          <w:bCs/>
          <w:color w:val="000000"/>
          <w:szCs w:val="21"/>
        </w:rPr>
        <w:t>2019</w:t>
      </w:r>
      <w:r>
        <w:rPr>
          <w:rFonts w:ascii="Times New Roman" w:hAnsi="Times New Roman" w:cs="Times New Roman"/>
          <w:bCs/>
          <w:color w:val="000000"/>
          <w:szCs w:val="21"/>
        </w:rPr>
        <w:t>年度股东大会拟审议的全部议案及其内容，且不会对标的公司或其董事、监事及高级管理人员主张任何权利或追究任何责任。截至本回复出具日，未有标的公司股东就上述股东大会未按时召开事</w:t>
      </w:r>
      <w:r>
        <w:rPr>
          <w:rFonts w:ascii="Times New Roman" w:hAnsi="Times New Roman" w:cs="Times New Roman" w:hint="eastAsia"/>
          <w:bCs/>
          <w:color w:val="000000"/>
          <w:szCs w:val="21"/>
        </w:rPr>
        <w:t>宜提起诉讼或仲裁的情形。标的公司控股股东李红、黄晓峰出具《承诺函》，</w:t>
      </w:r>
      <w:r>
        <w:rPr>
          <w:rFonts w:ascii="Times New Roman" w:hAnsi="Times New Roman" w:hint="eastAsia"/>
          <w:bCs/>
          <w:color w:val="000000"/>
        </w:rPr>
        <w:t>承诺</w:t>
      </w:r>
      <w:r>
        <w:rPr>
          <w:rFonts w:ascii="Times New Roman" w:hAnsi="Times New Roman" w:cs="Times New Roman" w:hint="eastAsia"/>
          <w:bCs/>
          <w:color w:val="000000"/>
          <w:szCs w:val="21"/>
        </w:rPr>
        <w:t>如因上述</w:t>
      </w:r>
      <w:r>
        <w:rPr>
          <w:rFonts w:ascii="Times New Roman" w:hAnsi="Times New Roman" w:cs="Times New Roman"/>
          <w:bCs/>
          <w:color w:val="000000"/>
          <w:szCs w:val="21"/>
        </w:rPr>
        <w:t>2019</w:t>
      </w:r>
      <w:r>
        <w:rPr>
          <w:rFonts w:ascii="Times New Roman" w:hAnsi="Times New Roman" w:cs="Times New Roman"/>
          <w:bCs/>
          <w:color w:val="000000"/>
          <w:szCs w:val="21"/>
        </w:rPr>
        <w:t>年度股东大会未及时召开导致标的公司受到任何损失，其将对标的公司及京城股份所遭受的经济损失进行全额补偿。</w:t>
      </w:r>
    </w:p>
    <w:p w14:paraId="3F31522F" w14:textId="77777777" w:rsidR="00403479" w:rsidRPr="008F375B" w:rsidRDefault="00403479" w:rsidP="00403479">
      <w:pPr>
        <w:spacing w:beforeLines="50" w:before="156" w:line="360" w:lineRule="auto"/>
        <w:ind w:firstLineChars="200" w:firstLine="482"/>
        <w:jc w:val="both"/>
        <w:outlineLvl w:val="3"/>
        <w:rPr>
          <w:rFonts w:ascii="Times New Roman" w:hAnsi="Times New Roman" w:cs="Times New Roman"/>
          <w:b/>
          <w:color w:val="000000"/>
        </w:rPr>
      </w:pPr>
      <w:bookmarkStart w:id="40" w:name="_Hlk69811949"/>
      <w:bookmarkEnd w:id="37"/>
      <w:r w:rsidRPr="008F375B">
        <w:rPr>
          <w:rFonts w:ascii="Times New Roman" w:hAnsi="Times New Roman" w:cs="Times New Roman" w:hint="eastAsia"/>
          <w:b/>
          <w:color w:val="000000"/>
        </w:rPr>
        <w:t>（二）标的资产是否具备健全有效的法人治理结构</w:t>
      </w:r>
    </w:p>
    <w:bookmarkEnd w:id="40"/>
    <w:p w14:paraId="2366D907" w14:textId="77777777" w:rsidR="002F77B5" w:rsidRDefault="002F77B5" w:rsidP="002F77B5">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标的公司已按照《公司法》及《公司章程》的规定建立了股东大会、董事会和监事会，聘任了总经理等高级管理人员，根据业务运作的需要设置了内部职能部门。</w:t>
      </w:r>
    </w:p>
    <w:p w14:paraId="3BA0AB20" w14:textId="77777777" w:rsidR="002F77B5" w:rsidRDefault="002F77B5" w:rsidP="002F77B5">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标的公司根据《公司法》、《证券法》等法律法规制定了《公司章程》、《股东大会议事规则》</w:t>
      </w:r>
      <w:r>
        <w:rPr>
          <w:rFonts w:ascii="Times New Roman" w:hAnsi="Times New Roman" w:hint="eastAsia"/>
          <w:bCs/>
          <w:color w:val="000000"/>
        </w:rPr>
        <w:t>、《董事会议事规则》</w:t>
      </w:r>
      <w:r>
        <w:rPr>
          <w:rFonts w:ascii="Times New Roman" w:hAnsi="Times New Roman" w:cs="Times New Roman" w:hint="eastAsia"/>
          <w:bCs/>
          <w:color w:val="000000"/>
          <w:szCs w:val="21"/>
        </w:rPr>
        <w:t>及《监事会议事规则》等制度。</w:t>
      </w:r>
    </w:p>
    <w:p w14:paraId="3E41B05D" w14:textId="77777777" w:rsidR="002F77B5" w:rsidRDefault="002F77B5" w:rsidP="002F77B5">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如果本次交易顺利完成，标的公司将由股份有限公司整体变更为有限责任公司，并成为上市公司的控股子公司。上市公司</w:t>
      </w:r>
      <w:r>
        <w:rPr>
          <w:rFonts w:ascii="Times New Roman" w:hAnsi="Times New Roman" w:hint="eastAsia"/>
          <w:bCs/>
          <w:color w:val="000000"/>
        </w:rPr>
        <w:t>将</w:t>
      </w:r>
      <w:r>
        <w:rPr>
          <w:rFonts w:ascii="Times New Roman" w:hAnsi="Times New Roman" w:cs="Times New Roman" w:hint="eastAsia"/>
          <w:bCs/>
          <w:color w:val="000000"/>
          <w:szCs w:val="21"/>
        </w:rPr>
        <w:t>加强对标的公司的日常监督和管理，标的公司将根据上市公司规范运作的要求，修订并严格落实自身的公司章程及内部制度，进一步优化公司治理结构、内部控制和风险管理。</w:t>
      </w:r>
    </w:p>
    <w:p w14:paraId="7A65F973" w14:textId="1AA93622" w:rsidR="00403479" w:rsidRDefault="00403479" w:rsidP="0040347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除上述情形外，</w:t>
      </w:r>
      <w:r w:rsidRPr="00701684">
        <w:rPr>
          <w:rFonts w:ascii="Times New Roman" w:hAnsi="Times New Roman" w:hint="eastAsia"/>
          <w:bCs/>
          <w:color w:val="000000"/>
        </w:rPr>
        <w:t>标的公司股东大会、董事会、监事会的召集、召开、决议内容</w:t>
      </w:r>
      <w:r>
        <w:rPr>
          <w:rFonts w:ascii="Times New Roman" w:hAnsi="Times New Roman" w:hint="eastAsia"/>
          <w:bCs/>
          <w:color w:val="000000"/>
        </w:rPr>
        <w:t>不存在其他重大违反法律法规</w:t>
      </w:r>
      <w:r w:rsidR="00B675A2">
        <w:rPr>
          <w:rFonts w:ascii="Times New Roman" w:hAnsi="Times New Roman" w:hint="eastAsia"/>
          <w:bCs/>
          <w:color w:val="000000"/>
        </w:rPr>
        <w:t>及</w:t>
      </w:r>
      <w:r>
        <w:rPr>
          <w:rFonts w:ascii="Times New Roman" w:hAnsi="Times New Roman" w:hint="eastAsia"/>
          <w:bCs/>
          <w:color w:val="000000"/>
        </w:rPr>
        <w:t>公司章程的情况</w:t>
      </w:r>
      <w:r w:rsidRPr="00701684">
        <w:rPr>
          <w:rFonts w:ascii="Times New Roman" w:hAnsi="Times New Roman" w:hint="eastAsia"/>
          <w:bCs/>
          <w:color w:val="000000"/>
        </w:rPr>
        <w:t>。</w:t>
      </w:r>
    </w:p>
    <w:p w14:paraId="351FA418" w14:textId="77777777" w:rsidR="00403479" w:rsidRDefault="00403479" w:rsidP="00403479">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lastRenderedPageBreak/>
        <w:t>综上，就标的公司未按期召开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年度股东大会事宜，标的公司已发出通知补充召开前述股东大会，且已取得合计持有标的公司</w:t>
      </w:r>
      <w:r>
        <w:rPr>
          <w:rFonts w:ascii="Times New Roman" w:hAnsi="Times New Roman" w:cs="Times New Roman"/>
          <w:bCs/>
          <w:color w:val="000000"/>
          <w:szCs w:val="21"/>
        </w:rPr>
        <w:t>99.99%</w:t>
      </w:r>
      <w:r>
        <w:rPr>
          <w:rFonts w:ascii="Times New Roman" w:hAnsi="Times New Roman" w:cs="Times New Roman"/>
          <w:bCs/>
          <w:color w:val="000000"/>
          <w:szCs w:val="21"/>
        </w:rPr>
        <w:t>股份的股东出具《确认函》对前述事宜予以确认。本次交易后，标的公司作为上市公司的控股子公司，将严格按照上市公司规范运作的要求建立健全有效的法人治理结构。因此，标的公司未按期召开</w:t>
      </w:r>
      <w:r>
        <w:rPr>
          <w:rFonts w:ascii="Times New Roman" w:hAnsi="Times New Roman" w:cs="Times New Roman"/>
          <w:bCs/>
          <w:color w:val="000000"/>
          <w:szCs w:val="21"/>
        </w:rPr>
        <w:t>2019</w:t>
      </w:r>
      <w:r>
        <w:rPr>
          <w:rFonts w:ascii="Times New Roman" w:hAnsi="Times New Roman" w:cs="Times New Roman"/>
          <w:bCs/>
          <w:color w:val="000000"/>
          <w:szCs w:val="21"/>
        </w:rPr>
        <w:t>年度股东大会事宜不会对本次交易构成重大不利影响。</w:t>
      </w:r>
    </w:p>
    <w:p w14:paraId="0A554A18"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报告期内核心管理团队成员的姓名、职务和在外兼职、投资情况及原因，兼职或投资行为是否违反相关法律法规及公司规章制度、是否影响其勤勉尽责履职，兼职或投资单位与标的资产有无关联关系或经营同类业务。</w:t>
      </w:r>
    </w:p>
    <w:p w14:paraId="050827FB"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一、核心管理团队成员的姓名、职务</w:t>
      </w:r>
    </w:p>
    <w:p w14:paraId="24F27092"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szCs w:val="21"/>
        </w:rPr>
        <w:t>根据标的公司提供的资料，截至本核查意见出具日，核心管理团队成员的</w:t>
      </w:r>
      <w:r>
        <w:rPr>
          <w:rFonts w:ascii="Times New Roman" w:hAnsi="Times New Roman" w:cs="Times New Roman" w:hint="eastAsia"/>
          <w:bCs/>
          <w:color w:val="000000"/>
        </w:rPr>
        <w:t>姓名、职务具体如下：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1"/>
        <w:gridCol w:w="4261"/>
      </w:tblGrid>
      <w:tr w:rsidR="00C02929" w14:paraId="6FB24FE4" w14:textId="77777777">
        <w:trPr>
          <w:cantSplit/>
          <w:trHeight w:val="397"/>
          <w:jc w:val="center"/>
        </w:trPr>
        <w:tc>
          <w:tcPr>
            <w:tcW w:w="2500" w:type="pct"/>
            <w:vAlign w:val="center"/>
          </w:tcPr>
          <w:p w14:paraId="03D56736" w14:textId="77777777" w:rsidR="00C02929" w:rsidRDefault="006116D1">
            <w:pPr>
              <w:jc w:val="center"/>
              <w:rPr>
                <w:rFonts w:ascii="Times New Roman" w:hAnsi="Times New Roman" w:cs="Times New Roman"/>
                <w:b/>
                <w:sz w:val="21"/>
                <w:szCs w:val="21"/>
              </w:rPr>
            </w:pPr>
            <w:bookmarkStart w:id="41" w:name="_Toc69256852"/>
            <w:r>
              <w:rPr>
                <w:rFonts w:ascii="Times New Roman" w:hAnsi="Times New Roman" w:cs="Times New Roman" w:hint="eastAsia"/>
                <w:b/>
                <w:sz w:val="21"/>
                <w:szCs w:val="21"/>
              </w:rPr>
              <w:t>姓名</w:t>
            </w:r>
            <w:bookmarkEnd w:id="41"/>
          </w:p>
        </w:tc>
        <w:tc>
          <w:tcPr>
            <w:tcW w:w="2500" w:type="pct"/>
            <w:vAlign w:val="center"/>
          </w:tcPr>
          <w:p w14:paraId="2CE531C0" w14:textId="77777777" w:rsidR="00C02929" w:rsidRDefault="006116D1">
            <w:pPr>
              <w:jc w:val="center"/>
              <w:rPr>
                <w:rFonts w:ascii="Times New Roman" w:hAnsi="Times New Roman" w:cs="Times New Roman"/>
                <w:b/>
                <w:sz w:val="21"/>
                <w:szCs w:val="21"/>
              </w:rPr>
            </w:pPr>
            <w:bookmarkStart w:id="42" w:name="_Toc69256853"/>
            <w:r>
              <w:rPr>
                <w:rFonts w:ascii="Times New Roman" w:hAnsi="Times New Roman" w:cs="Times New Roman" w:hint="eastAsia"/>
                <w:b/>
                <w:sz w:val="21"/>
                <w:szCs w:val="21"/>
              </w:rPr>
              <w:t>任职情况</w:t>
            </w:r>
            <w:bookmarkEnd w:id="42"/>
          </w:p>
        </w:tc>
      </w:tr>
      <w:tr w:rsidR="00C02929" w14:paraId="0ECB34C4" w14:textId="77777777">
        <w:trPr>
          <w:cantSplit/>
          <w:trHeight w:val="397"/>
          <w:jc w:val="center"/>
        </w:trPr>
        <w:tc>
          <w:tcPr>
            <w:tcW w:w="2500" w:type="pct"/>
            <w:vAlign w:val="center"/>
          </w:tcPr>
          <w:p w14:paraId="26AFC010"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黄晓峰</w:t>
            </w:r>
          </w:p>
        </w:tc>
        <w:tc>
          <w:tcPr>
            <w:tcW w:w="2500" w:type="pct"/>
            <w:vAlign w:val="center"/>
          </w:tcPr>
          <w:p w14:paraId="3F67DE62"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董事兼总经理</w:t>
            </w:r>
          </w:p>
        </w:tc>
      </w:tr>
      <w:tr w:rsidR="00C02929" w14:paraId="2D82AF34" w14:textId="77777777">
        <w:trPr>
          <w:cantSplit/>
          <w:trHeight w:val="397"/>
          <w:jc w:val="center"/>
        </w:trPr>
        <w:tc>
          <w:tcPr>
            <w:tcW w:w="2500" w:type="pct"/>
            <w:vAlign w:val="center"/>
          </w:tcPr>
          <w:p w14:paraId="24B3EA8B"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徐炳雷</w:t>
            </w:r>
          </w:p>
        </w:tc>
        <w:tc>
          <w:tcPr>
            <w:tcW w:w="2500" w:type="pct"/>
            <w:vAlign w:val="center"/>
          </w:tcPr>
          <w:p w14:paraId="253997D6"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sz w:val="21"/>
                <w:szCs w:val="21"/>
              </w:rPr>
              <w:t>监事、采购部长</w:t>
            </w:r>
          </w:p>
        </w:tc>
      </w:tr>
      <w:tr w:rsidR="00C02929" w14:paraId="08ACC540" w14:textId="77777777">
        <w:trPr>
          <w:cantSplit/>
          <w:trHeight w:val="397"/>
          <w:jc w:val="center"/>
        </w:trPr>
        <w:tc>
          <w:tcPr>
            <w:tcW w:w="2500" w:type="pct"/>
            <w:vAlign w:val="center"/>
          </w:tcPr>
          <w:p w14:paraId="09883C27"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阳伦胜</w:t>
            </w:r>
          </w:p>
        </w:tc>
        <w:tc>
          <w:tcPr>
            <w:tcW w:w="2500" w:type="pct"/>
            <w:vAlign w:val="center"/>
          </w:tcPr>
          <w:p w14:paraId="4A786AFA"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sz w:val="21"/>
                <w:szCs w:val="21"/>
              </w:rPr>
              <w:t>技术部机械工程师</w:t>
            </w:r>
          </w:p>
        </w:tc>
      </w:tr>
      <w:tr w:rsidR="00C02929" w14:paraId="45104C9B" w14:textId="77777777">
        <w:trPr>
          <w:cantSplit/>
          <w:trHeight w:val="397"/>
          <w:jc w:val="center"/>
        </w:trPr>
        <w:tc>
          <w:tcPr>
            <w:tcW w:w="2500" w:type="pct"/>
            <w:vAlign w:val="center"/>
          </w:tcPr>
          <w:p w14:paraId="6717E637"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color w:val="000000"/>
                <w:sz w:val="21"/>
                <w:szCs w:val="21"/>
              </w:rPr>
              <w:t>英入才</w:t>
            </w:r>
          </w:p>
        </w:tc>
        <w:tc>
          <w:tcPr>
            <w:tcW w:w="2500" w:type="pct"/>
            <w:vAlign w:val="center"/>
          </w:tcPr>
          <w:p w14:paraId="1AE7AE24" w14:textId="77777777" w:rsidR="00C02929" w:rsidRDefault="006116D1">
            <w:pPr>
              <w:jc w:val="center"/>
              <w:rPr>
                <w:rFonts w:ascii="Times New Roman" w:hAnsi="Times New Roman" w:cs="Times New Roman"/>
                <w:bCs/>
                <w:color w:val="000000"/>
                <w:sz w:val="21"/>
                <w:szCs w:val="21"/>
              </w:rPr>
            </w:pPr>
            <w:r>
              <w:rPr>
                <w:rFonts w:ascii="Times New Roman" w:hAnsi="Times New Roman" w:cs="Times New Roman" w:hint="eastAsia"/>
                <w:bCs/>
                <w:sz w:val="21"/>
                <w:szCs w:val="21"/>
              </w:rPr>
              <w:t>装配调试部电工组长</w:t>
            </w:r>
          </w:p>
        </w:tc>
      </w:tr>
    </w:tbl>
    <w:p w14:paraId="1D57B29F"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二、核心管理团队成员的在外兼职、投资情况及原因</w:t>
      </w:r>
    </w:p>
    <w:p w14:paraId="486C4F35" w14:textId="779016F1" w:rsidR="00C02929" w:rsidRDefault="00DA6417">
      <w:pPr>
        <w:spacing w:beforeLines="50" w:before="156" w:line="360" w:lineRule="auto"/>
        <w:ind w:firstLineChars="200" w:firstLine="480"/>
        <w:jc w:val="both"/>
        <w:rPr>
          <w:rFonts w:ascii="Times New Roman" w:hAnsi="Times New Roman" w:cs="Times New Roman"/>
          <w:bCs/>
          <w:color w:val="000000"/>
        </w:rPr>
      </w:pPr>
      <w:bookmarkStart w:id="43" w:name="_Hlk69372363"/>
      <w:r>
        <w:rPr>
          <w:rFonts w:ascii="Times New Roman" w:hAnsi="Times New Roman" w:cs="Times New Roman" w:hint="eastAsia"/>
          <w:bCs/>
          <w:color w:val="000000"/>
          <w:szCs w:val="21"/>
        </w:rPr>
        <w:t>标的公司核心管理团队成员中，</w:t>
      </w:r>
      <w:r>
        <w:rPr>
          <w:rFonts w:ascii="Times New Roman" w:hAnsi="Times New Roman" w:hint="eastAsia"/>
          <w:bCs/>
          <w:color w:val="000000"/>
        </w:rPr>
        <w:t>黄晓峰持有</w:t>
      </w:r>
      <w:r w:rsidRPr="00780ABF">
        <w:rPr>
          <w:rFonts w:ascii="Times New Roman" w:hAnsi="Times New Roman" w:hint="eastAsia"/>
          <w:bCs/>
          <w:color w:val="000000"/>
        </w:rPr>
        <w:t>青岛威华塑雅高分子材料销售有限公司</w:t>
      </w:r>
      <w:r w:rsidRPr="00780ABF">
        <w:rPr>
          <w:rFonts w:ascii="Times New Roman" w:hAnsi="Times New Roman"/>
          <w:bCs/>
          <w:color w:val="000000"/>
        </w:rPr>
        <w:t>23%</w:t>
      </w:r>
      <w:r w:rsidRPr="00780ABF">
        <w:rPr>
          <w:rFonts w:ascii="Times New Roman" w:hAnsi="Times New Roman" w:hint="eastAsia"/>
          <w:bCs/>
          <w:color w:val="000000"/>
        </w:rPr>
        <w:t>股权并担任董事兼法定代表人，</w:t>
      </w:r>
      <w:r w:rsidR="006116D1">
        <w:rPr>
          <w:rFonts w:ascii="Times New Roman" w:hAnsi="Times New Roman" w:cs="Times New Roman" w:hint="eastAsia"/>
          <w:bCs/>
          <w:color w:val="000000"/>
        </w:rPr>
        <w:t>徐炳雷持有青岛隆千胜商贸有限公司</w:t>
      </w:r>
      <w:r w:rsidR="006116D1">
        <w:rPr>
          <w:rFonts w:ascii="Times New Roman" w:hAnsi="Times New Roman" w:cs="Times New Roman" w:hint="eastAsia"/>
          <w:bCs/>
          <w:color w:val="000000"/>
        </w:rPr>
        <w:t>50%</w:t>
      </w:r>
      <w:r w:rsidR="006116D1">
        <w:rPr>
          <w:rFonts w:ascii="Times New Roman" w:hAnsi="Times New Roman" w:cs="Times New Roman" w:hint="eastAsia"/>
          <w:bCs/>
          <w:color w:val="000000"/>
        </w:rPr>
        <w:t>股权</w:t>
      </w:r>
      <w:bookmarkStart w:id="44" w:name="_Hlk69372440"/>
      <w:r w:rsidR="006116D1">
        <w:rPr>
          <w:rFonts w:ascii="Times New Roman" w:hAnsi="Times New Roman" w:cs="Times New Roman" w:hint="eastAsia"/>
          <w:bCs/>
          <w:color w:val="000000"/>
        </w:rPr>
        <w:t>并担任执行董事兼总经理、法定代表人</w:t>
      </w:r>
      <w:bookmarkEnd w:id="44"/>
      <w:r w:rsidR="006116D1">
        <w:rPr>
          <w:rFonts w:ascii="Times New Roman" w:hAnsi="Times New Roman" w:cs="Times New Roman" w:hint="eastAsia"/>
          <w:bCs/>
          <w:color w:val="000000"/>
        </w:rPr>
        <w:t>外，其他核心管理成员不存在在外兼职、投资的情况。</w:t>
      </w:r>
    </w:p>
    <w:p w14:paraId="093332EC" w14:textId="77777777" w:rsidR="00DA6417" w:rsidRPr="00701684" w:rsidRDefault="00DA6417" w:rsidP="00DA6417">
      <w:pPr>
        <w:adjustRightInd w:val="0"/>
        <w:snapToGrid w:val="0"/>
        <w:spacing w:beforeLines="50" w:before="156" w:after="50" w:line="360" w:lineRule="auto"/>
        <w:ind w:firstLineChars="200" w:firstLine="480"/>
        <w:rPr>
          <w:rFonts w:ascii="Times New Roman" w:hAnsi="Times New Roman"/>
          <w:bCs/>
          <w:color w:val="000000"/>
        </w:rPr>
      </w:pPr>
      <w:bookmarkStart w:id="45" w:name="_Hlk69372452"/>
      <w:r>
        <w:rPr>
          <w:rFonts w:ascii="Times New Roman" w:hAnsi="Times New Roman" w:hint="eastAsia"/>
          <w:bCs/>
          <w:color w:val="000000"/>
        </w:rPr>
        <w:t>其中，</w:t>
      </w: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为黄晓峰于</w:t>
      </w:r>
      <w:r>
        <w:rPr>
          <w:rFonts w:ascii="Times New Roman" w:hAnsi="Times New Roman" w:hint="eastAsia"/>
          <w:bCs/>
          <w:color w:val="000000"/>
        </w:rPr>
        <w:t>2</w:t>
      </w:r>
      <w:r>
        <w:rPr>
          <w:rFonts w:ascii="Times New Roman" w:hAnsi="Times New Roman"/>
          <w:bCs/>
          <w:color w:val="000000"/>
        </w:rPr>
        <w:t>003</w:t>
      </w:r>
      <w:r>
        <w:rPr>
          <w:rFonts w:ascii="Times New Roman" w:hAnsi="Times New Roman" w:hint="eastAsia"/>
          <w:bCs/>
          <w:color w:val="000000"/>
        </w:rPr>
        <w:t>年</w:t>
      </w:r>
      <w:r>
        <w:rPr>
          <w:rFonts w:ascii="Times New Roman" w:hAnsi="Times New Roman" w:hint="eastAsia"/>
          <w:bCs/>
          <w:color w:val="000000"/>
        </w:rPr>
        <w:t>7</w:t>
      </w:r>
      <w:r>
        <w:rPr>
          <w:rFonts w:ascii="Times New Roman" w:hAnsi="Times New Roman" w:hint="eastAsia"/>
          <w:bCs/>
          <w:color w:val="000000"/>
        </w:rPr>
        <w:t>月参与设立的有限责任公司，该公司已于</w:t>
      </w:r>
      <w:r>
        <w:rPr>
          <w:rFonts w:ascii="Times New Roman" w:hAnsi="Times New Roman" w:hint="eastAsia"/>
          <w:bCs/>
          <w:color w:val="000000"/>
        </w:rPr>
        <w:t>2</w:t>
      </w:r>
      <w:r>
        <w:rPr>
          <w:rFonts w:ascii="Times New Roman" w:hAnsi="Times New Roman"/>
          <w:bCs/>
          <w:color w:val="000000"/>
        </w:rPr>
        <w:t>006</w:t>
      </w:r>
      <w:r>
        <w:rPr>
          <w:rFonts w:ascii="Times New Roman" w:hAnsi="Times New Roman" w:hint="eastAsia"/>
          <w:bCs/>
          <w:color w:val="000000"/>
        </w:rPr>
        <w:t>年</w:t>
      </w:r>
      <w:r>
        <w:rPr>
          <w:rFonts w:ascii="Times New Roman" w:hAnsi="Times New Roman" w:hint="eastAsia"/>
          <w:bCs/>
          <w:color w:val="000000"/>
        </w:rPr>
        <w:t>8</w:t>
      </w:r>
      <w:r>
        <w:rPr>
          <w:rFonts w:ascii="Times New Roman" w:hAnsi="Times New Roman" w:hint="eastAsia"/>
          <w:bCs/>
          <w:color w:val="000000"/>
        </w:rPr>
        <w:t>月被吊销，目前无实际经营业务。</w:t>
      </w:r>
    </w:p>
    <w:p w14:paraId="7E278F19" w14:textId="11DE3974"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青岛隆千胜商贸有限公司为徐炳雷于</w:t>
      </w:r>
      <w:r>
        <w:rPr>
          <w:rFonts w:ascii="Times New Roman" w:hAnsi="Times New Roman" w:cs="Times New Roman"/>
          <w:bCs/>
          <w:color w:val="000000"/>
        </w:rPr>
        <w:t>2015</w:t>
      </w:r>
      <w:r>
        <w:rPr>
          <w:rFonts w:ascii="Times New Roman" w:hAnsi="Times New Roman" w:cs="Times New Roman"/>
          <w:bCs/>
          <w:color w:val="000000"/>
        </w:rPr>
        <w:t>年</w:t>
      </w:r>
      <w:r>
        <w:rPr>
          <w:rFonts w:ascii="Times New Roman" w:hAnsi="Times New Roman" w:cs="Times New Roman"/>
          <w:bCs/>
          <w:color w:val="000000"/>
        </w:rPr>
        <w:t>6</w:t>
      </w:r>
      <w:r>
        <w:rPr>
          <w:rFonts w:ascii="Times New Roman" w:hAnsi="Times New Roman" w:cs="Times New Roman"/>
          <w:bCs/>
          <w:color w:val="000000"/>
        </w:rPr>
        <w:t>月与妹妹徐桂香、朋友何西欢共同设立的有限责任公司，其中徐炳雷持股比例为</w:t>
      </w:r>
      <w:r>
        <w:rPr>
          <w:rFonts w:ascii="Times New Roman" w:hAnsi="Times New Roman" w:cs="Times New Roman"/>
          <w:bCs/>
          <w:color w:val="000000"/>
        </w:rPr>
        <w:t>50%</w:t>
      </w:r>
      <w:r>
        <w:rPr>
          <w:rFonts w:ascii="Times New Roman" w:hAnsi="Times New Roman" w:cs="Times New Roman"/>
          <w:bCs/>
          <w:color w:val="000000"/>
        </w:rPr>
        <w:t>，并担任执行董事、总经理兼法定代表人。徐炳雷</w:t>
      </w:r>
      <w:r>
        <w:rPr>
          <w:rFonts w:ascii="Times New Roman" w:hAnsi="Times New Roman" w:cs="Times New Roman"/>
          <w:bCs/>
          <w:color w:val="000000"/>
        </w:rPr>
        <w:t>2015</w:t>
      </w:r>
      <w:r>
        <w:rPr>
          <w:rFonts w:ascii="Times New Roman" w:hAnsi="Times New Roman" w:cs="Times New Roman"/>
          <w:bCs/>
          <w:color w:val="000000"/>
        </w:rPr>
        <w:t>年</w:t>
      </w:r>
      <w:r>
        <w:rPr>
          <w:rFonts w:ascii="Times New Roman" w:hAnsi="Times New Roman" w:cs="Times New Roman"/>
          <w:bCs/>
          <w:color w:val="000000"/>
        </w:rPr>
        <w:t>4</w:t>
      </w:r>
      <w:r>
        <w:rPr>
          <w:rFonts w:ascii="Times New Roman" w:hAnsi="Times New Roman" w:cs="Times New Roman"/>
          <w:bCs/>
          <w:color w:val="000000"/>
        </w:rPr>
        <w:t>月自原单位离职后设立该公司，拟开展家电产品的代理销售业务，因业务开展未达预期，徐炳雷于</w:t>
      </w:r>
      <w:r>
        <w:rPr>
          <w:rFonts w:ascii="Times New Roman" w:hAnsi="Times New Roman" w:cs="Times New Roman"/>
          <w:bCs/>
          <w:color w:val="000000"/>
        </w:rPr>
        <w:t>2015</w:t>
      </w:r>
      <w:r>
        <w:rPr>
          <w:rFonts w:ascii="Times New Roman" w:hAnsi="Times New Roman" w:cs="Times New Roman"/>
          <w:bCs/>
          <w:color w:val="000000"/>
        </w:rPr>
        <w:t>年</w:t>
      </w:r>
      <w:r>
        <w:rPr>
          <w:rFonts w:ascii="Times New Roman" w:hAnsi="Times New Roman" w:cs="Times New Roman"/>
          <w:bCs/>
          <w:color w:val="000000"/>
        </w:rPr>
        <w:t>8</w:t>
      </w:r>
      <w:r>
        <w:rPr>
          <w:rFonts w:ascii="Times New Roman" w:hAnsi="Times New Roman" w:cs="Times New Roman"/>
          <w:bCs/>
          <w:color w:val="000000"/>
        </w:rPr>
        <w:t>月加入标的</w:t>
      </w:r>
      <w:r>
        <w:rPr>
          <w:rFonts w:ascii="Times New Roman" w:hAnsi="Times New Roman" w:cs="Times New Roman"/>
          <w:bCs/>
          <w:color w:val="000000"/>
        </w:rPr>
        <w:lastRenderedPageBreak/>
        <w:t>公司，历任销售经理、综管部长、采购部长等职务。自徐炳雷加入北洋天青任职后，青岛隆千胜商贸有限公司逐渐停止经营，目前无实际经营业务。</w:t>
      </w:r>
      <w:bookmarkEnd w:id="43"/>
      <w:bookmarkEnd w:id="45"/>
    </w:p>
    <w:p w14:paraId="4EA9B308"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三、兼职或投资行为是否违反相关法律法规及公司规章制度、是否影响其勤勉尽责履职，兼职或投资单位与标的资产有无关联关系或经营同类业务</w:t>
      </w:r>
    </w:p>
    <w:p w14:paraId="4344DA70" w14:textId="77777777" w:rsidR="00DA6417" w:rsidRPr="00701684" w:rsidRDefault="00DA6417" w:rsidP="00DA6417">
      <w:pPr>
        <w:adjustRightInd w:val="0"/>
        <w:snapToGrid w:val="0"/>
        <w:spacing w:beforeLines="50" w:before="156" w:after="50" w:line="360" w:lineRule="auto"/>
        <w:ind w:firstLineChars="200" w:firstLine="480"/>
        <w:rPr>
          <w:rFonts w:ascii="Times New Roman" w:hAnsi="Times New Roman"/>
          <w:bCs/>
          <w:color w:val="000000"/>
        </w:rPr>
      </w:pPr>
      <w:r w:rsidRPr="00701684">
        <w:rPr>
          <w:rFonts w:ascii="Times New Roman" w:hAnsi="Times New Roman" w:hint="eastAsia"/>
          <w:bCs/>
          <w:color w:val="000000"/>
        </w:rPr>
        <w:t>青岛隆千胜商贸有限公司系标的公司监事徐炳雷控制并担任董事、高级管理人员的企业，</w:t>
      </w: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为标的公司总经理黄晓峰于</w:t>
      </w:r>
      <w:r>
        <w:rPr>
          <w:rFonts w:ascii="Times New Roman" w:hAnsi="Times New Roman" w:hint="eastAsia"/>
          <w:bCs/>
          <w:color w:val="000000"/>
        </w:rPr>
        <w:t>2</w:t>
      </w:r>
      <w:r>
        <w:rPr>
          <w:rFonts w:ascii="Times New Roman" w:hAnsi="Times New Roman"/>
          <w:bCs/>
          <w:color w:val="000000"/>
        </w:rPr>
        <w:t>003</w:t>
      </w:r>
      <w:r>
        <w:rPr>
          <w:rFonts w:ascii="Times New Roman" w:hAnsi="Times New Roman" w:hint="eastAsia"/>
          <w:bCs/>
          <w:color w:val="000000"/>
        </w:rPr>
        <w:t>年</w:t>
      </w:r>
      <w:r>
        <w:rPr>
          <w:rFonts w:ascii="Times New Roman" w:hAnsi="Times New Roman" w:hint="eastAsia"/>
          <w:bCs/>
          <w:color w:val="000000"/>
        </w:rPr>
        <w:t>7</w:t>
      </w:r>
      <w:r>
        <w:rPr>
          <w:rFonts w:ascii="Times New Roman" w:hAnsi="Times New Roman" w:hint="eastAsia"/>
          <w:bCs/>
          <w:color w:val="000000"/>
        </w:rPr>
        <w:t>月参与设立并担任</w:t>
      </w:r>
      <w:r w:rsidRPr="00A64260">
        <w:rPr>
          <w:rFonts w:ascii="Times New Roman" w:hAnsi="Times New Roman" w:hint="eastAsia"/>
          <w:bCs/>
          <w:color w:val="000000"/>
        </w:rPr>
        <w:t>董事兼法定代表人</w:t>
      </w:r>
      <w:r>
        <w:rPr>
          <w:rFonts w:ascii="Times New Roman" w:hAnsi="Times New Roman" w:hint="eastAsia"/>
          <w:bCs/>
          <w:color w:val="000000"/>
        </w:rPr>
        <w:t>的企业，</w:t>
      </w:r>
      <w:r w:rsidRPr="00701684">
        <w:rPr>
          <w:rFonts w:ascii="Times New Roman" w:hAnsi="Times New Roman" w:hint="eastAsia"/>
          <w:bCs/>
          <w:color w:val="000000"/>
        </w:rPr>
        <w:t>与标的公司存在关联关系。</w:t>
      </w:r>
    </w:p>
    <w:p w14:paraId="21EB6FF8" w14:textId="437CD8B9" w:rsidR="00C02929" w:rsidRDefault="00DA6417" w:rsidP="00DA6417">
      <w:pPr>
        <w:spacing w:beforeLines="50" w:before="156" w:line="360" w:lineRule="auto"/>
        <w:ind w:firstLineChars="200" w:firstLine="480"/>
        <w:jc w:val="both"/>
        <w:rPr>
          <w:rFonts w:ascii="Times New Roman" w:hAnsi="Times New Roman" w:cs="Times New Roman"/>
          <w:bCs/>
          <w:color w:val="000000"/>
        </w:rPr>
      </w:pP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已于</w:t>
      </w:r>
      <w:r>
        <w:rPr>
          <w:rFonts w:ascii="Times New Roman" w:hAnsi="Times New Roman" w:hint="eastAsia"/>
          <w:bCs/>
          <w:color w:val="000000"/>
        </w:rPr>
        <w:t>2</w:t>
      </w:r>
      <w:r>
        <w:rPr>
          <w:rFonts w:ascii="Times New Roman" w:hAnsi="Times New Roman"/>
          <w:bCs/>
          <w:color w:val="000000"/>
        </w:rPr>
        <w:t>006</w:t>
      </w:r>
      <w:r>
        <w:rPr>
          <w:rFonts w:ascii="Times New Roman" w:hAnsi="Times New Roman" w:hint="eastAsia"/>
          <w:bCs/>
          <w:color w:val="000000"/>
        </w:rPr>
        <w:t>年被吊销营业执照，</w:t>
      </w:r>
      <w:r w:rsidRPr="00701684">
        <w:rPr>
          <w:rFonts w:ascii="Times New Roman" w:hAnsi="Times New Roman" w:hint="eastAsia"/>
          <w:bCs/>
          <w:color w:val="000000"/>
        </w:rPr>
        <w:t>青岛隆千胜商贸有限公司设立时主营业务为电器销售，目前已无实际经营业务，与标的资产</w:t>
      </w:r>
      <w:r>
        <w:rPr>
          <w:rFonts w:ascii="Times New Roman" w:hAnsi="Times New Roman" w:hint="eastAsia"/>
          <w:bCs/>
          <w:color w:val="000000"/>
        </w:rPr>
        <w:t>均</w:t>
      </w:r>
      <w:r w:rsidRPr="00701684">
        <w:rPr>
          <w:rFonts w:ascii="Times New Roman" w:hAnsi="Times New Roman" w:hint="eastAsia"/>
          <w:bCs/>
          <w:color w:val="000000"/>
        </w:rPr>
        <w:t>不存在经营相同或类似业务的情况。</w:t>
      </w:r>
      <w:r>
        <w:rPr>
          <w:rFonts w:ascii="Times New Roman" w:hAnsi="Times New Roman" w:hint="eastAsia"/>
          <w:bCs/>
          <w:color w:val="000000"/>
        </w:rPr>
        <w:t>黄晓峰在</w:t>
      </w:r>
      <w:r w:rsidRPr="00D35146">
        <w:rPr>
          <w:rFonts w:ascii="Times New Roman" w:hAnsi="Times New Roman" w:hint="eastAsia"/>
          <w:bCs/>
          <w:color w:val="000000"/>
        </w:rPr>
        <w:t>青岛威华塑雅高分子材料销售有限公司</w:t>
      </w:r>
      <w:r>
        <w:rPr>
          <w:rFonts w:ascii="Times New Roman" w:hAnsi="Times New Roman" w:hint="eastAsia"/>
          <w:bCs/>
          <w:color w:val="000000"/>
        </w:rPr>
        <w:t>的投资和任职、</w:t>
      </w:r>
      <w:r w:rsidRPr="00701684">
        <w:rPr>
          <w:rFonts w:ascii="Times New Roman" w:hAnsi="Times New Roman" w:hint="eastAsia"/>
          <w:bCs/>
          <w:color w:val="000000"/>
        </w:rPr>
        <w:t>徐炳雷</w:t>
      </w:r>
      <w:r>
        <w:rPr>
          <w:rFonts w:ascii="Times New Roman" w:hAnsi="Times New Roman" w:hint="eastAsia"/>
          <w:bCs/>
          <w:color w:val="000000"/>
        </w:rPr>
        <w:t>在</w:t>
      </w:r>
      <w:r w:rsidRPr="00701684">
        <w:rPr>
          <w:rFonts w:ascii="Times New Roman" w:hAnsi="Times New Roman" w:hint="eastAsia"/>
          <w:bCs/>
          <w:color w:val="000000"/>
        </w:rPr>
        <w:t>青岛隆千胜商贸有限公司</w:t>
      </w:r>
      <w:r>
        <w:rPr>
          <w:rFonts w:ascii="Times New Roman" w:hAnsi="Times New Roman" w:hint="eastAsia"/>
          <w:bCs/>
          <w:color w:val="000000"/>
        </w:rPr>
        <w:t>的投资和</w:t>
      </w:r>
      <w:r w:rsidRPr="00701684">
        <w:rPr>
          <w:rFonts w:ascii="Times New Roman" w:hAnsi="Times New Roman" w:hint="eastAsia"/>
          <w:bCs/>
          <w:color w:val="000000"/>
        </w:rPr>
        <w:t>任职</w:t>
      </w:r>
      <w:r>
        <w:rPr>
          <w:rFonts w:ascii="Times New Roman" w:hAnsi="Times New Roman" w:hint="eastAsia"/>
          <w:bCs/>
          <w:color w:val="000000"/>
        </w:rPr>
        <w:t>均</w:t>
      </w:r>
      <w:r w:rsidRPr="00701684">
        <w:rPr>
          <w:rFonts w:ascii="Times New Roman" w:hAnsi="Times New Roman" w:hint="eastAsia"/>
          <w:bCs/>
          <w:color w:val="000000"/>
        </w:rPr>
        <w:t>不影响其在标的公司的勤勉尽责履职，不存在违反相关法律法规及公司规章制度的情形。</w:t>
      </w:r>
    </w:p>
    <w:p w14:paraId="60334AF1"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）补充披露交易完成后强化标的资产内部治理的具体措施</w:t>
      </w:r>
    </w:p>
    <w:p w14:paraId="60A11305"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bookmarkStart w:id="46" w:name="_Hlk69372575"/>
      <w:r>
        <w:rPr>
          <w:rFonts w:ascii="Times New Roman" w:hAnsi="Times New Roman" w:cs="Times New Roman" w:hint="eastAsia"/>
          <w:bCs/>
          <w:color w:val="000000"/>
        </w:rPr>
        <w:t>本次交易完成后，标的公司将成为上市公司控股子公司，上市公司将作为控股股东实现对标的公司的控制。标的公司应按照国资监管及上市公司的要求，规范公司治理，建立完善内部控制体系，遵守上市公司各项制度，并接受和配合上市公司关于子公司的管理及信息报告披露等要求。</w:t>
      </w:r>
    </w:p>
    <w:p w14:paraId="1E6385D4"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在对标的公司的管控方面，本次交易标的股份交割后，标的公司将纳入上市公司统一内控体系中，上市公司将积极履行股东权利，修订标的公司的公司章程，明确股东大会、董事会、管理层的决策权限，提名并聘任标的公司</w:t>
      </w:r>
      <w:r>
        <w:rPr>
          <w:rFonts w:ascii="Times New Roman" w:hAnsi="Times New Roman" w:cs="Times New Roman"/>
          <w:bCs/>
          <w:color w:val="000000"/>
        </w:rPr>
        <w:t>4</w:t>
      </w:r>
      <w:r>
        <w:rPr>
          <w:rFonts w:ascii="Times New Roman" w:hAnsi="Times New Roman" w:cs="Times New Roman" w:hint="eastAsia"/>
          <w:bCs/>
          <w:color w:val="000000"/>
        </w:rPr>
        <w:t>名董事，同时向标的公司委派一名副总经理及一名财务总监参与经营管理，在给予标的公司管理层一定自主经营权限的基础上，实现对标的公司的控制。</w:t>
      </w:r>
    </w:p>
    <w:p w14:paraId="6B11D5C7"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在重大经营、投资筹资决策、对外担保、关联交易及其他重大决策事项，标的公司均将按照上市公司内部管理制度的相关规定履行相关审议批准程序，标的</w:t>
      </w:r>
      <w:r>
        <w:rPr>
          <w:rFonts w:ascii="Times New Roman" w:hAnsi="Times New Roman" w:cs="Times New Roman" w:hint="eastAsia"/>
          <w:bCs/>
          <w:color w:val="000000"/>
        </w:rPr>
        <w:lastRenderedPageBreak/>
        <w:t>公司应根据上市公司内控控制体系，建立或完善战略、人力资源、财务、运营、法务、审计、信息披露等内控制度，确保符合国资监管及上市公司管理要求。</w:t>
      </w:r>
    </w:p>
    <w:p w14:paraId="2643233D"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上市公司将对标的公司业务合规开展进行充分监督，要求标的公司管理团队成员承诺确保标的公司及其下属子公司依法合规使用资金，日常经营应符合国家法律法规、中国证监会规章、上海证券交易所上市规则和上市公司规范运作指引、公司章程及其他内部治理文件的相关规定和要求。</w:t>
      </w:r>
    </w:p>
    <w:p w14:paraId="78AB9D05"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在对标的公司管理方面，在不违反相关法律法规、规范性文件、中国证监会和上海证券交易所相关规定和公司章程及其他治理文件的强制性规定的前提下，上市公司将充分支持和保证标的公司的经营独立性和经营管理团队的决策自主权，积极保持标的公司原有经营管理团队的稳定性，以充分发挥标的公司原有管理团队和股东的主动性，更好的完成本次交易的业绩承诺指标，以维护上市公司和中小股东的利益。</w:t>
      </w:r>
      <w:bookmarkEnd w:id="46"/>
    </w:p>
    <w:p w14:paraId="6AB3BC0E" w14:textId="79E82090" w:rsidR="00C02929" w:rsidRPr="00403479" w:rsidRDefault="00403479" w:rsidP="00403479">
      <w:pPr>
        <w:spacing w:beforeLines="50" w:before="156" w:line="360" w:lineRule="auto"/>
        <w:ind w:firstLineChars="200" w:firstLine="482"/>
        <w:jc w:val="both"/>
        <w:outlineLvl w:val="1"/>
        <w:rPr>
          <w:rFonts w:ascii="Times New Roman" w:eastAsia="黑体" w:hAnsi="Times New Roman" w:cs="Times New Roman"/>
          <w:b/>
          <w:color w:val="000000"/>
          <w:szCs w:val="21"/>
        </w:rPr>
      </w:pPr>
      <w:r w:rsidRPr="00403479">
        <w:rPr>
          <w:rFonts w:ascii="Times New Roman" w:eastAsia="黑体" w:hAnsi="Times New Roman" w:cs="Times New Roman"/>
          <w:b/>
          <w:color w:val="000000"/>
          <w:szCs w:val="21"/>
        </w:rPr>
        <w:t>4</w:t>
      </w:r>
      <w:r w:rsidRPr="00403479">
        <w:rPr>
          <w:rFonts w:ascii="Times New Roman" w:eastAsia="黑体" w:hAnsi="Times New Roman" w:cs="Times New Roman" w:hint="eastAsia"/>
          <w:b/>
          <w:color w:val="000000"/>
          <w:szCs w:val="21"/>
        </w:rPr>
        <w:t>）</w:t>
      </w:r>
      <w:r w:rsidR="006116D1" w:rsidRPr="00403479">
        <w:rPr>
          <w:rFonts w:ascii="Times New Roman" w:eastAsia="黑体" w:hAnsi="Times New Roman" w:cs="Times New Roman" w:hint="eastAsia"/>
          <w:b/>
          <w:color w:val="000000"/>
          <w:szCs w:val="21"/>
        </w:rPr>
        <w:t>补充披露情况</w:t>
      </w:r>
    </w:p>
    <w:p w14:paraId="6ABAA86B" w14:textId="77777777" w:rsidR="00403479" w:rsidRDefault="00403479" w:rsidP="00403479">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“标的</w:t>
      </w:r>
      <w:r w:rsidRPr="008F375B">
        <w:rPr>
          <w:rFonts w:ascii="Times New Roman" w:hAnsi="Times New Roman" w:cs="Times New Roman" w:hint="eastAsia"/>
          <w:bCs/>
          <w:color w:val="000000"/>
        </w:rPr>
        <w:t>资产是否具备健全有效的法人治理结构</w:t>
      </w:r>
      <w:r>
        <w:rPr>
          <w:rFonts w:ascii="Times New Roman" w:hAnsi="Times New Roman" w:cs="Times New Roman" w:hint="eastAsia"/>
          <w:bCs/>
          <w:color w:val="000000"/>
        </w:rPr>
        <w:t>”、“</w:t>
      </w:r>
      <w:r w:rsidRPr="008F375B">
        <w:rPr>
          <w:rFonts w:ascii="Times New Roman" w:hAnsi="Times New Roman" w:cs="Times New Roman" w:hint="eastAsia"/>
          <w:bCs/>
          <w:color w:val="000000"/>
        </w:rPr>
        <w:t>报告期内核心管理团队成员的姓名、职务和在外兼职、投资情况及原因，兼职或投资行为是否违反相关法律法规及公司规章制度、是否影响其勤勉尽责履职，兼职或投资单位与标的资产有无关联关系或经营同类业务</w:t>
      </w:r>
      <w:r>
        <w:rPr>
          <w:rFonts w:ascii="Times New Roman" w:hAnsi="Times New Roman" w:cs="Times New Roman" w:hint="eastAsia"/>
          <w:bCs/>
          <w:color w:val="000000"/>
        </w:rPr>
        <w:t>”及“交易完成后强化标的资产内部治理的具体措施”情况已在“第十三节</w:t>
      </w:r>
      <w:r>
        <w:rPr>
          <w:rFonts w:ascii="Times New Roman" w:hAnsi="Times New Roman" w:cs="Times New Roman"/>
          <w:bCs/>
          <w:color w:val="000000"/>
        </w:rPr>
        <w:t xml:space="preserve"> </w:t>
      </w:r>
      <w:r>
        <w:rPr>
          <w:rFonts w:ascii="Times New Roman" w:hAnsi="Times New Roman" w:cs="Times New Roman" w:hint="eastAsia"/>
          <w:bCs/>
          <w:color w:val="000000"/>
        </w:rPr>
        <w:t>其他重要事项”之“四、本次交易对上市公司治理机制的影响”之“（二）本次交易完成后公司治理结构的完善措施”补充披露。</w:t>
      </w:r>
    </w:p>
    <w:p w14:paraId="66914374" w14:textId="147F16C0" w:rsidR="00C02929" w:rsidRPr="00403479" w:rsidRDefault="00403479" w:rsidP="00403479">
      <w:pPr>
        <w:spacing w:beforeLines="50" w:before="156" w:line="360" w:lineRule="auto"/>
        <w:ind w:firstLineChars="200" w:firstLine="482"/>
        <w:jc w:val="both"/>
        <w:outlineLvl w:val="1"/>
        <w:rPr>
          <w:rFonts w:ascii="Times New Roman" w:eastAsia="黑体" w:hAnsi="Times New Roman" w:cs="Times New Roman"/>
          <w:b/>
          <w:color w:val="000000"/>
          <w:szCs w:val="21"/>
        </w:rPr>
      </w:pPr>
      <w:r w:rsidRPr="00403479">
        <w:rPr>
          <w:rFonts w:ascii="Times New Roman" w:eastAsia="黑体" w:hAnsi="Times New Roman" w:cs="Times New Roman" w:hint="eastAsia"/>
          <w:b/>
          <w:color w:val="000000"/>
          <w:szCs w:val="21"/>
        </w:rPr>
        <w:t>5</w:t>
      </w:r>
      <w:r w:rsidRPr="00403479">
        <w:rPr>
          <w:rFonts w:ascii="Times New Roman" w:eastAsia="黑体" w:hAnsi="Times New Roman" w:cs="Times New Roman" w:hint="eastAsia"/>
          <w:b/>
          <w:color w:val="000000"/>
          <w:szCs w:val="21"/>
        </w:rPr>
        <w:t>）</w:t>
      </w:r>
      <w:r w:rsidR="006116D1" w:rsidRPr="00403479">
        <w:rPr>
          <w:rFonts w:ascii="Times New Roman" w:eastAsia="黑体" w:hAnsi="Times New Roman" w:cs="Times New Roman" w:hint="eastAsia"/>
          <w:b/>
          <w:color w:val="000000"/>
          <w:szCs w:val="21"/>
        </w:rPr>
        <w:t>独立财务顾问核查意见</w:t>
      </w:r>
    </w:p>
    <w:p w14:paraId="6DD5B166" w14:textId="48578659" w:rsidR="00C02929" w:rsidRDefault="006116D1">
      <w:pPr>
        <w:spacing w:beforeLines="50" w:before="156" w:line="360" w:lineRule="auto"/>
        <w:ind w:firstLineChars="200" w:firstLine="480"/>
        <w:jc w:val="both"/>
        <w:rPr>
          <w:rFonts w:ascii="Times New Roman" w:hAnsi="Times New Roman" w:cs="Times New Roman"/>
          <w:color w:val="000000"/>
          <w:szCs w:val="21"/>
        </w:rPr>
      </w:pPr>
      <w:r>
        <w:rPr>
          <w:rFonts w:ascii="Times New Roman" w:hAnsi="Times New Roman" w:cs="Times New Roman" w:hint="eastAsia"/>
          <w:bCs/>
          <w:color w:val="000000"/>
        </w:rPr>
        <w:t>经核查，独立财务顾问认为：核心管理团队的任职及投资行为不影响其在标的公司的勤勉尽责履职，不存在违反相关法律法规及公司规章制度的情形。标的公司已按照法律法规建立了股东大会、董事会、监事会等公司治理机构，制定了《公司章程》、《股东大会议事规则》</w:t>
      </w:r>
      <w:r w:rsidR="00B675A2">
        <w:rPr>
          <w:rFonts w:ascii="Times New Roman" w:hAnsi="Times New Roman" w:hint="eastAsia"/>
          <w:color w:val="000000"/>
        </w:rPr>
        <w:t>、《董事会议事规则》</w:t>
      </w:r>
      <w:r>
        <w:rPr>
          <w:rFonts w:ascii="Times New Roman" w:hAnsi="Times New Roman" w:cs="Times New Roman" w:hint="eastAsia"/>
          <w:bCs/>
          <w:color w:val="000000"/>
        </w:rPr>
        <w:t>及《监事会议事规则》等制度。交易完成后，标的公司将按照上市公司的要求，规范公司治理，建立完善内部控制体系，遵守上市公司各项制度，并接受和配合上市公司关于子公司的管理及信息报告披露等要求，进一步保持健全有效的法人治理结构。</w:t>
      </w:r>
    </w:p>
    <w:p w14:paraId="3A03845A" w14:textId="77777777" w:rsidR="00C02929" w:rsidRDefault="00C02929">
      <w:pPr>
        <w:pStyle w:val="afffff"/>
        <w:sectPr w:rsidR="00C02929">
          <w:pgSz w:w="11906" w:h="16838"/>
          <w:pgMar w:top="1440" w:right="1800" w:bottom="1440" w:left="1800" w:header="851" w:footer="992" w:gutter="0"/>
          <w:cols w:space="720"/>
          <w:docGrid w:type="lines" w:linePitch="312"/>
        </w:sectPr>
      </w:pPr>
      <w:bookmarkStart w:id="47" w:name="_Toc69256855"/>
      <w:bookmarkStart w:id="48" w:name="_Toc69256873"/>
      <w:bookmarkEnd w:id="35"/>
      <w:bookmarkEnd w:id="36"/>
    </w:p>
    <w:p w14:paraId="33F9328F" w14:textId="77777777" w:rsidR="00C02929" w:rsidRDefault="006116D1">
      <w:pPr>
        <w:pStyle w:val="afffff"/>
      </w:pPr>
      <w:r>
        <w:rPr>
          <w:rFonts w:hint="eastAsia"/>
        </w:rPr>
        <w:lastRenderedPageBreak/>
        <w:t>第七题</w:t>
      </w:r>
    </w:p>
    <w:p w14:paraId="7A1564D3"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申请文件显示，历史上标的资产股权存在多起代持情形。请你公司补充披露：</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）出现股权代持的原因、变动的详细过程及是否已清理完毕，解除代持关系是否签订有关协议。</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）标的资产有无股权争议，对潜在法律风险有无具体应对措施。请独立财务顾问和律师核查并发表明确意见。</w:t>
      </w:r>
    </w:p>
    <w:p w14:paraId="21C9DA6E" w14:textId="77777777" w:rsidR="00C02929" w:rsidRDefault="006116D1">
      <w:pPr>
        <w:pStyle w:val="affffd"/>
        <w:spacing w:before="156"/>
        <w:ind w:firstLine="482"/>
        <w:rPr>
          <w:b/>
        </w:rPr>
      </w:pPr>
      <w:r>
        <w:rPr>
          <w:rFonts w:hint="eastAsia"/>
          <w:b/>
        </w:rPr>
        <w:t>【回复说明】</w:t>
      </w:r>
    </w:p>
    <w:p w14:paraId="57CD7777"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）出现股权代持的原因、变动的详细过程及是否已清理完毕，解除代持关系是否签订有关协议。</w:t>
      </w:r>
    </w:p>
    <w:p w14:paraId="006CF157"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一、李红与肖中海之间的股份代持及还原情况</w:t>
      </w:r>
    </w:p>
    <w:p w14:paraId="6E7359AA"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（一）股份代持的形成</w:t>
      </w:r>
    </w:p>
    <w:p w14:paraId="5A43BE67"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根据对黄晓峰、李红、肖中海的访谈，</w:t>
      </w:r>
      <w:r>
        <w:rPr>
          <w:rFonts w:ascii="Times New Roman" w:hAnsi="Times New Roman" w:cs="Times New Roman"/>
          <w:bCs/>
          <w:color w:val="000000"/>
        </w:rPr>
        <w:t>2016</w:t>
      </w:r>
      <w:r>
        <w:rPr>
          <w:rFonts w:ascii="Times New Roman" w:hAnsi="Times New Roman" w:cs="Times New Roman" w:hint="eastAsia"/>
          <w:bCs/>
          <w:color w:val="000000"/>
        </w:rPr>
        <w:t>年李红与肖中海签署《受让股份、代持协议书》，肖中海将其持有的北洋天青</w:t>
      </w:r>
      <w:r>
        <w:rPr>
          <w:rFonts w:ascii="Times New Roman" w:hAnsi="Times New Roman" w:cs="Times New Roman"/>
          <w:bCs/>
          <w:color w:val="000000"/>
        </w:rPr>
        <w:t>10.00</w:t>
      </w:r>
      <w:r>
        <w:rPr>
          <w:rFonts w:ascii="Times New Roman" w:hAnsi="Times New Roman" w:cs="Times New Roman" w:hint="eastAsia"/>
          <w:bCs/>
          <w:color w:val="000000"/>
        </w:rPr>
        <w:t>万股股份以</w:t>
      </w:r>
      <w:r>
        <w:rPr>
          <w:rFonts w:ascii="Times New Roman" w:hAnsi="Times New Roman" w:cs="Times New Roman"/>
          <w:bCs/>
          <w:color w:val="000000"/>
        </w:rPr>
        <w:t>1.50</w:t>
      </w:r>
      <w:r>
        <w:rPr>
          <w:rFonts w:ascii="Times New Roman" w:hAnsi="Times New Roman" w:cs="Times New Roman" w:hint="eastAsia"/>
          <w:bCs/>
          <w:color w:val="000000"/>
        </w:rPr>
        <w:t>元</w:t>
      </w:r>
      <w:r>
        <w:rPr>
          <w:rFonts w:ascii="Times New Roman" w:hAnsi="Times New Roman" w:cs="Times New Roman"/>
          <w:bCs/>
          <w:color w:val="000000"/>
        </w:rPr>
        <w:t>/</w:t>
      </w:r>
      <w:r>
        <w:rPr>
          <w:rFonts w:ascii="Times New Roman" w:hAnsi="Times New Roman" w:cs="Times New Roman" w:hint="eastAsia"/>
          <w:bCs/>
          <w:color w:val="000000"/>
        </w:rPr>
        <w:t>股的价格转让给李红。</w:t>
      </w:r>
      <w:r>
        <w:rPr>
          <w:rFonts w:ascii="Times New Roman" w:hAnsi="Times New Roman" w:cs="Times New Roman"/>
          <w:bCs/>
          <w:color w:val="000000"/>
        </w:rPr>
        <w:t>2018</w:t>
      </w:r>
      <w:r>
        <w:rPr>
          <w:rFonts w:ascii="Times New Roman" w:hAnsi="Times New Roman" w:cs="Times New Roman" w:hint="eastAsia"/>
          <w:bCs/>
          <w:color w:val="000000"/>
        </w:rPr>
        <w:t>年李红与肖中海签署《受让股份、代持协议书》，肖中海将其持有的</w:t>
      </w:r>
      <w:r>
        <w:rPr>
          <w:rFonts w:ascii="Times New Roman" w:hAnsi="Times New Roman" w:cs="Times New Roman"/>
          <w:bCs/>
          <w:color w:val="000000"/>
        </w:rPr>
        <w:t>8.00</w:t>
      </w:r>
      <w:r>
        <w:rPr>
          <w:rFonts w:ascii="Times New Roman" w:hAnsi="Times New Roman" w:cs="Times New Roman" w:hint="eastAsia"/>
          <w:bCs/>
          <w:color w:val="000000"/>
        </w:rPr>
        <w:t>万股股份以</w:t>
      </w:r>
      <w:r>
        <w:rPr>
          <w:rFonts w:ascii="Times New Roman" w:hAnsi="Times New Roman" w:cs="Times New Roman"/>
          <w:bCs/>
          <w:color w:val="000000"/>
        </w:rPr>
        <w:t>4.00</w:t>
      </w:r>
      <w:r>
        <w:rPr>
          <w:rFonts w:ascii="Times New Roman" w:hAnsi="Times New Roman" w:cs="Times New Roman" w:hint="eastAsia"/>
          <w:bCs/>
          <w:color w:val="000000"/>
        </w:rPr>
        <w:t>元</w:t>
      </w:r>
      <w:r>
        <w:rPr>
          <w:rFonts w:ascii="Times New Roman" w:hAnsi="Times New Roman" w:cs="Times New Roman"/>
          <w:bCs/>
          <w:color w:val="000000"/>
        </w:rPr>
        <w:t>/</w:t>
      </w:r>
      <w:r>
        <w:rPr>
          <w:rFonts w:ascii="Times New Roman" w:hAnsi="Times New Roman" w:cs="Times New Roman" w:hint="eastAsia"/>
          <w:bCs/>
          <w:color w:val="000000"/>
        </w:rPr>
        <w:t>股的价格转让给李红。</w:t>
      </w:r>
    </w:p>
    <w:p w14:paraId="73EC4D28"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肖中海上述</w:t>
      </w:r>
      <w:r>
        <w:rPr>
          <w:rFonts w:ascii="Times New Roman" w:hAnsi="Times New Roman" w:cs="Times New Roman"/>
          <w:bCs/>
          <w:color w:val="000000"/>
        </w:rPr>
        <w:t>2</w:t>
      </w:r>
      <w:r>
        <w:rPr>
          <w:rFonts w:ascii="Times New Roman" w:hAnsi="Times New Roman" w:cs="Times New Roman" w:hint="eastAsia"/>
          <w:bCs/>
          <w:color w:val="000000"/>
        </w:rPr>
        <w:t>次股权转让均为急需筹措资金偿还外部借款，因此与李红、黄晓峰直接协商确定转让金额并签订转让协议，标的公司未就上述股份转让出具新的股东名册，且第二次股份转让未通过新三板股票交易系统进行股票交易。上述股份转让完成后，肖中海名下所持北洋天青</w:t>
      </w:r>
      <w:r>
        <w:rPr>
          <w:rFonts w:ascii="Times New Roman" w:hAnsi="Times New Roman" w:cs="Times New Roman"/>
          <w:bCs/>
          <w:color w:val="000000"/>
        </w:rPr>
        <w:t>18.00</w:t>
      </w:r>
      <w:r>
        <w:rPr>
          <w:rFonts w:ascii="Times New Roman" w:hAnsi="Times New Roman" w:cs="Times New Roman" w:hint="eastAsia"/>
          <w:bCs/>
          <w:color w:val="000000"/>
        </w:rPr>
        <w:t>万股股份系代李红持有，其余</w:t>
      </w:r>
      <w:r>
        <w:rPr>
          <w:rFonts w:ascii="Times New Roman" w:hAnsi="Times New Roman" w:cs="Times New Roman"/>
          <w:bCs/>
          <w:color w:val="000000"/>
        </w:rPr>
        <w:t>132.00</w:t>
      </w:r>
      <w:r>
        <w:rPr>
          <w:rFonts w:ascii="Times New Roman" w:hAnsi="Times New Roman" w:cs="Times New Roman" w:hint="eastAsia"/>
          <w:bCs/>
          <w:color w:val="000000"/>
        </w:rPr>
        <w:t>万股股份为其实际持有。</w:t>
      </w:r>
    </w:p>
    <w:p w14:paraId="4B58EC45"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（二）股份代持的还原及股份转让情况</w:t>
      </w:r>
    </w:p>
    <w:p w14:paraId="2D6CECE8"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根据肖中海与李红签署的《股份转让协议》、股转系统交易记录及中介机构对李红、黄晓峰和肖中海的访谈，李红与肖中海之间的股份代持还原及股份转让情况具体如下：</w:t>
      </w:r>
    </w:p>
    <w:p w14:paraId="46C951F4" w14:textId="542B5E6B"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bCs/>
          <w:color w:val="000000"/>
        </w:rPr>
        <w:t>2019</w:t>
      </w:r>
      <w:r>
        <w:rPr>
          <w:rFonts w:ascii="Times New Roman" w:hAnsi="Times New Roman" w:cs="Times New Roman" w:hint="eastAsia"/>
          <w:bCs/>
          <w:color w:val="000000"/>
        </w:rPr>
        <w:t>年</w:t>
      </w:r>
      <w:r>
        <w:rPr>
          <w:rFonts w:ascii="Times New Roman" w:hAnsi="Times New Roman" w:cs="Times New Roman"/>
          <w:bCs/>
          <w:color w:val="000000"/>
        </w:rPr>
        <w:t>8</w:t>
      </w:r>
      <w:r>
        <w:rPr>
          <w:rFonts w:ascii="Times New Roman" w:hAnsi="Times New Roman" w:cs="Times New Roman" w:hint="eastAsia"/>
          <w:bCs/>
          <w:color w:val="000000"/>
        </w:rPr>
        <w:t>月肖中海离职时，其与李红、黄晓峰协商将其名下所持北洋天青</w:t>
      </w:r>
      <w:r>
        <w:rPr>
          <w:rFonts w:ascii="Times New Roman" w:hAnsi="Times New Roman" w:cs="Times New Roman"/>
          <w:bCs/>
          <w:color w:val="000000"/>
        </w:rPr>
        <w:t>150.00</w:t>
      </w:r>
      <w:r>
        <w:rPr>
          <w:rFonts w:ascii="Times New Roman" w:hAnsi="Times New Roman" w:cs="Times New Roman" w:hint="eastAsia"/>
          <w:bCs/>
          <w:color w:val="000000"/>
        </w:rPr>
        <w:t>万股股份中的</w:t>
      </w:r>
      <w:r>
        <w:rPr>
          <w:rFonts w:ascii="Times New Roman" w:hAnsi="Times New Roman" w:cs="Times New Roman"/>
          <w:bCs/>
          <w:color w:val="000000"/>
        </w:rPr>
        <w:t>130.00</w:t>
      </w:r>
      <w:r>
        <w:rPr>
          <w:rFonts w:ascii="Times New Roman" w:hAnsi="Times New Roman" w:cs="Times New Roman" w:hint="eastAsia"/>
          <w:bCs/>
          <w:color w:val="000000"/>
        </w:rPr>
        <w:t>万股股份转让给李红，其中</w:t>
      </w:r>
      <w:r>
        <w:rPr>
          <w:rFonts w:ascii="Times New Roman" w:hAnsi="Times New Roman" w:cs="Times New Roman"/>
          <w:bCs/>
          <w:color w:val="000000"/>
        </w:rPr>
        <w:t>18.00</w:t>
      </w:r>
      <w:r>
        <w:rPr>
          <w:rFonts w:ascii="Times New Roman" w:hAnsi="Times New Roman" w:cs="Times New Roman" w:hint="eastAsia"/>
          <w:bCs/>
          <w:color w:val="000000"/>
        </w:rPr>
        <w:t>万股已分别于</w:t>
      </w:r>
      <w:r>
        <w:rPr>
          <w:rFonts w:ascii="Times New Roman" w:hAnsi="Times New Roman" w:cs="Times New Roman"/>
          <w:bCs/>
          <w:color w:val="000000"/>
        </w:rPr>
        <w:t>2016</w:t>
      </w:r>
      <w:r>
        <w:rPr>
          <w:rFonts w:ascii="Times New Roman" w:hAnsi="Times New Roman" w:cs="Times New Roman" w:hint="eastAsia"/>
          <w:bCs/>
          <w:color w:val="000000"/>
        </w:rPr>
        <w:lastRenderedPageBreak/>
        <w:t>年和</w:t>
      </w:r>
      <w:r>
        <w:rPr>
          <w:rFonts w:ascii="Times New Roman" w:hAnsi="Times New Roman" w:cs="Times New Roman"/>
          <w:bCs/>
          <w:color w:val="000000"/>
        </w:rPr>
        <w:t>2018</w:t>
      </w:r>
      <w:r>
        <w:rPr>
          <w:rFonts w:ascii="Times New Roman" w:hAnsi="Times New Roman" w:cs="Times New Roman" w:hint="eastAsia"/>
          <w:bCs/>
          <w:color w:val="000000"/>
        </w:rPr>
        <w:t>年实际转让完毕，剩余</w:t>
      </w:r>
      <w:r>
        <w:rPr>
          <w:rFonts w:ascii="Times New Roman" w:hAnsi="Times New Roman" w:cs="Times New Roman"/>
          <w:bCs/>
          <w:color w:val="000000"/>
        </w:rPr>
        <w:t>112.00</w:t>
      </w:r>
      <w:r>
        <w:rPr>
          <w:rFonts w:ascii="Times New Roman" w:hAnsi="Times New Roman" w:cs="Times New Roman" w:hint="eastAsia"/>
          <w:bCs/>
          <w:color w:val="000000"/>
        </w:rPr>
        <w:t>万股由肖中海按入股成本将其所持股份转让给李红。由于</w:t>
      </w:r>
      <w:r>
        <w:rPr>
          <w:rFonts w:ascii="Times New Roman" w:hAnsi="Times New Roman" w:cs="Times New Roman"/>
          <w:bCs/>
          <w:color w:val="000000"/>
        </w:rPr>
        <w:t>2015</w:t>
      </w:r>
      <w:r>
        <w:rPr>
          <w:rFonts w:ascii="Times New Roman" w:hAnsi="Times New Roman" w:cs="Times New Roman" w:hint="eastAsia"/>
          <w:bCs/>
          <w:color w:val="000000"/>
        </w:rPr>
        <w:t>年</w:t>
      </w:r>
      <w:r>
        <w:rPr>
          <w:rFonts w:ascii="Times New Roman" w:hAnsi="Times New Roman" w:cs="Times New Roman"/>
          <w:bCs/>
          <w:color w:val="000000"/>
        </w:rPr>
        <w:t>12</w:t>
      </w:r>
      <w:r>
        <w:rPr>
          <w:rFonts w:ascii="Times New Roman" w:hAnsi="Times New Roman" w:cs="Times New Roman" w:hint="eastAsia"/>
          <w:bCs/>
          <w:color w:val="000000"/>
        </w:rPr>
        <w:t>月肖中海以</w:t>
      </w:r>
      <w:r>
        <w:rPr>
          <w:rFonts w:ascii="Times New Roman" w:hAnsi="Times New Roman" w:cs="Times New Roman"/>
          <w:bCs/>
          <w:color w:val="000000"/>
        </w:rPr>
        <w:t>79.50</w:t>
      </w:r>
      <w:r>
        <w:rPr>
          <w:rFonts w:ascii="Times New Roman" w:hAnsi="Times New Roman" w:cs="Times New Roman" w:hint="eastAsia"/>
          <w:bCs/>
          <w:color w:val="000000"/>
        </w:rPr>
        <w:t>万元的价格认购北洋天青</w:t>
      </w:r>
      <w:r w:rsidR="00B675A2">
        <w:rPr>
          <w:rFonts w:ascii="Times New Roman" w:hAnsi="Times New Roman" w:hint="eastAsia"/>
          <w:bCs/>
        </w:rPr>
        <w:t>有限</w:t>
      </w:r>
      <w:r>
        <w:rPr>
          <w:rFonts w:ascii="Times New Roman" w:hAnsi="Times New Roman" w:cs="Times New Roman"/>
          <w:bCs/>
          <w:color w:val="000000"/>
        </w:rPr>
        <w:t>50.00</w:t>
      </w:r>
      <w:r>
        <w:rPr>
          <w:rFonts w:ascii="Times New Roman" w:hAnsi="Times New Roman" w:cs="Times New Roman" w:hint="eastAsia"/>
          <w:bCs/>
          <w:color w:val="000000"/>
        </w:rPr>
        <w:t>万元出资额时，李红为肖中海垫付</w:t>
      </w:r>
      <w:r>
        <w:rPr>
          <w:rFonts w:ascii="Times New Roman" w:hAnsi="Times New Roman" w:cs="Times New Roman"/>
          <w:bCs/>
          <w:color w:val="000000"/>
        </w:rPr>
        <w:t>29.50</w:t>
      </w:r>
      <w:r>
        <w:rPr>
          <w:rFonts w:ascii="Times New Roman" w:hAnsi="Times New Roman" w:cs="Times New Roman" w:hint="eastAsia"/>
          <w:bCs/>
          <w:color w:val="000000"/>
        </w:rPr>
        <w:t>万元增资款后肖中海一直未偿还，因此双方协商后认定肖中海历次入股成本为</w:t>
      </w:r>
      <w:r>
        <w:rPr>
          <w:rFonts w:ascii="Times New Roman" w:hAnsi="Times New Roman" w:cs="Times New Roman"/>
          <w:bCs/>
          <w:color w:val="000000"/>
        </w:rPr>
        <w:t>1.00</w:t>
      </w:r>
      <w:r>
        <w:rPr>
          <w:rFonts w:ascii="Times New Roman" w:hAnsi="Times New Roman" w:cs="Times New Roman" w:hint="eastAsia"/>
          <w:bCs/>
          <w:color w:val="000000"/>
        </w:rPr>
        <w:t>元</w:t>
      </w:r>
      <w:r>
        <w:rPr>
          <w:rFonts w:ascii="Times New Roman" w:hAnsi="Times New Roman" w:cs="Times New Roman"/>
          <w:bCs/>
          <w:color w:val="000000"/>
        </w:rPr>
        <w:t>/</w:t>
      </w:r>
      <w:r>
        <w:rPr>
          <w:rFonts w:ascii="Times New Roman" w:hAnsi="Times New Roman" w:cs="Times New Roman" w:hint="eastAsia"/>
          <w:bCs/>
          <w:color w:val="000000"/>
        </w:rPr>
        <w:t>股，李红受让肖中海所持北洋天青</w:t>
      </w:r>
      <w:r>
        <w:rPr>
          <w:rFonts w:ascii="Times New Roman" w:hAnsi="Times New Roman" w:cs="Times New Roman"/>
          <w:bCs/>
          <w:color w:val="000000"/>
        </w:rPr>
        <w:t>112.00</w:t>
      </w:r>
      <w:r>
        <w:rPr>
          <w:rFonts w:ascii="Times New Roman" w:hAnsi="Times New Roman" w:cs="Times New Roman" w:hint="eastAsia"/>
          <w:bCs/>
          <w:color w:val="000000"/>
        </w:rPr>
        <w:t>万股股份应支付对价</w:t>
      </w:r>
      <w:r>
        <w:rPr>
          <w:rFonts w:ascii="Times New Roman" w:hAnsi="Times New Roman" w:cs="Times New Roman"/>
          <w:bCs/>
          <w:color w:val="000000"/>
        </w:rPr>
        <w:t>112.00</w:t>
      </w:r>
      <w:r>
        <w:rPr>
          <w:rFonts w:ascii="Times New Roman" w:hAnsi="Times New Roman" w:cs="Times New Roman" w:hint="eastAsia"/>
          <w:bCs/>
          <w:color w:val="000000"/>
        </w:rPr>
        <w:t>万元。</w:t>
      </w:r>
    </w:p>
    <w:p w14:paraId="3459D708"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bCs/>
          <w:color w:val="000000"/>
        </w:rPr>
        <w:t>2019</w:t>
      </w:r>
      <w:r>
        <w:rPr>
          <w:rFonts w:ascii="Times New Roman" w:hAnsi="Times New Roman" w:cs="Times New Roman" w:hint="eastAsia"/>
          <w:bCs/>
          <w:color w:val="000000"/>
        </w:rPr>
        <w:t>年</w:t>
      </w:r>
      <w:r>
        <w:rPr>
          <w:rFonts w:ascii="Times New Roman" w:hAnsi="Times New Roman" w:cs="Times New Roman"/>
          <w:bCs/>
          <w:color w:val="000000"/>
        </w:rPr>
        <w:t>12</w:t>
      </w:r>
      <w:r>
        <w:rPr>
          <w:rFonts w:ascii="Times New Roman" w:hAnsi="Times New Roman" w:cs="Times New Roman" w:hint="eastAsia"/>
          <w:bCs/>
          <w:color w:val="000000"/>
        </w:rPr>
        <w:t>月，肖中海将其所持北洋天青</w:t>
      </w:r>
      <w:r>
        <w:rPr>
          <w:rFonts w:ascii="Times New Roman" w:hAnsi="Times New Roman" w:cs="Times New Roman"/>
          <w:bCs/>
          <w:color w:val="000000"/>
        </w:rPr>
        <w:t>1,000</w:t>
      </w:r>
      <w:r>
        <w:rPr>
          <w:rFonts w:ascii="Times New Roman" w:hAnsi="Times New Roman" w:cs="Times New Roman" w:hint="eastAsia"/>
          <w:bCs/>
          <w:color w:val="000000"/>
        </w:rPr>
        <w:t>股股份通过</w:t>
      </w:r>
      <w:r>
        <w:rPr>
          <w:rFonts w:ascii="Times New Roman" w:hAnsi="Times New Roman" w:cs="Times New Roman" w:hint="eastAsia"/>
          <w:bCs/>
          <w:color w:val="000000"/>
          <w:lang w:bidi="ar"/>
        </w:rPr>
        <w:t>集合竞价交易向其他新三板投资者</w:t>
      </w:r>
      <w:r>
        <w:rPr>
          <w:rFonts w:ascii="Times New Roman" w:hAnsi="Times New Roman" w:cs="Times New Roman" w:hint="eastAsia"/>
          <w:bCs/>
          <w:color w:val="000000"/>
        </w:rPr>
        <w:t>转出，然后将其所持北洋天青合计</w:t>
      </w:r>
      <w:r>
        <w:rPr>
          <w:rFonts w:ascii="Times New Roman" w:hAnsi="Times New Roman" w:cs="Times New Roman"/>
          <w:bCs/>
          <w:color w:val="000000"/>
        </w:rPr>
        <w:t>33.00</w:t>
      </w:r>
      <w:r>
        <w:rPr>
          <w:rFonts w:ascii="Times New Roman" w:hAnsi="Times New Roman" w:cs="Times New Roman" w:hint="eastAsia"/>
          <w:bCs/>
          <w:color w:val="000000"/>
        </w:rPr>
        <w:t>万股股份通过股转交易系统转让给李红；</w:t>
      </w:r>
      <w:r>
        <w:rPr>
          <w:rFonts w:ascii="Times New Roman" w:hAnsi="Times New Roman" w:cs="Times New Roman"/>
          <w:bCs/>
          <w:color w:val="000000"/>
        </w:rPr>
        <w:t>2020</w:t>
      </w:r>
      <w:r>
        <w:rPr>
          <w:rFonts w:ascii="Times New Roman" w:hAnsi="Times New Roman" w:cs="Times New Roman" w:hint="eastAsia"/>
          <w:bCs/>
          <w:color w:val="000000"/>
        </w:rPr>
        <w:t>年</w:t>
      </w:r>
      <w:r>
        <w:rPr>
          <w:rFonts w:ascii="Times New Roman" w:hAnsi="Times New Roman" w:cs="Times New Roman"/>
          <w:bCs/>
          <w:color w:val="000000"/>
        </w:rPr>
        <w:t>3</w:t>
      </w:r>
      <w:r>
        <w:rPr>
          <w:rFonts w:ascii="Times New Roman" w:hAnsi="Times New Roman" w:cs="Times New Roman" w:hint="eastAsia"/>
          <w:bCs/>
          <w:color w:val="000000"/>
        </w:rPr>
        <w:t>月，肖中海与李红签署《股份转让协议》，肖中海将其所持北洋天青</w:t>
      </w:r>
      <w:r>
        <w:rPr>
          <w:rFonts w:ascii="Times New Roman" w:hAnsi="Times New Roman" w:cs="Times New Roman"/>
          <w:bCs/>
          <w:color w:val="000000"/>
        </w:rPr>
        <w:t>96.90</w:t>
      </w:r>
      <w:r>
        <w:rPr>
          <w:rFonts w:ascii="Times New Roman" w:hAnsi="Times New Roman" w:cs="Times New Roman" w:hint="eastAsia"/>
          <w:bCs/>
          <w:color w:val="000000"/>
        </w:rPr>
        <w:t>万股股份转让给李红。</w:t>
      </w:r>
    </w:p>
    <w:p w14:paraId="759B1C21" w14:textId="4A764405"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本次股份转让中，除肖中海代李红持有的</w:t>
      </w:r>
      <w:r>
        <w:rPr>
          <w:rFonts w:ascii="Times New Roman" w:hAnsi="Times New Roman" w:cs="Times New Roman" w:hint="eastAsia"/>
        </w:rPr>
        <w:t>18.00</w:t>
      </w:r>
      <w:r>
        <w:rPr>
          <w:rFonts w:ascii="Times New Roman" w:hAnsi="Times New Roman" w:cs="Times New Roman" w:hint="eastAsia"/>
        </w:rPr>
        <w:t>万股股份外，肖中海实际向李红转让股份数量合计为</w:t>
      </w:r>
      <w:r>
        <w:rPr>
          <w:rFonts w:ascii="Times New Roman" w:hAnsi="Times New Roman" w:cs="Times New Roman" w:hint="eastAsia"/>
        </w:rPr>
        <w:t>111.90</w:t>
      </w:r>
      <w:r>
        <w:rPr>
          <w:rFonts w:ascii="Times New Roman" w:hAnsi="Times New Roman" w:cs="Times New Roman" w:hint="eastAsia"/>
        </w:rPr>
        <w:t>万股。</w:t>
      </w:r>
      <w:r>
        <w:rPr>
          <w:rFonts w:ascii="Times New Roman" w:hAnsi="Times New Roman" w:cs="Times New Roman" w:hint="eastAsia"/>
          <w:color w:val="000000"/>
        </w:rPr>
        <w:t>李红</w:t>
      </w:r>
      <w:r>
        <w:rPr>
          <w:rFonts w:ascii="Times New Roman" w:hAnsi="Times New Roman" w:cs="Times New Roman" w:hint="eastAsia"/>
          <w:bCs/>
        </w:rPr>
        <w:t>通过股转交易系统</w:t>
      </w:r>
      <w:r>
        <w:rPr>
          <w:rFonts w:ascii="Times New Roman" w:hAnsi="Times New Roman" w:cs="Times New Roman" w:hint="eastAsia"/>
          <w:color w:val="000000"/>
        </w:rPr>
        <w:t>按</w:t>
      </w:r>
      <w:r>
        <w:rPr>
          <w:rFonts w:ascii="Times New Roman" w:hAnsi="Times New Roman" w:cs="Times New Roman" w:hint="eastAsia"/>
          <w:color w:val="000000"/>
        </w:rPr>
        <w:t>2.15</w:t>
      </w:r>
      <w:r>
        <w:rPr>
          <w:rFonts w:ascii="Times New Roman" w:hAnsi="Times New Roman" w:cs="Times New Roman" w:hint="eastAsia"/>
          <w:color w:val="000000"/>
        </w:rPr>
        <w:t>元</w:t>
      </w:r>
      <w:r>
        <w:rPr>
          <w:rFonts w:ascii="Times New Roman" w:hAnsi="Times New Roman" w:cs="Times New Roman" w:hint="eastAsia"/>
          <w:color w:val="000000"/>
        </w:rPr>
        <w:t>/</w:t>
      </w:r>
      <w:r>
        <w:rPr>
          <w:rFonts w:ascii="Times New Roman" w:hAnsi="Times New Roman" w:cs="Times New Roman" w:hint="eastAsia"/>
          <w:color w:val="000000"/>
        </w:rPr>
        <w:t>股的价格</w:t>
      </w:r>
      <w:r>
        <w:rPr>
          <w:rFonts w:ascii="Times New Roman" w:hAnsi="Times New Roman" w:cs="Times New Roman" w:hint="eastAsia"/>
          <w:bCs/>
        </w:rPr>
        <w:t>向肖中海支付了</w:t>
      </w:r>
      <w:r>
        <w:rPr>
          <w:rFonts w:ascii="Times New Roman" w:hAnsi="Times New Roman" w:cs="Times New Roman" w:hint="eastAsia"/>
          <w:bCs/>
        </w:rPr>
        <w:t>70.95</w:t>
      </w:r>
      <w:r>
        <w:rPr>
          <w:rFonts w:ascii="Times New Roman" w:hAnsi="Times New Roman" w:cs="Times New Roman" w:hint="eastAsia"/>
          <w:bCs/>
        </w:rPr>
        <w:t>万元，并</w:t>
      </w:r>
      <w:r>
        <w:rPr>
          <w:rFonts w:ascii="Times New Roman" w:hAnsi="Times New Roman" w:cs="Times New Roman" w:hint="eastAsia"/>
        </w:rPr>
        <w:t>委托李威向其支付了股份转让款</w:t>
      </w:r>
      <w:r>
        <w:rPr>
          <w:rFonts w:ascii="Times New Roman" w:hAnsi="Times New Roman" w:cs="Times New Roman" w:hint="eastAsia"/>
        </w:rPr>
        <w:t>43.19</w:t>
      </w:r>
      <w:r>
        <w:rPr>
          <w:rFonts w:ascii="Times New Roman" w:hAnsi="Times New Roman" w:cs="Times New Roman" w:hint="eastAsia"/>
        </w:rPr>
        <w:t>万元，合计为</w:t>
      </w:r>
      <w:r>
        <w:rPr>
          <w:rFonts w:ascii="Times New Roman" w:hAnsi="Times New Roman" w:cs="Times New Roman" w:hint="eastAsia"/>
        </w:rPr>
        <w:t>114.14</w:t>
      </w:r>
      <w:r>
        <w:rPr>
          <w:rFonts w:ascii="Times New Roman" w:hAnsi="Times New Roman" w:cs="Times New Roman" w:hint="eastAsia"/>
        </w:rPr>
        <w:t>万元股份转让款。前述李威代李红支付股份转让款的具体原因详见下文“（二）李红与李威之间的股份代持及</w:t>
      </w:r>
      <w:r w:rsidR="00B675A2">
        <w:rPr>
          <w:rFonts w:ascii="Times New Roman" w:hAnsi="Times New Roman" w:hint="eastAsia"/>
        </w:rPr>
        <w:t>解除</w:t>
      </w:r>
      <w:r>
        <w:rPr>
          <w:rFonts w:ascii="Times New Roman" w:hAnsi="Times New Roman" w:cs="Times New Roman" w:hint="eastAsia"/>
        </w:rPr>
        <w:t>情况”。</w:t>
      </w:r>
    </w:p>
    <w:p w14:paraId="5A93101A"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李红与肖中海通过股转交易系统及签订《股份转让协议》转让上述北洋天青股份后，李红与肖中海之间的代持股份已还原完毕。截至本核查意见出具日，肖中海所持北洋天青</w:t>
      </w:r>
      <w:r>
        <w:rPr>
          <w:rFonts w:ascii="Times New Roman" w:hAnsi="Times New Roman" w:cs="Times New Roman" w:hint="eastAsia"/>
          <w:color w:val="000000"/>
        </w:rPr>
        <w:t>20</w:t>
      </w:r>
      <w:r>
        <w:rPr>
          <w:rFonts w:ascii="Times New Roman" w:hAnsi="Times New Roman" w:cs="Times New Roman"/>
          <w:color w:val="000000"/>
        </w:rPr>
        <w:t>.00</w:t>
      </w:r>
      <w:r>
        <w:rPr>
          <w:rFonts w:ascii="Times New Roman" w:hAnsi="Times New Roman" w:cs="Times New Roman" w:hint="eastAsia"/>
          <w:color w:val="000000"/>
        </w:rPr>
        <w:t>万股股份均为其实际持有，不存在委托投资、信托持股或其他股份代持的情形。</w:t>
      </w:r>
    </w:p>
    <w:p w14:paraId="56DDA7DC" w14:textId="57A328AB"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二、李红与李威之间的股份代持及</w:t>
      </w:r>
      <w:bookmarkStart w:id="49" w:name="_Hlk69814992"/>
      <w:r w:rsidR="00B675A2">
        <w:rPr>
          <w:rFonts w:ascii="Times New Roman" w:hAnsi="Times New Roman" w:cs="Times New Roman" w:hint="eastAsia"/>
          <w:b/>
          <w:color w:val="000000"/>
          <w:szCs w:val="21"/>
        </w:rPr>
        <w:t>解除</w:t>
      </w:r>
      <w:bookmarkEnd w:id="49"/>
      <w:r>
        <w:rPr>
          <w:rFonts w:ascii="Times New Roman" w:hAnsi="Times New Roman" w:cs="Times New Roman" w:hint="eastAsia"/>
          <w:b/>
          <w:color w:val="000000"/>
          <w:szCs w:val="21"/>
        </w:rPr>
        <w:t>情况</w:t>
      </w:r>
    </w:p>
    <w:p w14:paraId="107D8AC7"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（一）股份代持的形成</w:t>
      </w:r>
    </w:p>
    <w:p w14:paraId="3B419E54" w14:textId="27320FA4"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w:t>
      </w:r>
      <w:r>
        <w:rPr>
          <w:rFonts w:ascii="Times New Roman" w:hAnsi="Times New Roman" w:hint="eastAsia"/>
        </w:rPr>
        <w:t>李红与李扬签订的协议、资金转账记录并经中介机构</w:t>
      </w:r>
      <w:r>
        <w:rPr>
          <w:rFonts w:ascii="Times New Roman" w:hAnsi="Times New Roman" w:cs="Times New Roman" w:hint="eastAsia"/>
        </w:rPr>
        <w:t>对黄晓峰、李红、李威进行访谈并核查，</w:t>
      </w:r>
      <w:r>
        <w:rPr>
          <w:rFonts w:ascii="Times New Roman" w:hAnsi="Times New Roman" w:cs="Times New Roman" w:hint="eastAsia"/>
          <w:color w:val="000000"/>
        </w:rPr>
        <w:t>北洋天青</w:t>
      </w:r>
      <w:r>
        <w:rPr>
          <w:rFonts w:ascii="Times New Roman" w:hAnsi="Times New Roman" w:cs="Times New Roman" w:hint="eastAsia"/>
          <w:color w:val="000000"/>
          <w:lang w:bidi="ar"/>
        </w:rPr>
        <w:t>2016</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12</w:t>
      </w:r>
      <w:r>
        <w:rPr>
          <w:rFonts w:ascii="Times New Roman" w:hAnsi="Times New Roman" w:cs="Times New Roman" w:hint="eastAsia"/>
          <w:color w:val="000000"/>
          <w:lang w:bidi="ar"/>
        </w:rPr>
        <w:t>月增资至</w:t>
      </w:r>
      <w:r>
        <w:rPr>
          <w:rFonts w:ascii="Times New Roman" w:hAnsi="Times New Roman" w:cs="Times New Roman" w:hint="eastAsia"/>
          <w:color w:val="000000"/>
          <w:lang w:bidi="ar"/>
        </w:rPr>
        <w:t>1,986.28</w:t>
      </w:r>
      <w:r>
        <w:rPr>
          <w:rFonts w:ascii="Times New Roman" w:hAnsi="Times New Roman" w:cs="Times New Roman" w:hint="eastAsia"/>
          <w:color w:val="000000"/>
          <w:lang w:bidi="ar"/>
        </w:rPr>
        <w:t>万元时，李威与李扬未按期筹集资金参与增资，</w:t>
      </w:r>
      <w:r>
        <w:rPr>
          <w:rFonts w:ascii="Times New Roman" w:hAnsi="Times New Roman" w:cs="Times New Roman" w:hint="eastAsia"/>
          <w:color w:val="000000"/>
        </w:rPr>
        <w:t>因此</w:t>
      </w:r>
      <w:r>
        <w:rPr>
          <w:rFonts w:ascii="Times New Roman" w:hAnsi="Times New Roman" w:cs="Times New Roman" w:hint="eastAsia"/>
          <w:color w:val="000000"/>
          <w:lang w:bidi="ar"/>
        </w:rPr>
        <w:t>2017</w:t>
      </w:r>
      <w:r>
        <w:rPr>
          <w:rFonts w:ascii="Times New Roman" w:hAnsi="Times New Roman" w:cs="Times New Roman" w:hint="eastAsia"/>
          <w:color w:val="000000"/>
          <w:lang w:bidi="ar"/>
        </w:rPr>
        <w:t>年</w:t>
      </w:r>
      <w:r>
        <w:rPr>
          <w:rFonts w:ascii="Times New Roman" w:hAnsi="Times New Roman" w:cs="Times New Roman" w:hint="eastAsia"/>
          <w:color w:val="000000"/>
          <w:lang w:bidi="ar"/>
        </w:rPr>
        <w:t>2</w:t>
      </w:r>
      <w:r>
        <w:rPr>
          <w:rFonts w:ascii="Times New Roman" w:hAnsi="Times New Roman" w:cs="Times New Roman" w:hint="eastAsia"/>
          <w:color w:val="000000"/>
          <w:lang w:bidi="ar"/>
        </w:rPr>
        <w:t>月李红与李威的配偶李扬签署《受让股份、增持股份、代持协议书》，李红以自己名义代李扬认购并持有前述增资股份中的</w:t>
      </w:r>
      <w:r>
        <w:rPr>
          <w:rFonts w:ascii="Times New Roman" w:hAnsi="Times New Roman" w:cs="Times New Roman" w:hint="eastAsia"/>
          <w:color w:val="000000"/>
          <w:lang w:bidi="ar"/>
        </w:rPr>
        <w:t>20.00</w:t>
      </w:r>
      <w:r>
        <w:rPr>
          <w:rFonts w:ascii="Times New Roman" w:hAnsi="Times New Roman" w:cs="Times New Roman" w:hint="eastAsia"/>
          <w:color w:val="000000"/>
          <w:lang w:bidi="ar"/>
        </w:rPr>
        <w:t>万股股份。李扬向李红支付了</w:t>
      </w:r>
      <w:r>
        <w:rPr>
          <w:rFonts w:ascii="Times New Roman" w:hAnsi="Times New Roman" w:cs="Times New Roman"/>
          <w:color w:val="000000"/>
          <w:lang w:bidi="ar"/>
        </w:rPr>
        <w:t>120</w:t>
      </w:r>
      <w:r w:rsidR="00453FFF">
        <w:rPr>
          <w:rFonts w:ascii="Times New Roman" w:hAnsi="Times New Roman" w:cs="Times New Roman"/>
          <w:color w:val="000000"/>
          <w:lang w:bidi="ar"/>
        </w:rPr>
        <w:t>.00</w:t>
      </w:r>
      <w:r>
        <w:rPr>
          <w:rFonts w:ascii="Times New Roman" w:hAnsi="Times New Roman" w:cs="Times New Roman" w:hint="eastAsia"/>
          <w:color w:val="000000"/>
          <w:lang w:bidi="ar"/>
        </w:rPr>
        <w:t>万元股份转让款。为避免北洋天青的股权结构发生频繁变动，标的公司</w:t>
      </w:r>
      <w:r>
        <w:rPr>
          <w:rFonts w:ascii="Times New Roman" w:hAnsi="Times New Roman" w:cs="Times New Roman" w:hint="eastAsia"/>
          <w:color w:val="000000"/>
        </w:rPr>
        <w:t>未就上述股份转让出具新的股东名册。</w:t>
      </w:r>
      <w:r>
        <w:rPr>
          <w:rFonts w:ascii="Times New Roman" w:hAnsi="Times New Roman" w:cs="Times New Roman" w:hint="eastAsia"/>
          <w:color w:val="000000"/>
          <w:lang w:bidi="ar"/>
        </w:rPr>
        <w:t>本次增资完成后，李威及李扬的实际持股数为</w:t>
      </w:r>
      <w:r>
        <w:rPr>
          <w:rFonts w:ascii="Times New Roman" w:hAnsi="Times New Roman" w:cs="Times New Roman" w:hint="eastAsia"/>
          <w:color w:val="000000"/>
          <w:lang w:bidi="ar"/>
        </w:rPr>
        <w:t>370,940</w:t>
      </w:r>
      <w:r>
        <w:rPr>
          <w:rFonts w:ascii="Times New Roman" w:hAnsi="Times New Roman" w:cs="Times New Roman" w:hint="eastAsia"/>
          <w:color w:val="000000"/>
          <w:lang w:bidi="ar"/>
        </w:rPr>
        <w:t>股。</w:t>
      </w:r>
    </w:p>
    <w:p w14:paraId="5F63D288" w14:textId="5F5DDC0C"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lastRenderedPageBreak/>
        <w:t>（二）股份代持</w:t>
      </w:r>
      <w:r w:rsidR="00B675A2">
        <w:rPr>
          <w:rFonts w:ascii="Times New Roman" w:hAnsi="Times New Roman" w:cs="Times New Roman" w:hint="eastAsia"/>
          <w:b/>
          <w:color w:val="000000"/>
          <w:szCs w:val="21"/>
        </w:rPr>
        <w:t>解除</w:t>
      </w:r>
      <w:r>
        <w:rPr>
          <w:rFonts w:ascii="Times New Roman" w:hAnsi="Times New Roman" w:cs="Times New Roman" w:hint="eastAsia"/>
          <w:b/>
          <w:color w:val="000000"/>
        </w:rPr>
        <w:t>情况</w:t>
      </w:r>
    </w:p>
    <w:p w14:paraId="13909954" w14:textId="4CFAAFC1"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color w:val="000000"/>
          <w:lang w:bidi="ar"/>
        </w:rPr>
        <w:t>2018</w:t>
      </w:r>
      <w:r>
        <w:rPr>
          <w:rFonts w:ascii="Times New Roman" w:hAnsi="Times New Roman" w:cs="Times New Roman" w:hint="eastAsia"/>
          <w:color w:val="000000"/>
          <w:lang w:bidi="ar"/>
        </w:rPr>
        <w:t>年下半年，因李威拟从北洋天青离职，李扬将其委托李红代为持有的北洋天青</w:t>
      </w:r>
      <w:r>
        <w:rPr>
          <w:rFonts w:ascii="Times New Roman" w:hAnsi="Times New Roman" w:cs="Times New Roman"/>
          <w:color w:val="000000"/>
          <w:lang w:bidi="ar"/>
        </w:rPr>
        <w:t>20.00</w:t>
      </w:r>
      <w:r>
        <w:rPr>
          <w:rFonts w:ascii="Times New Roman" w:hAnsi="Times New Roman" w:cs="Times New Roman" w:hint="eastAsia"/>
          <w:color w:val="000000"/>
          <w:lang w:bidi="ar"/>
        </w:rPr>
        <w:t>万股股份按入股价格转回给李红。</w:t>
      </w:r>
      <w:r>
        <w:rPr>
          <w:rFonts w:ascii="Times New Roman" w:hAnsi="Times New Roman" w:cs="Times New Roman"/>
          <w:color w:val="000000"/>
          <w:lang w:bidi="ar"/>
        </w:rPr>
        <w:t>2018</w:t>
      </w:r>
      <w:r>
        <w:rPr>
          <w:rFonts w:ascii="Times New Roman" w:hAnsi="Times New Roman" w:cs="Times New Roman" w:hint="eastAsia"/>
          <w:color w:val="000000"/>
          <w:lang w:bidi="ar"/>
        </w:rPr>
        <w:t>年</w:t>
      </w:r>
      <w:r>
        <w:rPr>
          <w:rFonts w:ascii="Times New Roman" w:hAnsi="Times New Roman" w:cs="Times New Roman"/>
          <w:color w:val="000000"/>
          <w:lang w:bidi="ar"/>
        </w:rPr>
        <w:t>9</w:t>
      </w:r>
      <w:r>
        <w:rPr>
          <w:rFonts w:ascii="Times New Roman" w:hAnsi="Times New Roman" w:cs="Times New Roman" w:hint="eastAsia"/>
          <w:color w:val="000000"/>
          <w:lang w:bidi="ar"/>
        </w:rPr>
        <w:t>月至</w:t>
      </w:r>
      <w:r>
        <w:rPr>
          <w:rFonts w:ascii="Times New Roman" w:hAnsi="Times New Roman" w:cs="Times New Roman"/>
          <w:color w:val="000000"/>
          <w:lang w:bidi="ar"/>
        </w:rPr>
        <w:t>10</w:t>
      </w:r>
      <w:r>
        <w:rPr>
          <w:rFonts w:ascii="Times New Roman" w:hAnsi="Times New Roman" w:cs="Times New Roman" w:hint="eastAsia"/>
          <w:color w:val="000000"/>
          <w:lang w:bidi="ar"/>
        </w:rPr>
        <w:t>月，李红合计向李扬支付了股份转让款</w:t>
      </w:r>
      <w:r>
        <w:rPr>
          <w:rFonts w:ascii="Times New Roman" w:hAnsi="Times New Roman" w:cs="Times New Roman"/>
          <w:color w:val="000000"/>
          <w:lang w:bidi="ar"/>
        </w:rPr>
        <w:t>120.00</w:t>
      </w:r>
      <w:r>
        <w:rPr>
          <w:rFonts w:ascii="Times New Roman" w:hAnsi="Times New Roman" w:cs="Times New Roman" w:hint="eastAsia"/>
          <w:color w:val="000000"/>
          <w:lang w:bidi="ar"/>
        </w:rPr>
        <w:t>万元，受让李威委托其持有的北洋天青</w:t>
      </w:r>
      <w:r>
        <w:rPr>
          <w:rFonts w:ascii="Times New Roman" w:hAnsi="Times New Roman" w:cs="Times New Roman"/>
          <w:color w:val="000000"/>
          <w:lang w:bidi="ar"/>
        </w:rPr>
        <w:t>20.00</w:t>
      </w:r>
      <w:r>
        <w:rPr>
          <w:rFonts w:ascii="Times New Roman" w:hAnsi="Times New Roman" w:cs="Times New Roman" w:hint="eastAsia"/>
          <w:color w:val="000000"/>
          <w:lang w:bidi="ar"/>
        </w:rPr>
        <w:t>万股股份，双方未就本次股份转让签订书面协议。本次股份转让后，李红与李威、李扬之间的股权代持已</w:t>
      </w:r>
      <w:r w:rsidR="00B675A2">
        <w:rPr>
          <w:rFonts w:ascii="Times New Roman" w:hAnsi="Times New Roman" w:hint="eastAsia"/>
          <w:color w:val="000000"/>
        </w:rPr>
        <w:t>解除</w:t>
      </w:r>
      <w:r>
        <w:rPr>
          <w:rFonts w:ascii="Times New Roman" w:hAnsi="Times New Roman" w:cs="Times New Roman" w:hint="eastAsia"/>
          <w:color w:val="000000"/>
          <w:lang w:bidi="ar"/>
        </w:rPr>
        <w:t>完毕。</w:t>
      </w:r>
    </w:p>
    <w:p w14:paraId="2D56F0E7"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（三）股份转让情况</w:t>
      </w:r>
    </w:p>
    <w:p w14:paraId="7B648908" w14:textId="77777777" w:rsidR="00C02929" w:rsidRDefault="006116D1">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color w:val="000000"/>
          <w:lang w:bidi="ar"/>
        </w:rPr>
        <w:t>因李威从北洋天青离职，经黄晓峰、李红与李威协商一致，李威将其所持北洋天青</w:t>
      </w:r>
      <w:r>
        <w:rPr>
          <w:rFonts w:ascii="Times New Roman" w:hAnsi="Times New Roman" w:cs="Times New Roman"/>
          <w:lang w:bidi="ar"/>
        </w:rPr>
        <w:t>173,504</w:t>
      </w:r>
      <w:r>
        <w:rPr>
          <w:rFonts w:ascii="Times New Roman" w:hAnsi="Times New Roman" w:cs="Times New Roman" w:hint="eastAsia"/>
          <w:lang w:bidi="ar"/>
        </w:rPr>
        <w:t>股股份转让给李红，李红以银行转账方式向李威支付了股份转让款</w:t>
      </w:r>
      <w:r>
        <w:rPr>
          <w:rFonts w:ascii="Times New Roman" w:hAnsi="Times New Roman" w:cs="Times New Roman"/>
          <w:lang w:bidi="ar"/>
        </w:rPr>
        <w:t>80.00</w:t>
      </w:r>
      <w:r>
        <w:rPr>
          <w:rFonts w:ascii="Times New Roman" w:hAnsi="Times New Roman" w:cs="Times New Roman" w:hint="eastAsia"/>
          <w:lang w:bidi="ar"/>
        </w:rPr>
        <w:t>万元。</w:t>
      </w:r>
    </w:p>
    <w:p w14:paraId="5AEA042C" w14:textId="77777777" w:rsidR="00C02929" w:rsidRDefault="006116D1">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鉴于北洋天青届时在股转系统挂牌，因此李威于</w:t>
      </w:r>
      <w:r>
        <w:rPr>
          <w:rFonts w:ascii="Times New Roman" w:hAnsi="Times New Roman" w:cs="Times New Roman"/>
          <w:lang w:bidi="ar"/>
        </w:rPr>
        <w:t>2019</w:t>
      </w:r>
      <w:r>
        <w:rPr>
          <w:rFonts w:ascii="Times New Roman" w:hAnsi="Times New Roman" w:cs="Times New Roman" w:hint="eastAsia"/>
          <w:lang w:bidi="ar"/>
        </w:rPr>
        <w:t>年</w:t>
      </w:r>
      <w:r>
        <w:rPr>
          <w:rFonts w:ascii="Times New Roman" w:hAnsi="Times New Roman" w:cs="Times New Roman"/>
          <w:lang w:bidi="ar"/>
        </w:rPr>
        <w:t>12</w:t>
      </w:r>
      <w:r>
        <w:rPr>
          <w:rFonts w:ascii="Times New Roman" w:hAnsi="Times New Roman" w:cs="Times New Roman" w:hint="eastAsia"/>
          <w:lang w:bidi="ar"/>
        </w:rPr>
        <w:t>月通过股转交易系统向李红转让了</w:t>
      </w:r>
      <w:r>
        <w:rPr>
          <w:rFonts w:ascii="Times New Roman" w:hAnsi="Times New Roman" w:cs="Times New Roman"/>
          <w:lang w:bidi="ar"/>
        </w:rPr>
        <w:t>17.30</w:t>
      </w:r>
      <w:r>
        <w:rPr>
          <w:rFonts w:ascii="Times New Roman" w:hAnsi="Times New Roman" w:cs="Times New Roman" w:hint="eastAsia"/>
          <w:lang w:bidi="ar"/>
        </w:rPr>
        <w:t>万股股份，剩余</w:t>
      </w:r>
      <w:r>
        <w:rPr>
          <w:rFonts w:ascii="Times New Roman" w:hAnsi="Times New Roman" w:cs="Times New Roman"/>
          <w:lang w:bidi="ar"/>
        </w:rPr>
        <w:t>504</w:t>
      </w:r>
      <w:r>
        <w:rPr>
          <w:rFonts w:ascii="Times New Roman" w:hAnsi="Times New Roman" w:cs="Times New Roman" w:hint="eastAsia"/>
          <w:lang w:bidi="ar"/>
        </w:rPr>
        <w:t>股因系统原因无法转让，李红同意由李威继续持有。李红通过股转交易系统</w:t>
      </w:r>
      <w:r>
        <w:rPr>
          <w:rFonts w:ascii="Times New Roman" w:hAnsi="Times New Roman" w:cs="Times New Roman" w:hint="eastAsia"/>
          <w:color w:val="000000"/>
          <w:lang w:bidi="ar"/>
        </w:rPr>
        <w:t>按</w:t>
      </w:r>
      <w:r>
        <w:rPr>
          <w:rFonts w:ascii="Times New Roman" w:hAnsi="Times New Roman" w:cs="Times New Roman"/>
          <w:color w:val="000000"/>
          <w:lang w:bidi="ar"/>
        </w:rPr>
        <w:t>3.01</w:t>
      </w:r>
      <w:r>
        <w:rPr>
          <w:rFonts w:ascii="Times New Roman" w:hAnsi="Times New Roman" w:cs="Times New Roman" w:hint="eastAsia"/>
          <w:color w:val="000000"/>
          <w:lang w:bidi="ar"/>
        </w:rPr>
        <w:t>元</w:t>
      </w:r>
      <w:r>
        <w:rPr>
          <w:rFonts w:ascii="Times New Roman" w:hAnsi="Times New Roman" w:cs="Times New Roman"/>
          <w:color w:val="000000"/>
          <w:lang w:bidi="ar"/>
        </w:rPr>
        <w:t>/</w:t>
      </w:r>
      <w:r>
        <w:rPr>
          <w:rFonts w:ascii="Times New Roman" w:hAnsi="Times New Roman" w:cs="Times New Roman" w:hint="eastAsia"/>
          <w:color w:val="000000"/>
          <w:lang w:bidi="ar"/>
        </w:rPr>
        <w:t>股的价格</w:t>
      </w:r>
      <w:r>
        <w:rPr>
          <w:rFonts w:ascii="Times New Roman" w:hAnsi="Times New Roman" w:cs="Times New Roman" w:hint="eastAsia"/>
          <w:lang w:bidi="ar"/>
        </w:rPr>
        <w:t>向李威支付了</w:t>
      </w:r>
      <w:r>
        <w:rPr>
          <w:rFonts w:ascii="Times New Roman" w:hAnsi="Times New Roman" w:cs="Times New Roman"/>
          <w:lang w:bidi="ar"/>
        </w:rPr>
        <w:t>52.07</w:t>
      </w:r>
      <w:r>
        <w:rPr>
          <w:rFonts w:ascii="Times New Roman" w:hAnsi="Times New Roman" w:cs="Times New Roman" w:hint="eastAsia"/>
          <w:lang w:bidi="ar"/>
        </w:rPr>
        <w:t>万元股权转让款，李威扣减被冻结的相应税费后按李红要求代其向肖中海支付了上述</w:t>
      </w:r>
      <w:r>
        <w:rPr>
          <w:rFonts w:ascii="Times New Roman" w:hAnsi="Times New Roman" w:cs="Times New Roman"/>
          <w:lang w:bidi="ar"/>
        </w:rPr>
        <w:t>43.19</w:t>
      </w:r>
      <w:r>
        <w:rPr>
          <w:rFonts w:ascii="Times New Roman" w:hAnsi="Times New Roman" w:cs="Times New Roman" w:hint="eastAsia"/>
          <w:lang w:bidi="ar"/>
        </w:rPr>
        <w:t>万元股份转让款。</w:t>
      </w:r>
    </w:p>
    <w:p w14:paraId="5EAEE705"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本次股份转让完成后及至本回复出具日，李威所持北洋天青</w:t>
      </w:r>
      <w:r>
        <w:rPr>
          <w:rFonts w:ascii="Times New Roman" w:hAnsi="Times New Roman" w:cs="Times New Roman"/>
          <w:color w:val="000000"/>
          <w:lang w:bidi="ar"/>
        </w:rPr>
        <w:t>504</w:t>
      </w:r>
      <w:r>
        <w:rPr>
          <w:rFonts w:ascii="Times New Roman" w:hAnsi="Times New Roman" w:cs="Times New Roman" w:hint="eastAsia"/>
          <w:color w:val="000000"/>
          <w:lang w:bidi="ar"/>
        </w:rPr>
        <w:t>股股份为其实际持有，不存在委托投资、信托持股或其他股份代持的情形。</w:t>
      </w:r>
    </w:p>
    <w:p w14:paraId="76E19F40" w14:textId="487A5AC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三、李红与周健之间的股份代持及</w:t>
      </w:r>
      <w:r w:rsidR="00B675A2">
        <w:rPr>
          <w:rFonts w:ascii="Times New Roman" w:hAnsi="Times New Roman" w:hint="eastAsia"/>
          <w:b/>
          <w:bCs/>
          <w:color w:val="000000"/>
        </w:rPr>
        <w:t>解除</w:t>
      </w:r>
      <w:r>
        <w:rPr>
          <w:rFonts w:ascii="Times New Roman" w:hAnsi="Times New Roman" w:cs="Times New Roman" w:hint="eastAsia"/>
          <w:b/>
          <w:color w:val="000000"/>
          <w:szCs w:val="21"/>
        </w:rPr>
        <w:t>情况</w:t>
      </w:r>
    </w:p>
    <w:p w14:paraId="48A764CB"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根据北洋天青原软件开发部员工周健与李红签署的《受让股份、增持股份、代持协议书》以及对黄晓峰、李红和周健的访谈，</w:t>
      </w:r>
      <w:r>
        <w:rPr>
          <w:rFonts w:ascii="Times New Roman" w:hAnsi="Times New Roman" w:cs="Times New Roman" w:hint="eastAsia"/>
          <w:color w:val="000000"/>
          <w:lang w:bidi="ar"/>
        </w:rPr>
        <w:t>2017</w:t>
      </w:r>
      <w:r>
        <w:rPr>
          <w:rFonts w:ascii="Times New Roman" w:hAnsi="Times New Roman" w:cs="Times New Roman" w:hint="eastAsia"/>
          <w:color w:val="000000"/>
          <w:lang w:bidi="ar"/>
        </w:rPr>
        <w:t>年初，李红以自己名义代周健认购并持有北洋天青</w:t>
      </w:r>
      <w:r>
        <w:rPr>
          <w:rFonts w:ascii="Times New Roman" w:hAnsi="Times New Roman" w:cs="Times New Roman" w:hint="eastAsia"/>
          <w:color w:val="000000"/>
          <w:lang w:bidi="ar"/>
        </w:rPr>
        <w:t>2016</w:t>
      </w:r>
      <w:r>
        <w:rPr>
          <w:rFonts w:ascii="Times New Roman" w:hAnsi="Times New Roman" w:cs="Times New Roman" w:hint="eastAsia"/>
          <w:color w:val="000000"/>
          <w:lang w:bidi="ar"/>
        </w:rPr>
        <w:t>年增资股份中的</w:t>
      </w:r>
      <w:r>
        <w:rPr>
          <w:rFonts w:ascii="Times New Roman" w:hAnsi="Times New Roman" w:cs="Times New Roman" w:hint="eastAsia"/>
          <w:color w:val="000000"/>
          <w:lang w:bidi="ar"/>
        </w:rPr>
        <w:t>1.00</w:t>
      </w:r>
      <w:r>
        <w:rPr>
          <w:rFonts w:ascii="Times New Roman" w:hAnsi="Times New Roman" w:cs="Times New Roman" w:hint="eastAsia"/>
          <w:color w:val="000000"/>
          <w:lang w:bidi="ar"/>
        </w:rPr>
        <w:t>万股股份。周健以现金向李红支付了</w:t>
      </w:r>
      <w:r>
        <w:rPr>
          <w:rFonts w:ascii="Times New Roman" w:hAnsi="Times New Roman" w:cs="Times New Roman" w:hint="eastAsia"/>
          <w:color w:val="000000"/>
          <w:lang w:bidi="ar"/>
        </w:rPr>
        <w:t>6.00</w:t>
      </w:r>
      <w:r>
        <w:rPr>
          <w:rFonts w:ascii="Times New Roman" w:hAnsi="Times New Roman" w:cs="Times New Roman" w:hint="eastAsia"/>
          <w:color w:val="000000"/>
          <w:lang w:bidi="ar"/>
        </w:rPr>
        <w:t>万元股份转让款。为避免北洋天青的股权结构因周健的入股或离职而发生频繁变动，就上述股份转让北洋天青未出具新的股东名册。李红名下所持北洋天青股份中的</w:t>
      </w:r>
      <w:r>
        <w:rPr>
          <w:rFonts w:ascii="Times New Roman" w:hAnsi="Times New Roman" w:cs="Times New Roman" w:hint="eastAsia"/>
          <w:color w:val="000000"/>
          <w:lang w:bidi="ar"/>
        </w:rPr>
        <w:t>1.00</w:t>
      </w:r>
      <w:r>
        <w:rPr>
          <w:rFonts w:ascii="Times New Roman" w:hAnsi="Times New Roman" w:cs="Times New Roman" w:hint="eastAsia"/>
          <w:color w:val="000000"/>
          <w:lang w:bidi="ar"/>
        </w:rPr>
        <w:t>万股股份系代周健持有。</w:t>
      </w:r>
    </w:p>
    <w:p w14:paraId="58D2940A" w14:textId="7FF26D3B"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lang w:bidi="ar"/>
        </w:rPr>
        <w:t>2018</w:t>
      </w:r>
      <w:r>
        <w:rPr>
          <w:rFonts w:ascii="Times New Roman" w:hAnsi="Times New Roman" w:cs="Times New Roman" w:hint="eastAsia"/>
          <w:lang w:bidi="ar"/>
        </w:rPr>
        <w:t>年</w:t>
      </w:r>
      <w:r>
        <w:rPr>
          <w:rFonts w:ascii="Times New Roman" w:hAnsi="Times New Roman" w:cs="Times New Roman"/>
          <w:lang w:bidi="ar"/>
        </w:rPr>
        <w:t>10</w:t>
      </w:r>
      <w:r>
        <w:rPr>
          <w:rFonts w:ascii="Times New Roman" w:hAnsi="Times New Roman" w:cs="Times New Roman" w:hint="eastAsia"/>
          <w:lang w:bidi="ar"/>
        </w:rPr>
        <w:t>月，周健因离职而将委托李红代其持有的北洋天青</w:t>
      </w:r>
      <w:r>
        <w:rPr>
          <w:rFonts w:ascii="Times New Roman" w:hAnsi="Times New Roman" w:cs="Times New Roman"/>
          <w:lang w:bidi="ar"/>
        </w:rPr>
        <w:t>1</w:t>
      </w:r>
      <w:r>
        <w:rPr>
          <w:rFonts w:ascii="Times New Roman" w:hAnsi="Times New Roman" w:cs="Times New Roman" w:hint="eastAsia"/>
          <w:lang w:bidi="ar"/>
        </w:rPr>
        <w:t>万股股份转让给李红</w:t>
      </w:r>
      <w:r>
        <w:rPr>
          <w:rFonts w:ascii="Times New Roman" w:hAnsi="Times New Roman" w:cs="Times New Roman" w:hint="eastAsia"/>
          <w:color w:val="000000"/>
          <w:lang w:bidi="ar"/>
        </w:rPr>
        <w:t>，双方未就本次股份转让签订书面协议，李红以现金方式支付了</w:t>
      </w:r>
      <w:r>
        <w:rPr>
          <w:rFonts w:ascii="Times New Roman" w:hAnsi="Times New Roman" w:cs="Times New Roman" w:hint="eastAsia"/>
          <w:color w:val="000000"/>
          <w:lang w:bidi="ar"/>
        </w:rPr>
        <w:t>6.00</w:t>
      </w:r>
      <w:r>
        <w:rPr>
          <w:rFonts w:ascii="Times New Roman" w:hAnsi="Times New Roman" w:cs="Times New Roman" w:hint="eastAsia"/>
          <w:color w:val="000000"/>
          <w:lang w:bidi="ar"/>
        </w:rPr>
        <w:lastRenderedPageBreak/>
        <w:t>万元的股份转让款，李红与周健之间的股权代持已</w:t>
      </w:r>
      <w:r w:rsidR="00B675A2" w:rsidRPr="00E923F3">
        <w:rPr>
          <w:rFonts w:hint="eastAsia"/>
          <w:bCs/>
          <w:lang w:val="en-GB"/>
        </w:rPr>
        <w:t>解除</w:t>
      </w:r>
      <w:r>
        <w:rPr>
          <w:rFonts w:ascii="Times New Roman" w:hAnsi="Times New Roman" w:cs="Times New Roman" w:hint="eastAsia"/>
          <w:color w:val="000000"/>
          <w:lang w:bidi="ar"/>
        </w:rPr>
        <w:t>完毕。截至本核查意见出具日，周健不再持有北洋天青任何股份。</w:t>
      </w:r>
    </w:p>
    <w:p w14:paraId="21862ABC" w14:textId="7355192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四、李红与周建勇之间的股份代持</w:t>
      </w:r>
      <w:r w:rsidR="00B675A2">
        <w:rPr>
          <w:rFonts w:ascii="Times New Roman" w:hAnsi="Times New Roman" w:cs="Times New Roman" w:hint="eastAsia"/>
          <w:b/>
          <w:color w:val="000000"/>
          <w:szCs w:val="21"/>
        </w:rPr>
        <w:t>及解除</w:t>
      </w:r>
      <w:r>
        <w:rPr>
          <w:rFonts w:ascii="Times New Roman" w:hAnsi="Times New Roman" w:cs="Times New Roman" w:hint="eastAsia"/>
          <w:b/>
          <w:color w:val="000000"/>
          <w:szCs w:val="21"/>
        </w:rPr>
        <w:t>情况</w:t>
      </w:r>
    </w:p>
    <w:p w14:paraId="332245BD"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lang w:bidi="ar"/>
        </w:rPr>
        <w:t>根据对黄晓峰、李红和周建勇的访谈，</w:t>
      </w:r>
      <w:r>
        <w:rPr>
          <w:rFonts w:ascii="Times New Roman" w:hAnsi="Times New Roman" w:cs="Times New Roman" w:hint="eastAsia"/>
          <w:color w:val="000000"/>
        </w:rPr>
        <w:t>2016</w:t>
      </w:r>
      <w:r>
        <w:rPr>
          <w:rFonts w:ascii="Times New Roman" w:hAnsi="Times New Roman" w:cs="Times New Roman" w:hint="eastAsia"/>
          <w:color w:val="000000"/>
        </w:rPr>
        <w:t>年</w:t>
      </w:r>
      <w:r>
        <w:rPr>
          <w:rFonts w:ascii="Times New Roman" w:hAnsi="Times New Roman" w:cs="Times New Roman" w:hint="eastAsia"/>
          <w:color w:val="000000"/>
        </w:rPr>
        <w:t>12</w:t>
      </w:r>
      <w:r>
        <w:rPr>
          <w:rFonts w:ascii="Times New Roman" w:hAnsi="Times New Roman" w:cs="Times New Roman" w:hint="eastAsia"/>
          <w:color w:val="000000"/>
        </w:rPr>
        <w:t>月，李红将其所持北洋天青</w:t>
      </w:r>
      <w:r>
        <w:rPr>
          <w:rFonts w:ascii="Times New Roman" w:hAnsi="Times New Roman" w:cs="Times New Roman" w:hint="eastAsia"/>
          <w:color w:val="000000"/>
        </w:rPr>
        <w:t>7.00</w:t>
      </w:r>
      <w:r>
        <w:rPr>
          <w:rFonts w:ascii="Times New Roman" w:hAnsi="Times New Roman" w:cs="Times New Roman" w:hint="eastAsia"/>
          <w:color w:val="000000"/>
        </w:rPr>
        <w:t>万股股份以</w:t>
      </w:r>
      <w:r>
        <w:rPr>
          <w:rFonts w:ascii="Times New Roman" w:hAnsi="Times New Roman" w:cs="Times New Roman" w:hint="eastAsia"/>
          <w:color w:val="000000"/>
        </w:rPr>
        <w:t>6.00</w:t>
      </w:r>
      <w:r>
        <w:rPr>
          <w:rFonts w:ascii="Times New Roman" w:hAnsi="Times New Roman" w:cs="Times New Roman" w:hint="eastAsia"/>
          <w:color w:val="000000"/>
        </w:rPr>
        <w:t>元</w:t>
      </w:r>
      <w:r>
        <w:rPr>
          <w:rFonts w:ascii="Times New Roman" w:hAnsi="Times New Roman" w:cs="Times New Roman" w:hint="eastAsia"/>
          <w:color w:val="000000"/>
        </w:rPr>
        <w:t>/</w:t>
      </w:r>
      <w:r>
        <w:rPr>
          <w:rFonts w:ascii="Times New Roman" w:hAnsi="Times New Roman" w:cs="Times New Roman" w:hint="eastAsia"/>
          <w:color w:val="000000"/>
        </w:rPr>
        <w:t>股的价格转让给北洋天青原核心技术人员周建勇，北洋天青未相应变更股东名册。周建勇向李红以银行转账方式支付了</w:t>
      </w:r>
      <w:r>
        <w:rPr>
          <w:rFonts w:ascii="Times New Roman" w:hAnsi="Times New Roman" w:cs="Times New Roman" w:hint="eastAsia"/>
          <w:color w:val="000000"/>
        </w:rPr>
        <w:t>42.00</w:t>
      </w:r>
      <w:r>
        <w:rPr>
          <w:rFonts w:ascii="Times New Roman" w:hAnsi="Times New Roman" w:cs="Times New Roman" w:hint="eastAsia"/>
          <w:color w:val="000000"/>
        </w:rPr>
        <w:t>万元股份转让款。</w:t>
      </w:r>
      <w:r>
        <w:rPr>
          <w:rFonts w:ascii="Times New Roman" w:hAnsi="Times New Roman" w:cs="Times New Roman" w:hint="eastAsia"/>
          <w:color w:val="000000"/>
          <w:lang w:bidi="ar"/>
        </w:rPr>
        <w:t>为避免北洋天青的股权结构因周建勇的入股或离职而发生频繁变动，就上述股份转让北洋天青未出具新的股东名册。李红名下所持北洋天青股份中的</w:t>
      </w:r>
      <w:r>
        <w:rPr>
          <w:rFonts w:ascii="Times New Roman" w:hAnsi="Times New Roman" w:cs="Times New Roman" w:hint="eastAsia"/>
          <w:color w:val="000000"/>
          <w:lang w:bidi="ar"/>
        </w:rPr>
        <w:t>7.00</w:t>
      </w:r>
      <w:r>
        <w:rPr>
          <w:rFonts w:ascii="Times New Roman" w:hAnsi="Times New Roman" w:cs="Times New Roman" w:hint="eastAsia"/>
          <w:color w:val="000000"/>
          <w:lang w:bidi="ar"/>
        </w:rPr>
        <w:t>万股股份系代周建勇持有。</w:t>
      </w:r>
    </w:p>
    <w:p w14:paraId="44DA3C86" w14:textId="437A5C28"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color w:val="000000"/>
          <w:lang w:bidi="ar"/>
        </w:rPr>
        <w:t>2018</w:t>
      </w:r>
      <w:r>
        <w:rPr>
          <w:rFonts w:ascii="Times New Roman" w:hAnsi="Times New Roman" w:cs="Times New Roman" w:hint="eastAsia"/>
          <w:color w:val="000000"/>
          <w:lang w:bidi="ar"/>
        </w:rPr>
        <w:t>年</w:t>
      </w:r>
      <w:r>
        <w:rPr>
          <w:rFonts w:ascii="Times New Roman" w:hAnsi="Times New Roman" w:cs="Times New Roman"/>
          <w:color w:val="000000"/>
          <w:lang w:bidi="ar"/>
        </w:rPr>
        <w:t>6</w:t>
      </w:r>
      <w:r>
        <w:rPr>
          <w:rFonts w:ascii="Times New Roman" w:hAnsi="Times New Roman" w:cs="Times New Roman" w:hint="eastAsia"/>
          <w:color w:val="000000"/>
          <w:lang w:bidi="ar"/>
        </w:rPr>
        <w:t>月周建勇离职，将其所持北洋天青</w:t>
      </w:r>
      <w:r>
        <w:rPr>
          <w:rFonts w:ascii="Times New Roman" w:hAnsi="Times New Roman" w:cs="Times New Roman"/>
          <w:color w:val="000000"/>
          <w:lang w:bidi="ar"/>
        </w:rPr>
        <w:t>7</w:t>
      </w:r>
      <w:r>
        <w:rPr>
          <w:rFonts w:ascii="Times New Roman" w:hAnsi="Times New Roman" w:cs="Times New Roman" w:hint="eastAsia"/>
          <w:color w:val="000000"/>
          <w:lang w:bidi="ar"/>
        </w:rPr>
        <w:t>万股股份以</w:t>
      </w:r>
      <w:r>
        <w:rPr>
          <w:rFonts w:ascii="Times New Roman" w:hAnsi="Times New Roman" w:cs="Times New Roman" w:hint="eastAsia"/>
          <w:color w:val="000000"/>
          <w:lang w:bidi="ar"/>
        </w:rPr>
        <w:t>6.00</w:t>
      </w:r>
      <w:r>
        <w:rPr>
          <w:rFonts w:ascii="Times New Roman" w:hAnsi="Times New Roman" w:cs="Times New Roman" w:hint="eastAsia"/>
          <w:color w:val="000000"/>
          <w:lang w:bidi="ar"/>
        </w:rPr>
        <w:t>元</w:t>
      </w:r>
      <w:r>
        <w:rPr>
          <w:rFonts w:ascii="Times New Roman" w:hAnsi="Times New Roman" w:cs="Times New Roman" w:hint="eastAsia"/>
          <w:color w:val="000000"/>
          <w:lang w:bidi="ar"/>
        </w:rPr>
        <w:t>/</w:t>
      </w:r>
      <w:r>
        <w:rPr>
          <w:rFonts w:ascii="Times New Roman" w:hAnsi="Times New Roman" w:cs="Times New Roman" w:hint="eastAsia"/>
          <w:color w:val="000000"/>
          <w:lang w:bidi="ar"/>
        </w:rPr>
        <w:t>股的价格转让给李红</w:t>
      </w:r>
      <w:r>
        <w:rPr>
          <w:rFonts w:ascii="Times New Roman" w:hAnsi="Times New Roman" w:hint="eastAsia"/>
          <w:color w:val="000000"/>
          <w:lang w:bidi="ar"/>
        </w:rPr>
        <w:t>，</w:t>
      </w:r>
      <w:r>
        <w:rPr>
          <w:rFonts w:ascii="Times New Roman" w:hAnsi="Times New Roman" w:cs="Times New Roman" w:hint="eastAsia"/>
          <w:color w:val="000000"/>
          <w:lang w:bidi="ar"/>
        </w:rPr>
        <w:t>双方未就本次股份转让签订书面协议。</w:t>
      </w:r>
      <w:r>
        <w:rPr>
          <w:rFonts w:ascii="Times New Roman" w:hAnsi="Times New Roman" w:cs="Times New Roman" w:hint="eastAsia"/>
          <w:color w:val="000000"/>
          <w:lang w:bidi="ar"/>
        </w:rPr>
        <w:t>2018</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11</w:t>
      </w:r>
      <w:r>
        <w:rPr>
          <w:rFonts w:ascii="Times New Roman" w:hAnsi="Times New Roman" w:cs="Times New Roman" w:hint="eastAsia"/>
          <w:color w:val="000000"/>
          <w:lang w:bidi="ar"/>
        </w:rPr>
        <w:t>月</w:t>
      </w:r>
      <w:r>
        <w:rPr>
          <w:rFonts w:ascii="Times New Roman" w:hAnsi="Times New Roman" w:cs="Times New Roman" w:hint="eastAsia"/>
          <w:color w:val="000000"/>
          <w:lang w:bidi="ar"/>
        </w:rPr>
        <w:t>13</w:t>
      </w:r>
      <w:r>
        <w:rPr>
          <w:rFonts w:ascii="Times New Roman" w:hAnsi="Times New Roman" w:cs="Times New Roman" w:hint="eastAsia"/>
          <w:color w:val="000000"/>
          <w:lang w:bidi="ar"/>
        </w:rPr>
        <w:t>日，李红向周建勇配偶于晓云支付了</w:t>
      </w:r>
      <w:r>
        <w:rPr>
          <w:rFonts w:ascii="Times New Roman" w:hAnsi="Times New Roman" w:cs="Times New Roman" w:hint="eastAsia"/>
          <w:color w:val="000000"/>
          <w:lang w:bidi="ar"/>
        </w:rPr>
        <w:t>42.00</w:t>
      </w:r>
      <w:r>
        <w:rPr>
          <w:rFonts w:ascii="Times New Roman" w:hAnsi="Times New Roman" w:cs="Times New Roman" w:hint="eastAsia"/>
          <w:color w:val="000000"/>
          <w:lang w:bidi="ar"/>
        </w:rPr>
        <w:t>万元股份转让款。周建勇于同日出具《收条》，确认收到现金</w:t>
      </w:r>
      <w:r>
        <w:rPr>
          <w:rFonts w:ascii="Times New Roman" w:hAnsi="Times New Roman" w:cs="Times New Roman" w:hint="eastAsia"/>
          <w:color w:val="000000"/>
          <w:lang w:bidi="ar"/>
        </w:rPr>
        <w:t>42.00</w:t>
      </w:r>
      <w:r>
        <w:rPr>
          <w:rFonts w:ascii="Times New Roman" w:hAnsi="Times New Roman" w:cs="Times New Roman" w:hint="eastAsia"/>
          <w:color w:val="000000"/>
          <w:lang w:bidi="ar"/>
        </w:rPr>
        <w:t>万元，李红与周建勇之间的股权代持已</w:t>
      </w:r>
      <w:r w:rsidR="00B675A2" w:rsidRPr="00E923F3">
        <w:rPr>
          <w:rFonts w:hint="eastAsia"/>
          <w:bCs/>
          <w:lang w:val="en-GB"/>
        </w:rPr>
        <w:t>解除</w:t>
      </w:r>
      <w:r>
        <w:rPr>
          <w:rFonts w:ascii="Times New Roman" w:hAnsi="Times New Roman" w:cs="Times New Roman" w:hint="eastAsia"/>
          <w:color w:val="000000"/>
          <w:lang w:bidi="ar"/>
        </w:rPr>
        <w:t>完毕。截至本核查意见出具日，周建勇不再持有北洋天青任何股份。</w:t>
      </w:r>
    </w:p>
    <w:p w14:paraId="0350CADB" w14:textId="5AC68131"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五、傅敦与王铁弟之间的股份代持</w:t>
      </w:r>
      <w:r w:rsidR="00B675A2">
        <w:rPr>
          <w:rFonts w:ascii="Times New Roman" w:hAnsi="Times New Roman" w:cs="Times New Roman" w:hint="eastAsia"/>
          <w:b/>
          <w:color w:val="000000"/>
          <w:szCs w:val="21"/>
        </w:rPr>
        <w:t>及还原</w:t>
      </w:r>
      <w:r>
        <w:rPr>
          <w:rFonts w:ascii="Times New Roman" w:hAnsi="Times New Roman" w:cs="Times New Roman" w:hint="eastAsia"/>
          <w:b/>
          <w:color w:val="000000"/>
          <w:szCs w:val="21"/>
        </w:rPr>
        <w:t>情况</w:t>
      </w:r>
    </w:p>
    <w:p w14:paraId="4D82F5CB" w14:textId="4144D283"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根据对王铁弟、傅敦的访谈，傅敦自</w:t>
      </w:r>
      <w:r>
        <w:rPr>
          <w:rFonts w:ascii="Times New Roman" w:hAnsi="Times New Roman" w:cs="Times New Roman" w:hint="eastAsia"/>
          <w:color w:val="000000"/>
          <w:lang w:bidi="ar"/>
        </w:rPr>
        <w:t>2013</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11</w:t>
      </w:r>
      <w:r>
        <w:rPr>
          <w:rFonts w:ascii="Times New Roman" w:hAnsi="Times New Roman" w:cs="Times New Roman" w:hint="eastAsia"/>
          <w:color w:val="000000"/>
          <w:lang w:bidi="ar"/>
        </w:rPr>
        <w:t>月至</w:t>
      </w:r>
      <w:r>
        <w:rPr>
          <w:rFonts w:ascii="Times New Roman" w:hAnsi="Times New Roman" w:cs="Times New Roman" w:hint="eastAsia"/>
          <w:color w:val="000000"/>
          <w:lang w:bidi="ar"/>
        </w:rPr>
        <w:t>2016</w:t>
      </w:r>
      <w:r>
        <w:rPr>
          <w:rFonts w:ascii="Times New Roman" w:hAnsi="Times New Roman" w:cs="Times New Roman" w:hint="eastAsia"/>
          <w:color w:val="000000"/>
          <w:lang w:bidi="ar"/>
        </w:rPr>
        <w:t>年</w:t>
      </w:r>
      <w:r>
        <w:rPr>
          <w:rFonts w:ascii="Times New Roman" w:hAnsi="Times New Roman" w:cs="Times New Roman" w:hint="eastAsia"/>
          <w:color w:val="000000"/>
          <w:lang w:bidi="ar"/>
        </w:rPr>
        <w:t>6</w:t>
      </w:r>
      <w:r>
        <w:rPr>
          <w:rFonts w:ascii="Times New Roman" w:hAnsi="Times New Roman" w:cs="Times New Roman" w:hint="eastAsia"/>
          <w:color w:val="000000"/>
          <w:lang w:bidi="ar"/>
        </w:rPr>
        <w:t>月期间在北洋天青担任行政主管职务，因黄晓峰曾为傅敦原任职单位的供应商，出于个人原因考虑，</w:t>
      </w:r>
      <w:bookmarkStart w:id="50" w:name="_Hlk69815233"/>
      <w:r w:rsidR="00B675A2" w:rsidRPr="00B675A2">
        <w:rPr>
          <w:rFonts w:ascii="Times New Roman" w:hAnsi="Times New Roman" w:cs="Times New Roman"/>
          <w:color w:val="000000"/>
          <w:lang w:bidi="ar"/>
        </w:rPr>
        <w:t>2014</w:t>
      </w:r>
      <w:r w:rsidR="00B675A2" w:rsidRPr="00B675A2">
        <w:rPr>
          <w:rFonts w:ascii="Times New Roman" w:hAnsi="Times New Roman" w:cs="Times New Roman"/>
          <w:color w:val="000000"/>
          <w:lang w:bidi="ar"/>
        </w:rPr>
        <w:t>年</w:t>
      </w:r>
      <w:r w:rsidR="00B675A2" w:rsidRPr="00B675A2">
        <w:rPr>
          <w:rFonts w:ascii="Times New Roman" w:hAnsi="Times New Roman" w:cs="Times New Roman"/>
          <w:color w:val="000000"/>
          <w:lang w:bidi="ar"/>
        </w:rPr>
        <w:t>5</w:t>
      </w:r>
      <w:r w:rsidR="00B675A2" w:rsidRPr="00B675A2">
        <w:rPr>
          <w:rFonts w:ascii="Times New Roman" w:hAnsi="Times New Roman" w:cs="Times New Roman"/>
          <w:color w:val="000000"/>
          <w:lang w:bidi="ar"/>
        </w:rPr>
        <w:t>月傅敦受让北洋天青有限</w:t>
      </w:r>
      <w:r w:rsidR="00B675A2" w:rsidRPr="00B675A2">
        <w:rPr>
          <w:rFonts w:ascii="Times New Roman" w:hAnsi="Times New Roman" w:cs="Times New Roman"/>
          <w:color w:val="000000"/>
          <w:lang w:bidi="ar"/>
        </w:rPr>
        <w:t>15</w:t>
      </w:r>
      <w:r w:rsidR="00B675A2">
        <w:rPr>
          <w:rFonts w:ascii="Times New Roman" w:hAnsi="Times New Roman" w:cs="Times New Roman"/>
          <w:color w:val="000000"/>
          <w:lang w:bidi="ar"/>
        </w:rPr>
        <w:t>.00</w:t>
      </w:r>
      <w:r w:rsidR="00B675A2" w:rsidRPr="00B675A2">
        <w:rPr>
          <w:rFonts w:ascii="Times New Roman" w:hAnsi="Times New Roman" w:cs="Times New Roman"/>
          <w:color w:val="000000"/>
          <w:lang w:bidi="ar"/>
        </w:rPr>
        <w:t>万元出资（其中包括实缴出资</w:t>
      </w:r>
      <w:r w:rsidR="00B675A2" w:rsidRPr="00B675A2">
        <w:rPr>
          <w:rFonts w:ascii="Times New Roman" w:hAnsi="Times New Roman" w:cs="Times New Roman"/>
          <w:color w:val="000000"/>
          <w:lang w:bidi="ar"/>
        </w:rPr>
        <w:t>3</w:t>
      </w:r>
      <w:r w:rsidR="00B675A2">
        <w:rPr>
          <w:rFonts w:ascii="Times New Roman" w:hAnsi="Times New Roman" w:cs="Times New Roman"/>
          <w:color w:val="000000"/>
          <w:lang w:bidi="ar"/>
        </w:rPr>
        <w:t>.00</w:t>
      </w:r>
      <w:r w:rsidR="00B675A2" w:rsidRPr="00B675A2">
        <w:rPr>
          <w:rFonts w:ascii="Times New Roman" w:hAnsi="Times New Roman" w:cs="Times New Roman"/>
          <w:color w:val="000000"/>
          <w:lang w:bidi="ar"/>
        </w:rPr>
        <w:t>万元）时委托其舅舅王铁弟代为持股，并向胡良程以现金支付了</w:t>
      </w:r>
      <w:r w:rsidR="00B675A2" w:rsidRPr="00B675A2">
        <w:rPr>
          <w:rFonts w:ascii="Times New Roman" w:hAnsi="Times New Roman" w:cs="Times New Roman"/>
          <w:color w:val="000000"/>
          <w:lang w:bidi="ar"/>
        </w:rPr>
        <w:t>3</w:t>
      </w:r>
      <w:r w:rsidR="00B675A2">
        <w:rPr>
          <w:rFonts w:ascii="Times New Roman" w:hAnsi="Times New Roman" w:cs="Times New Roman"/>
          <w:color w:val="000000"/>
          <w:lang w:bidi="ar"/>
        </w:rPr>
        <w:t>.00</w:t>
      </w:r>
      <w:r w:rsidR="00B675A2" w:rsidRPr="00B675A2">
        <w:rPr>
          <w:rFonts w:ascii="Times New Roman" w:hAnsi="Times New Roman" w:cs="Times New Roman"/>
          <w:color w:val="000000"/>
          <w:lang w:bidi="ar"/>
        </w:rPr>
        <w:t>万元股权转让款。</w:t>
      </w:r>
      <w:r w:rsidR="00B675A2" w:rsidRPr="00B675A2">
        <w:rPr>
          <w:rFonts w:ascii="Times New Roman" w:hAnsi="Times New Roman" w:cs="Times New Roman"/>
          <w:color w:val="000000"/>
          <w:lang w:bidi="ar"/>
        </w:rPr>
        <w:t>2015</w:t>
      </w:r>
      <w:r w:rsidR="00B675A2" w:rsidRPr="00B675A2">
        <w:rPr>
          <w:rFonts w:ascii="Times New Roman" w:hAnsi="Times New Roman" w:cs="Times New Roman"/>
          <w:color w:val="000000"/>
          <w:lang w:bidi="ar"/>
        </w:rPr>
        <w:t>年</w:t>
      </w:r>
      <w:r w:rsidR="00B675A2" w:rsidRPr="00B675A2">
        <w:rPr>
          <w:rFonts w:ascii="Times New Roman" w:hAnsi="Times New Roman" w:cs="Times New Roman"/>
          <w:color w:val="000000"/>
          <w:lang w:bidi="ar"/>
        </w:rPr>
        <w:t>12</w:t>
      </w:r>
      <w:r w:rsidR="00B675A2" w:rsidRPr="00B675A2">
        <w:rPr>
          <w:rFonts w:ascii="Times New Roman" w:hAnsi="Times New Roman" w:cs="Times New Roman"/>
          <w:color w:val="000000"/>
          <w:lang w:bidi="ar"/>
        </w:rPr>
        <w:t>月北洋天青有限实收资本由</w:t>
      </w:r>
      <w:r w:rsidR="00B675A2" w:rsidRPr="00B675A2">
        <w:rPr>
          <w:rFonts w:ascii="Times New Roman" w:hAnsi="Times New Roman" w:cs="Times New Roman"/>
          <w:color w:val="000000"/>
          <w:lang w:bidi="ar"/>
        </w:rPr>
        <w:t>200</w:t>
      </w:r>
      <w:r w:rsidR="00B675A2">
        <w:rPr>
          <w:rFonts w:ascii="Times New Roman" w:hAnsi="Times New Roman" w:cs="Times New Roman"/>
          <w:color w:val="000000"/>
          <w:lang w:bidi="ar"/>
        </w:rPr>
        <w:t>.00</w:t>
      </w:r>
      <w:r w:rsidR="00B675A2" w:rsidRPr="00B675A2">
        <w:rPr>
          <w:rFonts w:ascii="Times New Roman" w:hAnsi="Times New Roman" w:cs="Times New Roman"/>
          <w:color w:val="000000"/>
          <w:lang w:bidi="ar"/>
        </w:rPr>
        <w:t>万元增加至</w:t>
      </w:r>
      <w:r w:rsidR="00B675A2" w:rsidRPr="00B675A2">
        <w:rPr>
          <w:rFonts w:ascii="Times New Roman" w:hAnsi="Times New Roman" w:cs="Times New Roman"/>
          <w:color w:val="000000"/>
          <w:lang w:bidi="ar"/>
        </w:rPr>
        <w:t>1,000</w:t>
      </w:r>
      <w:r w:rsidR="00B675A2">
        <w:rPr>
          <w:rFonts w:ascii="Times New Roman" w:hAnsi="Times New Roman" w:cs="Times New Roman"/>
          <w:color w:val="000000"/>
          <w:lang w:bidi="ar"/>
        </w:rPr>
        <w:t>.00</w:t>
      </w:r>
      <w:r w:rsidR="00B675A2" w:rsidRPr="00B675A2">
        <w:rPr>
          <w:rFonts w:ascii="Times New Roman" w:hAnsi="Times New Roman" w:cs="Times New Roman"/>
          <w:color w:val="000000"/>
          <w:lang w:bidi="ar"/>
        </w:rPr>
        <w:t>万元，傅敦以王铁弟名义向北洋天青有限实缴出资</w:t>
      </w:r>
      <w:r w:rsidR="00B675A2" w:rsidRPr="00B675A2">
        <w:rPr>
          <w:rFonts w:ascii="Times New Roman" w:hAnsi="Times New Roman" w:cs="Times New Roman"/>
          <w:color w:val="000000"/>
          <w:lang w:bidi="ar"/>
        </w:rPr>
        <w:t>12</w:t>
      </w:r>
      <w:r w:rsidR="00B675A2">
        <w:rPr>
          <w:rFonts w:ascii="Times New Roman" w:hAnsi="Times New Roman" w:cs="Times New Roman"/>
          <w:color w:val="000000"/>
          <w:lang w:bidi="ar"/>
        </w:rPr>
        <w:t>.00</w:t>
      </w:r>
      <w:r w:rsidR="00B675A2" w:rsidRPr="00B675A2">
        <w:rPr>
          <w:rFonts w:ascii="Times New Roman" w:hAnsi="Times New Roman" w:cs="Times New Roman"/>
          <w:color w:val="000000"/>
          <w:lang w:bidi="ar"/>
        </w:rPr>
        <w:t>万元，王铁弟名下所持北洋天青有限</w:t>
      </w:r>
      <w:r w:rsidR="00B675A2" w:rsidRPr="00B675A2">
        <w:rPr>
          <w:rFonts w:ascii="Times New Roman" w:hAnsi="Times New Roman" w:cs="Times New Roman"/>
          <w:color w:val="000000"/>
          <w:lang w:bidi="ar"/>
        </w:rPr>
        <w:t>15</w:t>
      </w:r>
      <w:r w:rsidR="00B675A2">
        <w:rPr>
          <w:rFonts w:ascii="Times New Roman" w:hAnsi="Times New Roman" w:cs="Times New Roman"/>
          <w:color w:val="000000"/>
          <w:lang w:bidi="ar"/>
        </w:rPr>
        <w:t>.00</w:t>
      </w:r>
      <w:r w:rsidR="00B675A2" w:rsidRPr="00B675A2">
        <w:rPr>
          <w:rFonts w:ascii="Times New Roman" w:hAnsi="Times New Roman" w:cs="Times New Roman"/>
          <w:color w:val="000000"/>
          <w:lang w:bidi="ar"/>
        </w:rPr>
        <w:t>万元股权均为代傅敦持有。</w:t>
      </w:r>
      <w:bookmarkEnd w:id="50"/>
    </w:p>
    <w:p w14:paraId="341C5C78" w14:textId="2EC77373" w:rsidR="00C02929" w:rsidRDefault="006116D1">
      <w:pPr>
        <w:spacing w:beforeLines="50" w:before="156" w:line="360" w:lineRule="auto"/>
        <w:ind w:firstLineChars="200" w:firstLine="480"/>
        <w:jc w:val="both"/>
        <w:rPr>
          <w:rFonts w:ascii="Times New Roman" w:hAnsi="Times New Roman" w:cs="Times New Roman"/>
          <w:color w:val="000000"/>
          <w:lang w:bidi="ar"/>
        </w:rPr>
      </w:pPr>
      <w:bookmarkStart w:id="51" w:name="_Hlk69815343"/>
      <w:r>
        <w:rPr>
          <w:rFonts w:ascii="Times New Roman" w:hAnsi="Times New Roman" w:cs="Times New Roman" w:hint="eastAsia"/>
          <w:color w:val="000000"/>
          <w:lang w:bidi="ar"/>
        </w:rPr>
        <w:t>2015</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12</w:t>
      </w:r>
      <w:r>
        <w:rPr>
          <w:rFonts w:ascii="Times New Roman" w:hAnsi="Times New Roman" w:cs="Times New Roman" w:hint="eastAsia"/>
          <w:color w:val="000000"/>
          <w:lang w:bidi="ar"/>
        </w:rPr>
        <w:t>月，</w:t>
      </w:r>
      <w:r>
        <w:rPr>
          <w:rFonts w:ascii="Times New Roman" w:hAnsi="Times New Roman" w:hint="eastAsia"/>
          <w:color w:val="000000"/>
          <w:lang w:bidi="ar"/>
        </w:rPr>
        <w:t>王铁弟与李红签订《股权转让协议》，</w:t>
      </w:r>
      <w:r>
        <w:rPr>
          <w:rFonts w:ascii="Times New Roman" w:hAnsi="Times New Roman" w:cs="Times New Roman" w:hint="eastAsia"/>
          <w:color w:val="000000"/>
          <w:lang w:bidi="ar"/>
        </w:rPr>
        <w:t>王铁弟按傅敦要求将其所代持的北洋天青有限</w:t>
      </w:r>
      <w:r w:rsidR="00B675A2">
        <w:rPr>
          <w:rFonts w:ascii="Times New Roman" w:hAnsi="Times New Roman" w:hint="eastAsia"/>
          <w:color w:val="000000"/>
        </w:rPr>
        <w:t>1</w:t>
      </w:r>
      <w:r w:rsidR="00B675A2">
        <w:rPr>
          <w:rFonts w:ascii="Times New Roman" w:hAnsi="Times New Roman"/>
          <w:color w:val="000000"/>
        </w:rPr>
        <w:t>5.</w:t>
      </w:r>
      <w:r w:rsidR="00B675A2">
        <w:rPr>
          <w:rFonts w:ascii="Times New Roman" w:hAnsi="Times New Roman" w:hint="eastAsia"/>
          <w:color w:val="000000"/>
        </w:rPr>
        <w:t>0</w:t>
      </w:r>
      <w:r w:rsidR="00B675A2">
        <w:rPr>
          <w:rFonts w:ascii="Times New Roman" w:hAnsi="Times New Roman"/>
          <w:color w:val="000000"/>
        </w:rPr>
        <w:t>0</w:t>
      </w:r>
      <w:r w:rsidR="00B675A2">
        <w:rPr>
          <w:rFonts w:ascii="Times New Roman" w:hAnsi="Times New Roman" w:hint="eastAsia"/>
          <w:color w:val="000000"/>
        </w:rPr>
        <w:t>万元股权中的</w:t>
      </w:r>
      <w:r>
        <w:rPr>
          <w:rFonts w:ascii="Times New Roman" w:hAnsi="Times New Roman" w:cs="Times New Roman" w:hint="eastAsia"/>
          <w:color w:val="000000"/>
          <w:lang w:bidi="ar"/>
        </w:rPr>
        <w:t>2.1429</w:t>
      </w:r>
      <w:r>
        <w:rPr>
          <w:rFonts w:ascii="Times New Roman" w:hAnsi="Times New Roman" w:cs="Times New Roman" w:hint="eastAsia"/>
          <w:color w:val="000000"/>
          <w:lang w:bidi="ar"/>
        </w:rPr>
        <w:t>万元股权以</w:t>
      </w:r>
      <w:r>
        <w:rPr>
          <w:rFonts w:ascii="Times New Roman" w:hAnsi="Times New Roman" w:cs="Times New Roman" w:hint="eastAsia"/>
          <w:color w:val="000000"/>
          <w:lang w:bidi="ar"/>
        </w:rPr>
        <w:t>1.00</w:t>
      </w:r>
      <w:r>
        <w:rPr>
          <w:rFonts w:ascii="Times New Roman" w:hAnsi="Times New Roman" w:cs="Times New Roman" w:hint="eastAsia"/>
          <w:color w:val="000000"/>
          <w:lang w:bidi="ar"/>
        </w:rPr>
        <w:t>元</w:t>
      </w:r>
      <w:r>
        <w:rPr>
          <w:rFonts w:ascii="Times New Roman" w:hAnsi="Times New Roman" w:cs="Times New Roman" w:hint="eastAsia"/>
          <w:color w:val="000000"/>
          <w:lang w:bidi="ar"/>
        </w:rPr>
        <w:t>/</w:t>
      </w:r>
      <w:r>
        <w:rPr>
          <w:rFonts w:ascii="Times New Roman" w:hAnsi="Times New Roman" w:cs="Times New Roman" w:hint="eastAsia"/>
          <w:color w:val="000000"/>
          <w:lang w:bidi="ar"/>
        </w:rPr>
        <w:t>股的价格转让给李红；</w:t>
      </w:r>
      <w:r>
        <w:rPr>
          <w:rFonts w:ascii="Times New Roman" w:hAnsi="Times New Roman" w:hint="eastAsia"/>
          <w:color w:val="000000"/>
          <w:lang w:bidi="ar"/>
        </w:rPr>
        <w:t>王铁弟与傅敦签订《股权转让协议》，</w:t>
      </w:r>
      <w:r>
        <w:rPr>
          <w:rFonts w:ascii="Times New Roman" w:hAnsi="Times New Roman" w:cs="Times New Roman" w:hint="eastAsia"/>
          <w:color w:val="000000"/>
          <w:lang w:bidi="ar"/>
        </w:rPr>
        <w:t>王铁弟将其代傅敦持有的北洋天青有限</w:t>
      </w:r>
      <w:r w:rsidR="00B675A2">
        <w:rPr>
          <w:rFonts w:ascii="Times New Roman" w:hAnsi="Times New Roman" w:hint="eastAsia"/>
          <w:color w:val="000000"/>
        </w:rPr>
        <w:t>1</w:t>
      </w:r>
      <w:r w:rsidR="00B675A2">
        <w:rPr>
          <w:rFonts w:ascii="Times New Roman" w:hAnsi="Times New Roman"/>
          <w:color w:val="000000"/>
        </w:rPr>
        <w:t>5.</w:t>
      </w:r>
      <w:r w:rsidR="00B675A2">
        <w:rPr>
          <w:rFonts w:ascii="Times New Roman" w:hAnsi="Times New Roman" w:hint="eastAsia"/>
          <w:color w:val="000000"/>
        </w:rPr>
        <w:t>0</w:t>
      </w:r>
      <w:r w:rsidR="00B675A2">
        <w:rPr>
          <w:rFonts w:ascii="Times New Roman" w:hAnsi="Times New Roman"/>
          <w:color w:val="000000"/>
        </w:rPr>
        <w:t>0</w:t>
      </w:r>
      <w:r w:rsidR="00B675A2">
        <w:rPr>
          <w:rFonts w:ascii="Times New Roman" w:hAnsi="Times New Roman" w:hint="eastAsia"/>
          <w:color w:val="000000"/>
        </w:rPr>
        <w:t>万元股权中的</w:t>
      </w:r>
      <w:r>
        <w:rPr>
          <w:rFonts w:ascii="Times New Roman" w:hAnsi="Times New Roman" w:cs="Times New Roman" w:hint="eastAsia"/>
          <w:color w:val="000000"/>
          <w:lang w:bidi="ar"/>
        </w:rPr>
        <w:t>12.8571</w:t>
      </w:r>
      <w:r>
        <w:rPr>
          <w:rFonts w:ascii="Times New Roman" w:hAnsi="Times New Roman" w:cs="Times New Roman" w:hint="eastAsia"/>
          <w:color w:val="000000"/>
          <w:lang w:bidi="ar"/>
        </w:rPr>
        <w:t>万元股权转回给傅敦，本次股权转让</w:t>
      </w:r>
      <w:r>
        <w:rPr>
          <w:rFonts w:ascii="Times New Roman" w:hAnsi="Times New Roman" w:cs="Times New Roman" w:hint="eastAsia"/>
          <w:color w:val="000000"/>
          <w:lang w:bidi="ar"/>
        </w:rPr>
        <w:lastRenderedPageBreak/>
        <w:t>为代持还原，傅敦无需支付对价。</w:t>
      </w:r>
      <w:bookmarkEnd w:id="51"/>
      <w:r>
        <w:rPr>
          <w:rFonts w:ascii="Times New Roman" w:hAnsi="Times New Roman" w:cs="Times New Roman" w:hint="eastAsia"/>
          <w:bCs/>
          <w:color w:val="000000"/>
          <w:szCs w:val="21"/>
        </w:rPr>
        <w:t>截至本核查意见出具日</w:t>
      </w:r>
      <w:r>
        <w:rPr>
          <w:rFonts w:ascii="Times New Roman" w:hAnsi="Times New Roman" w:cs="Times New Roman" w:hint="eastAsia"/>
          <w:color w:val="000000"/>
          <w:lang w:bidi="ar"/>
        </w:rPr>
        <w:t>，上述股权代持情况已清理</w:t>
      </w:r>
      <w:r w:rsidR="00B675A2">
        <w:rPr>
          <w:rFonts w:ascii="Times New Roman" w:hAnsi="Times New Roman" w:cs="Times New Roman" w:hint="eastAsia"/>
          <w:color w:val="000000"/>
          <w:lang w:bidi="ar"/>
        </w:rPr>
        <w:t>完毕</w:t>
      </w:r>
      <w:r>
        <w:rPr>
          <w:rFonts w:ascii="Times New Roman" w:hAnsi="Times New Roman" w:cs="Times New Roman" w:hint="eastAsia"/>
          <w:color w:val="000000"/>
          <w:lang w:bidi="ar"/>
        </w:rPr>
        <w:t>，王铁弟不再直接或间接持有北洋天青任何股份。</w:t>
      </w:r>
    </w:p>
    <w:p w14:paraId="3F142B67" w14:textId="60CFDCDA"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六、江涛与当代文化之间的股份代持</w:t>
      </w:r>
      <w:r w:rsidR="00B675A2">
        <w:rPr>
          <w:rFonts w:ascii="Times New Roman" w:hAnsi="Times New Roman" w:cs="Times New Roman" w:hint="eastAsia"/>
          <w:b/>
          <w:color w:val="000000"/>
          <w:szCs w:val="21"/>
        </w:rPr>
        <w:t>及解除</w:t>
      </w:r>
      <w:r>
        <w:rPr>
          <w:rFonts w:ascii="Times New Roman" w:hAnsi="Times New Roman" w:cs="Times New Roman" w:hint="eastAsia"/>
          <w:b/>
          <w:color w:val="000000"/>
          <w:szCs w:val="21"/>
        </w:rPr>
        <w:t>情况</w:t>
      </w:r>
    </w:p>
    <w:p w14:paraId="03D1F706"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对江涛、丁一铭的访谈及核查，江涛通过丁一铭间接持有当代文化控股权。因江涛拟携家人长期在澳大利亚居住，其本人在北洋天青有限直接持股、参加会议及相关事项签字不方便，因此江涛将所持有的北洋天青有限全部股权无偿转让给其实际控制的当代文化，由当代文化代江涛持有北洋天青有限</w:t>
      </w:r>
      <w:r>
        <w:rPr>
          <w:rFonts w:ascii="Times New Roman" w:hAnsi="Times New Roman" w:cs="Times New Roman" w:hint="eastAsia"/>
          <w:color w:val="000000"/>
          <w:lang w:bidi="ar"/>
        </w:rPr>
        <w:t>150.00</w:t>
      </w:r>
      <w:r>
        <w:rPr>
          <w:rFonts w:ascii="Times New Roman" w:hAnsi="Times New Roman" w:cs="Times New Roman" w:hint="eastAsia"/>
          <w:color w:val="000000"/>
          <w:lang w:bidi="ar"/>
        </w:rPr>
        <w:t>万元股权。</w:t>
      </w:r>
    </w:p>
    <w:p w14:paraId="28FE442C"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2018</w:t>
      </w:r>
      <w:r>
        <w:rPr>
          <w:rFonts w:ascii="Times New Roman" w:hAnsi="Times New Roman" w:cs="Times New Roman" w:hint="eastAsia"/>
          <w:color w:val="000000"/>
          <w:lang w:bidi="ar"/>
        </w:rPr>
        <w:t>年</w:t>
      </w:r>
      <w:r>
        <w:rPr>
          <w:rFonts w:ascii="Times New Roman" w:hAnsi="Times New Roman" w:cs="Times New Roman" w:hint="eastAsia"/>
          <w:color w:val="000000"/>
          <w:lang w:bidi="ar"/>
        </w:rPr>
        <w:t>1</w:t>
      </w:r>
      <w:r>
        <w:rPr>
          <w:rFonts w:ascii="Times New Roman" w:hAnsi="Times New Roman" w:cs="Times New Roman" w:hint="eastAsia"/>
          <w:color w:val="000000"/>
          <w:lang w:bidi="ar"/>
        </w:rPr>
        <w:t>月江涛因资金需求，将其委托当代文化代为持有的北洋天青股份通过股转交易系统全部转让给钱祥丰和王晓晖，至此江涛与当代文化之间关于北洋天青的股份代持清理完毕，江涛及当代文化不再持有北洋天青任何股份。</w:t>
      </w:r>
    </w:p>
    <w:p w14:paraId="3D8A1F28" w14:textId="2FAA88C9"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根据对上述标的公司股权代持相关各方及其他股东的访谈确认，上述股权代持各方在解除代持关系时未</w:t>
      </w:r>
      <w:r>
        <w:rPr>
          <w:rFonts w:ascii="Times New Roman" w:hAnsi="Times New Roman" w:hint="eastAsia"/>
          <w:color w:val="000000"/>
          <w:lang w:bidi="ar"/>
        </w:rPr>
        <w:t>专门</w:t>
      </w:r>
      <w:r>
        <w:rPr>
          <w:rFonts w:ascii="Times New Roman" w:hAnsi="Times New Roman" w:cs="Times New Roman" w:hint="eastAsia"/>
          <w:color w:val="000000"/>
          <w:lang w:bidi="ar"/>
        </w:rPr>
        <w:t>签订代持解除协议；股权代持各方均已对股权代持原因、形成过程及解除情况进行确认，</w:t>
      </w:r>
      <w:r w:rsidR="00B675A2">
        <w:rPr>
          <w:rFonts w:ascii="Times New Roman" w:hAnsi="Times New Roman" w:hint="eastAsia"/>
          <w:color w:val="000000"/>
        </w:rPr>
        <w:t>交易对方</w:t>
      </w:r>
      <w:r w:rsidR="00B675A2" w:rsidRPr="007720F7">
        <w:rPr>
          <w:rFonts w:ascii="Times New Roman" w:hAnsi="Times New Roman" w:hint="eastAsia"/>
          <w:color w:val="000000"/>
        </w:rPr>
        <w:t>所持</w:t>
      </w:r>
      <w:r w:rsidR="00B675A2">
        <w:rPr>
          <w:rFonts w:ascii="Times New Roman" w:hAnsi="Times New Roman" w:hint="eastAsia"/>
          <w:color w:val="000000"/>
        </w:rPr>
        <w:t>北洋天青股份</w:t>
      </w:r>
      <w:r w:rsidR="00B675A2" w:rsidRPr="007720F7">
        <w:rPr>
          <w:rFonts w:ascii="Times New Roman" w:hAnsi="Times New Roman" w:hint="eastAsia"/>
          <w:color w:val="000000"/>
        </w:rPr>
        <w:t>不存在委托投资、信托持股或股份代持的情形。</w:t>
      </w:r>
    </w:p>
    <w:p w14:paraId="76DA0CD5"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）标的资产有无股权争议，对潜在法律风险有无具体应对措施</w:t>
      </w:r>
    </w:p>
    <w:p w14:paraId="262B3646"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北洋天青历史上存在的股权代持情形均已解除完毕，还原了真实持股关系，并对代持方与被代持方均进行了访谈确认，各方对股权代持及代持解除的情况进行了确认，并确认各方之间不存在任何股权争议及其他潜在纠纷。</w:t>
      </w:r>
    </w:p>
    <w:p w14:paraId="62CDEEAC" w14:textId="109DDFB7" w:rsidR="00C02929" w:rsidRDefault="00B675A2">
      <w:pPr>
        <w:spacing w:beforeLines="50" w:before="156" w:line="360" w:lineRule="auto"/>
        <w:ind w:firstLineChars="200" w:firstLine="480"/>
        <w:jc w:val="both"/>
        <w:rPr>
          <w:rFonts w:ascii="Times New Roman" w:hAnsi="Times New Roman" w:cs="Times New Roman"/>
          <w:color w:val="000000"/>
          <w:lang w:bidi="ar"/>
        </w:rPr>
      </w:pPr>
      <w:bookmarkStart w:id="52" w:name="_Hlk69815475"/>
      <w:r>
        <w:rPr>
          <w:rFonts w:ascii="Times New Roman" w:hAnsi="Times New Roman" w:hint="eastAsia"/>
          <w:color w:val="000000"/>
          <w:lang w:bidi="ar"/>
        </w:rPr>
        <w:t>作为</w:t>
      </w:r>
      <w:r w:rsidRPr="00701684">
        <w:rPr>
          <w:rFonts w:ascii="Times New Roman" w:hAnsi="Times New Roman" w:hint="eastAsia"/>
          <w:color w:val="000000"/>
          <w:lang w:bidi="ar"/>
        </w:rPr>
        <w:t>北洋天青</w:t>
      </w:r>
      <w:r>
        <w:rPr>
          <w:rFonts w:ascii="Times New Roman" w:hAnsi="Times New Roman" w:hint="eastAsia"/>
          <w:color w:val="000000"/>
          <w:lang w:bidi="ar"/>
        </w:rPr>
        <w:t>股东的交易对方</w:t>
      </w:r>
      <w:r w:rsidRPr="00701684">
        <w:rPr>
          <w:rFonts w:ascii="Times New Roman" w:hAnsi="Times New Roman" w:hint="eastAsia"/>
          <w:color w:val="000000"/>
          <w:lang w:bidi="ar"/>
        </w:rPr>
        <w:t>均已出具</w:t>
      </w:r>
      <w:bookmarkEnd w:id="52"/>
      <w:r w:rsidR="006116D1">
        <w:rPr>
          <w:rFonts w:ascii="Times New Roman" w:hAnsi="Times New Roman" w:cs="Times New Roman" w:hint="eastAsia"/>
          <w:color w:val="000000"/>
          <w:lang w:bidi="ar"/>
        </w:rPr>
        <w:t>《关于标的资产权属相关事项的承诺函》，承诺其所持标的资产权属清晰、完整；其向北洋天青的出资或受让股权的资金均为合法取得的自有资金且已足额缴纳或支付；其为标的资产的最终和真实所有人，不存在以信托、委托他人或接受他人委托等方式持有标的资产的情形，不存在权属纠纷或其他潜在纠纷。</w:t>
      </w:r>
    </w:p>
    <w:p w14:paraId="114A351F" w14:textId="77D7B50B"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综上所述，标的公司曾经存在的股权代持情形已经得到依法解除，截至本核查意见出具日，</w:t>
      </w:r>
      <w:r w:rsidR="00B675A2">
        <w:rPr>
          <w:rFonts w:ascii="Times New Roman" w:hAnsi="Times New Roman" w:hint="eastAsia"/>
          <w:color w:val="000000"/>
          <w:lang w:bidi="ar"/>
        </w:rPr>
        <w:t>交易对方</w:t>
      </w:r>
      <w:r>
        <w:rPr>
          <w:rFonts w:ascii="Times New Roman" w:hAnsi="Times New Roman" w:cs="Times New Roman" w:hint="eastAsia"/>
          <w:color w:val="000000"/>
          <w:lang w:bidi="ar"/>
        </w:rPr>
        <w:t>所持北洋天青的股份不存在任何代持情形，北洋天青的</w:t>
      </w:r>
      <w:r>
        <w:rPr>
          <w:rFonts w:ascii="Times New Roman" w:hAnsi="Times New Roman" w:cs="Times New Roman" w:hint="eastAsia"/>
          <w:color w:val="000000"/>
          <w:lang w:bidi="ar"/>
        </w:rPr>
        <w:lastRenderedPageBreak/>
        <w:t>股份不存在现时或潜在的争议或纠纷。曾经存在的股权代持情形，亦不存在潜在的重大法律风险，不会对本次重组产生重大不利影响。</w:t>
      </w:r>
    </w:p>
    <w:p w14:paraId="66E4AAAB"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）补充披露情况</w:t>
      </w:r>
    </w:p>
    <w:p w14:paraId="6D745C1A"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“股权代持的原因、变动的详细过程及清理情况”及“标的资产股权纠纷及潜在法律风险的应对措施”已在“第四节</w:t>
      </w:r>
      <w:r>
        <w:rPr>
          <w:rFonts w:ascii="Times New Roman" w:hAnsi="Times New Roman" w:cs="Times New Roman"/>
          <w:color w:val="000000"/>
          <w:lang w:bidi="ar"/>
        </w:rPr>
        <w:t xml:space="preserve"> </w:t>
      </w:r>
      <w:r>
        <w:rPr>
          <w:rFonts w:ascii="Times New Roman" w:hAnsi="Times New Roman" w:cs="Times New Roman" w:hint="eastAsia"/>
          <w:color w:val="000000"/>
          <w:lang w:bidi="ar"/>
        </w:rPr>
        <w:t>交易标的基本情况”之“二、历史沿革”之“（十三）历次股权变动代持及还原情况”补充披露。</w:t>
      </w:r>
    </w:p>
    <w:p w14:paraId="23FE468F" w14:textId="2A039F31"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w:t>
      </w:r>
      <w:r w:rsidR="00AA3DAA" w:rsidRPr="00AA3DAA">
        <w:rPr>
          <w:rFonts w:ascii="Times New Roman" w:eastAsia="黑体" w:hAnsi="Times New Roman" w:cs="Times New Roman" w:hint="eastAsia"/>
          <w:b/>
          <w:color w:val="000000"/>
          <w:szCs w:val="21"/>
        </w:rPr>
        <w:t>独立财务顾问核查意见</w:t>
      </w:r>
    </w:p>
    <w:p w14:paraId="6CE5B230" w14:textId="03E5545E"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经核查，独立财务顾问认为：根据对标的公司股权代持相关各方及其他股东的访谈确认，股权代持各方在解除代持关系时未</w:t>
      </w:r>
      <w:r>
        <w:rPr>
          <w:rFonts w:ascii="Times New Roman" w:hAnsi="Times New Roman" w:hint="eastAsia"/>
          <w:color w:val="000000"/>
          <w:lang w:bidi="ar"/>
        </w:rPr>
        <w:t>专门</w:t>
      </w:r>
      <w:r>
        <w:rPr>
          <w:rFonts w:ascii="Times New Roman" w:hAnsi="Times New Roman" w:cs="Times New Roman" w:hint="eastAsia"/>
          <w:color w:val="000000"/>
          <w:lang w:bidi="ar"/>
        </w:rPr>
        <w:t>签订代持解除协议；股权代持各方均已对股权代持原因、形成过程及解除情况进行确认，</w:t>
      </w:r>
      <w:r w:rsidR="00B675A2">
        <w:rPr>
          <w:rFonts w:ascii="Times New Roman" w:hAnsi="Times New Roman" w:hint="eastAsia"/>
          <w:color w:val="000000"/>
          <w:lang w:bidi="ar"/>
        </w:rPr>
        <w:t>交易对方</w:t>
      </w:r>
      <w:r>
        <w:rPr>
          <w:rFonts w:ascii="Times New Roman" w:hAnsi="Times New Roman" w:cs="Times New Roman" w:hint="eastAsia"/>
          <w:color w:val="000000"/>
          <w:lang w:bidi="ar"/>
        </w:rPr>
        <w:t>所持股权不存在委托投资、信托持股或股份代持的情形。标的公司曾经存在的股权代持情形已经得到依法解除，截至本核查意见出具日，</w:t>
      </w:r>
      <w:r w:rsidR="00B675A2">
        <w:rPr>
          <w:rFonts w:ascii="Times New Roman" w:hAnsi="Times New Roman" w:hint="eastAsia"/>
          <w:color w:val="000000"/>
          <w:lang w:bidi="ar"/>
        </w:rPr>
        <w:t>交易对方</w:t>
      </w:r>
      <w:r>
        <w:rPr>
          <w:rFonts w:ascii="Times New Roman" w:hAnsi="Times New Roman" w:cs="Times New Roman" w:hint="eastAsia"/>
          <w:color w:val="000000"/>
          <w:lang w:bidi="ar"/>
        </w:rPr>
        <w:t>所持北洋天青的股份不存在任何代持情形，北洋天青的股份不存在现时或潜在的争议或纠纷。曾经存在的股权代持情形，亦不存在潜在的重大法律风险，不会对本次重组产生重大不利影响。</w:t>
      </w:r>
    </w:p>
    <w:p w14:paraId="42F1DE43" w14:textId="77777777" w:rsidR="00C02929" w:rsidRDefault="00C02929">
      <w:pPr>
        <w:pStyle w:val="afffff"/>
        <w:sectPr w:rsidR="00C02929">
          <w:pgSz w:w="11906" w:h="16838"/>
          <w:pgMar w:top="1440" w:right="1800" w:bottom="1440" w:left="1800" w:header="851" w:footer="992" w:gutter="0"/>
          <w:cols w:space="720"/>
          <w:docGrid w:type="lines" w:linePitch="312"/>
        </w:sectPr>
      </w:pPr>
      <w:bookmarkStart w:id="53" w:name="_Toc69256874"/>
      <w:bookmarkStart w:id="54" w:name="_Toc69256856"/>
      <w:bookmarkEnd w:id="47"/>
      <w:bookmarkEnd w:id="48"/>
    </w:p>
    <w:p w14:paraId="53E88FDF" w14:textId="77777777" w:rsidR="00C02929" w:rsidRDefault="006116D1">
      <w:pPr>
        <w:pStyle w:val="afffff"/>
      </w:pPr>
      <w:r>
        <w:rPr>
          <w:rFonts w:hint="eastAsia"/>
        </w:rPr>
        <w:lastRenderedPageBreak/>
        <w:t>第八题</w:t>
      </w:r>
    </w:p>
    <w:p w14:paraId="1BE44E8E"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申请文件显示，报告期内各期，标的资产分别实现营业收入</w:t>
      </w:r>
      <w:r>
        <w:rPr>
          <w:rFonts w:ascii="Times New Roman" w:eastAsia="黑体" w:hAnsi="Times New Roman" w:cs="Times New Roman" w:hint="eastAsia"/>
          <w:b/>
          <w:color w:val="000000"/>
          <w:szCs w:val="21"/>
        </w:rPr>
        <w:t>6,106.09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10,326.14</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6,648.80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年，标的资产营业收入较</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年增长</w:t>
      </w:r>
      <w:r>
        <w:rPr>
          <w:rFonts w:ascii="Times New Roman" w:eastAsia="黑体" w:hAnsi="Times New Roman" w:cs="Times New Roman" w:hint="eastAsia"/>
          <w:b/>
          <w:color w:val="000000"/>
          <w:szCs w:val="21"/>
        </w:rPr>
        <w:t>69.11%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月，标的资产营业收入较</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年减少</w:t>
      </w:r>
      <w:r>
        <w:rPr>
          <w:rFonts w:ascii="Times New Roman" w:eastAsia="黑体" w:hAnsi="Times New Roman" w:cs="Times New Roman" w:hint="eastAsia"/>
          <w:b/>
          <w:color w:val="000000"/>
          <w:szCs w:val="21"/>
        </w:rPr>
        <w:t>3,677.34</w:t>
      </w:r>
      <w:r>
        <w:rPr>
          <w:rFonts w:ascii="Times New Roman" w:eastAsia="黑体" w:hAnsi="Times New Roman" w:cs="Times New Roman" w:hint="eastAsia"/>
          <w:b/>
          <w:color w:val="000000"/>
          <w:szCs w:val="21"/>
        </w:rPr>
        <w:t>万元。请你公司：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）结合同行业上市公司营业收入波动情况和市场容量，补充披露北洋天青营业收入波动的原因。</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）补充披露北洋天青收入确认的政策、依据和时点，是否存在收入跨期的情形。请独立财务顾问和会计师核查并发表明确意见。</w:t>
      </w:r>
    </w:p>
    <w:p w14:paraId="20A670AF" w14:textId="77777777" w:rsidR="00C02929" w:rsidRDefault="006116D1">
      <w:pPr>
        <w:pStyle w:val="affffd"/>
        <w:spacing w:before="156"/>
        <w:ind w:firstLine="482"/>
        <w:rPr>
          <w:b/>
        </w:rPr>
      </w:pPr>
      <w:r>
        <w:rPr>
          <w:rFonts w:hint="eastAsia"/>
          <w:b/>
        </w:rPr>
        <w:t>【回复说明】</w:t>
      </w:r>
    </w:p>
    <w:p w14:paraId="2C3DADE9"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）结合同行业上市公司营业收入波动情况和市场容量，补充披露北洋天青营业收入波动的原因。</w:t>
      </w:r>
    </w:p>
    <w:p w14:paraId="5545904C"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lang w:eastAsia="ar-SA"/>
        </w:rPr>
      </w:pPr>
      <w:r>
        <w:rPr>
          <w:rFonts w:ascii="Times New Roman" w:hAnsi="Times New Roman" w:cs="Times New Roman" w:hint="eastAsia"/>
          <w:b/>
          <w:color w:val="000000"/>
          <w:szCs w:val="21"/>
        </w:rPr>
        <w:t>一、</w:t>
      </w:r>
      <w:r>
        <w:rPr>
          <w:rFonts w:ascii="Times New Roman" w:hAnsi="Times New Roman" w:cs="Times New Roman" w:hint="eastAsia"/>
          <w:b/>
          <w:color w:val="000000"/>
          <w:szCs w:val="21"/>
          <w:lang w:eastAsia="ar-SA"/>
        </w:rPr>
        <w:t>同行业上市公司营业收入波动情况</w:t>
      </w:r>
    </w:p>
    <w:p w14:paraId="68BD867A"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hint="eastAsia"/>
          <w:color w:val="000000"/>
          <w:lang w:bidi="ar"/>
        </w:rPr>
        <w:t>报告期内，北洋天青与同行业上市公司营业收入波动情况如下表所示：</w:t>
      </w:r>
    </w:p>
    <w:p w14:paraId="49DCF27A"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4998"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58"/>
        <w:gridCol w:w="1433"/>
        <w:gridCol w:w="1109"/>
        <w:gridCol w:w="1433"/>
        <w:gridCol w:w="1153"/>
        <w:gridCol w:w="1433"/>
      </w:tblGrid>
      <w:tr w:rsidR="00C02929" w14:paraId="7CD5468C" w14:textId="77777777">
        <w:trPr>
          <w:trHeight w:val="397"/>
          <w:tblHeader/>
          <w:jc w:val="center"/>
        </w:trPr>
        <w:tc>
          <w:tcPr>
            <w:tcW w:w="1149" w:type="pct"/>
            <w:shd w:val="clear" w:color="auto" w:fill="auto"/>
            <w:vAlign w:val="center"/>
          </w:tcPr>
          <w:p w14:paraId="3C4F0B56"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可比上市公司</w:t>
            </w:r>
          </w:p>
        </w:tc>
        <w:tc>
          <w:tcPr>
            <w:tcW w:w="840" w:type="pct"/>
            <w:vAlign w:val="center"/>
          </w:tcPr>
          <w:p w14:paraId="3F72B3FD"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1-9</w:t>
            </w:r>
            <w:r>
              <w:rPr>
                <w:rFonts w:ascii="Times New Roman" w:hAnsi="Times New Roman" w:cs="Times New Roman" w:hint="eastAsia"/>
                <w:b/>
                <w:bCs/>
                <w:sz w:val="21"/>
                <w:szCs w:val="21"/>
              </w:rPr>
              <w:t>月营业收入</w:t>
            </w:r>
          </w:p>
        </w:tc>
        <w:tc>
          <w:tcPr>
            <w:tcW w:w="650" w:type="pct"/>
            <w:vAlign w:val="center"/>
          </w:tcPr>
          <w:p w14:paraId="2E6FD145"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同比增长</w:t>
            </w:r>
          </w:p>
        </w:tc>
        <w:tc>
          <w:tcPr>
            <w:tcW w:w="840" w:type="pct"/>
            <w:shd w:val="clear" w:color="auto" w:fill="auto"/>
            <w:vAlign w:val="center"/>
          </w:tcPr>
          <w:p w14:paraId="12BC0E2C"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年度营业收入</w:t>
            </w:r>
          </w:p>
        </w:tc>
        <w:tc>
          <w:tcPr>
            <w:tcW w:w="676" w:type="pct"/>
            <w:vAlign w:val="center"/>
          </w:tcPr>
          <w:p w14:paraId="53787A1C"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同比增长</w:t>
            </w:r>
          </w:p>
        </w:tc>
        <w:tc>
          <w:tcPr>
            <w:tcW w:w="840" w:type="pct"/>
            <w:vAlign w:val="center"/>
          </w:tcPr>
          <w:p w14:paraId="4FF172FD"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年度营业收入</w:t>
            </w:r>
          </w:p>
        </w:tc>
      </w:tr>
      <w:tr w:rsidR="00C02929" w14:paraId="563606AF" w14:textId="77777777">
        <w:trPr>
          <w:trHeight w:val="397"/>
          <w:jc w:val="center"/>
        </w:trPr>
        <w:tc>
          <w:tcPr>
            <w:tcW w:w="1149" w:type="pct"/>
            <w:shd w:val="clear" w:color="auto" w:fill="auto"/>
            <w:vAlign w:val="center"/>
          </w:tcPr>
          <w:p w14:paraId="1D00659E" w14:textId="77777777" w:rsidR="00C02929" w:rsidRDefault="006116D1">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埃斯顿（</w:t>
            </w:r>
            <w:r>
              <w:rPr>
                <w:rFonts w:ascii="Times New Roman" w:hAnsi="Times New Roman" w:cs="Times New Roman" w:hint="eastAsia"/>
                <w:sz w:val="21"/>
                <w:szCs w:val="21"/>
              </w:rPr>
              <w:t>002747.SZ</w:t>
            </w:r>
            <w:r>
              <w:rPr>
                <w:rFonts w:ascii="Times New Roman" w:hAnsi="Times New Roman" w:cs="Times New Roman" w:hint="eastAsia"/>
                <w:sz w:val="21"/>
                <w:szCs w:val="21"/>
              </w:rPr>
              <w:t>）</w:t>
            </w:r>
          </w:p>
        </w:tc>
        <w:tc>
          <w:tcPr>
            <w:tcW w:w="840" w:type="pct"/>
            <w:vAlign w:val="center"/>
          </w:tcPr>
          <w:p w14:paraId="33472282"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176,322.07</w:t>
            </w:r>
          </w:p>
        </w:tc>
        <w:tc>
          <w:tcPr>
            <w:tcW w:w="650" w:type="pct"/>
            <w:vAlign w:val="center"/>
          </w:tcPr>
          <w:p w14:paraId="4B03B356"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82.23%</w:t>
            </w:r>
          </w:p>
        </w:tc>
        <w:tc>
          <w:tcPr>
            <w:tcW w:w="840" w:type="pct"/>
            <w:shd w:val="clear" w:color="auto" w:fill="auto"/>
            <w:vAlign w:val="center"/>
          </w:tcPr>
          <w:p w14:paraId="6803C979"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142,145.97</w:t>
            </w:r>
          </w:p>
        </w:tc>
        <w:tc>
          <w:tcPr>
            <w:tcW w:w="676" w:type="pct"/>
            <w:vAlign w:val="center"/>
          </w:tcPr>
          <w:p w14:paraId="745521FD"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-2.71%</w:t>
            </w:r>
          </w:p>
        </w:tc>
        <w:tc>
          <w:tcPr>
            <w:tcW w:w="840" w:type="pct"/>
            <w:vAlign w:val="center"/>
          </w:tcPr>
          <w:p w14:paraId="0105CA7E"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146,102.46</w:t>
            </w:r>
          </w:p>
        </w:tc>
      </w:tr>
      <w:tr w:rsidR="00C02929" w14:paraId="1F683860" w14:textId="77777777">
        <w:trPr>
          <w:trHeight w:val="397"/>
          <w:jc w:val="center"/>
        </w:trPr>
        <w:tc>
          <w:tcPr>
            <w:tcW w:w="1149" w:type="pct"/>
            <w:shd w:val="clear" w:color="auto" w:fill="auto"/>
            <w:vAlign w:val="center"/>
          </w:tcPr>
          <w:p w14:paraId="71AB4947" w14:textId="77777777" w:rsidR="00C02929" w:rsidRDefault="006116D1">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机器人（</w:t>
            </w:r>
            <w:r>
              <w:rPr>
                <w:rFonts w:ascii="Times New Roman" w:hAnsi="Times New Roman" w:cs="Times New Roman" w:hint="eastAsia"/>
                <w:sz w:val="21"/>
                <w:szCs w:val="21"/>
              </w:rPr>
              <w:t>300024.SZ</w:t>
            </w:r>
            <w:r>
              <w:rPr>
                <w:rFonts w:ascii="Times New Roman" w:hAnsi="Times New Roman" w:cs="Times New Roman" w:hint="eastAsia"/>
                <w:sz w:val="21"/>
                <w:szCs w:val="21"/>
              </w:rPr>
              <w:t>）</w:t>
            </w:r>
          </w:p>
        </w:tc>
        <w:tc>
          <w:tcPr>
            <w:tcW w:w="840" w:type="pct"/>
            <w:vAlign w:val="center"/>
          </w:tcPr>
          <w:p w14:paraId="53272F10"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168,593.71</w:t>
            </w:r>
          </w:p>
        </w:tc>
        <w:tc>
          <w:tcPr>
            <w:tcW w:w="650" w:type="pct"/>
            <w:vAlign w:val="center"/>
          </w:tcPr>
          <w:p w14:paraId="214565D6"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-9.49%</w:t>
            </w:r>
          </w:p>
        </w:tc>
        <w:tc>
          <w:tcPr>
            <w:tcW w:w="840" w:type="pct"/>
            <w:shd w:val="clear" w:color="auto" w:fill="auto"/>
            <w:vAlign w:val="center"/>
          </w:tcPr>
          <w:p w14:paraId="7E60813B"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274,548.51</w:t>
            </w:r>
          </w:p>
        </w:tc>
        <w:tc>
          <w:tcPr>
            <w:tcW w:w="676" w:type="pct"/>
            <w:vAlign w:val="center"/>
          </w:tcPr>
          <w:p w14:paraId="574AA101"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-11.29%</w:t>
            </w:r>
          </w:p>
        </w:tc>
        <w:tc>
          <w:tcPr>
            <w:tcW w:w="840" w:type="pct"/>
            <w:vAlign w:val="center"/>
          </w:tcPr>
          <w:p w14:paraId="650F84D8"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309,472.69</w:t>
            </w:r>
          </w:p>
        </w:tc>
      </w:tr>
      <w:tr w:rsidR="00C02929" w14:paraId="23C8801E" w14:textId="77777777">
        <w:trPr>
          <w:trHeight w:val="397"/>
          <w:jc w:val="center"/>
        </w:trPr>
        <w:tc>
          <w:tcPr>
            <w:tcW w:w="1149" w:type="pct"/>
            <w:shd w:val="clear" w:color="auto" w:fill="auto"/>
            <w:vAlign w:val="center"/>
          </w:tcPr>
          <w:p w14:paraId="7C476F8C" w14:textId="77777777" w:rsidR="00C02929" w:rsidRDefault="006116D1">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拓斯达（</w:t>
            </w:r>
            <w:r>
              <w:rPr>
                <w:rFonts w:ascii="Times New Roman" w:hAnsi="Times New Roman" w:cs="Times New Roman" w:hint="eastAsia"/>
                <w:sz w:val="21"/>
                <w:szCs w:val="21"/>
              </w:rPr>
              <w:t>300607.SZ</w:t>
            </w:r>
            <w:r>
              <w:rPr>
                <w:rFonts w:ascii="Times New Roman" w:hAnsi="Times New Roman" w:cs="Times New Roman" w:hint="eastAsia"/>
                <w:sz w:val="21"/>
                <w:szCs w:val="21"/>
              </w:rPr>
              <w:t>）</w:t>
            </w:r>
          </w:p>
        </w:tc>
        <w:tc>
          <w:tcPr>
            <w:tcW w:w="840" w:type="pct"/>
            <w:vAlign w:val="center"/>
          </w:tcPr>
          <w:p w14:paraId="5B8F424C"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202,988.92</w:t>
            </w:r>
          </w:p>
        </w:tc>
        <w:tc>
          <w:tcPr>
            <w:tcW w:w="650" w:type="pct"/>
            <w:vAlign w:val="center"/>
          </w:tcPr>
          <w:p w14:paraId="21EF41F1"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86.35%</w:t>
            </w:r>
          </w:p>
        </w:tc>
        <w:tc>
          <w:tcPr>
            <w:tcW w:w="840" w:type="pct"/>
            <w:shd w:val="clear" w:color="auto" w:fill="auto"/>
            <w:vAlign w:val="center"/>
          </w:tcPr>
          <w:p w14:paraId="72C17657"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166,036.34</w:t>
            </w:r>
          </w:p>
        </w:tc>
        <w:tc>
          <w:tcPr>
            <w:tcW w:w="676" w:type="pct"/>
            <w:vAlign w:val="center"/>
          </w:tcPr>
          <w:p w14:paraId="02E5E5DD"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38.58%</w:t>
            </w:r>
          </w:p>
        </w:tc>
        <w:tc>
          <w:tcPr>
            <w:tcW w:w="840" w:type="pct"/>
            <w:vAlign w:val="center"/>
          </w:tcPr>
          <w:p w14:paraId="48B0054F"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119,809.81</w:t>
            </w:r>
          </w:p>
        </w:tc>
      </w:tr>
      <w:tr w:rsidR="00C02929" w14:paraId="7E5B677E" w14:textId="77777777">
        <w:trPr>
          <w:trHeight w:val="397"/>
          <w:jc w:val="center"/>
        </w:trPr>
        <w:tc>
          <w:tcPr>
            <w:tcW w:w="1149" w:type="pct"/>
            <w:shd w:val="clear" w:color="auto" w:fill="auto"/>
            <w:vAlign w:val="center"/>
          </w:tcPr>
          <w:p w14:paraId="5DE7D643" w14:textId="77777777" w:rsidR="00C02929" w:rsidRDefault="006116D1">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快克股份（</w:t>
            </w:r>
            <w:r>
              <w:rPr>
                <w:rFonts w:ascii="Times New Roman" w:hAnsi="Times New Roman" w:cs="Times New Roman" w:hint="eastAsia"/>
                <w:sz w:val="21"/>
                <w:szCs w:val="21"/>
              </w:rPr>
              <w:t>603203.SH</w:t>
            </w:r>
            <w:r>
              <w:rPr>
                <w:rFonts w:ascii="Times New Roman" w:hAnsi="Times New Roman" w:cs="Times New Roman" w:hint="eastAsia"/>
                <w:sz w:val="21"/>
                <w:szCs w:val="21"/>
              </w:rPr>
              <w:t>）</w:t>
            </w:r>
          </w:p>
        </w:tc>
        <w:tc>
          <w:tcPr>
            <w:tcW w:w="840" w:type="pct"/>
            <w:vAlign w:val="center"/>
          </w:tcPr>
          <w:p w14:paraId="2213C09A"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36,607.51</w:t>
            </w:r>
          </w:p>
        </w:tc>
        <w:tc>
          <w:tcPr>
            <w:tcW w:w="650" w:type="pct"/>
            <w:vAlign w:val="center"/>
          </w:tcPr>
          <w:p w14:paraId="6AD09BE0"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8.53%</w:t>
            </w:r>
          </w:p>
        </w:tc>
        <w:tc>
          <w:tcPr>
            <w:tcW w:w="840" w:type="pct"/>
            <w:shd w:val="clear" w:color="auto" w:fill="auto"/>
            <w:vAlign w:val="center"/>
          </w:tcPr>
          <w:p w14:paraId="5FF8C899"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46,087.68</w:t>
            </w:r>
          </w:p>
        </w:tc>
        <w:tc>
          <w:tcPr>
            <w:tcW w:w="676" w:type="pct"/>
            <w:vAlign w:val="center"/>
          </w:tcPr>
          <w:p w14:paraId="663488E5"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6.58%</w:t>
            </w:r>
          </w:p>
        </w:tc>
        <w:tc>
          <w:tcPr>
            <w:tcW w:w="840" w:type="pct"/>
            <w:vAlign w:val="center"/>
          </w:tcPr>
          <w:p w14:paraId="0874A7F0"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43,240.81</w:t>
            </w:r>
          </w:p>
        </w:tc>
      </w:tr>
      <w:tr w:rsidR="00C02929" w14:paraId="3E706E0D" w14:textId="77777777">
        <w:trPr>
          <w:trHeight w:val="397"/>
          <w:jc w:val="center"/>
        </w:trPr>
        <w:tc>
          <w:tcPr>
            <w:tcW w:w="1149" w:type="pct"/>
            <w:shd w:val="clear" w:color="auto" w:fill="auto"/>
            <w:vAlign w:val="center"/>
          </w:tcPr>
          <w:p w14:paraId="139E4DA7" w14:textId="77777777" w:rsidR="00C02929" w:rsidRDefault="006116D1">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Cs/>
                <w:sz w:val="21"/>
                <w:szCs w:val="21"/>
              </w:rPr>
              <w:t>永创智能（</w:t>
            </w:r>
            <w:r>
              <w:rPr>
                <w:rFonts w:ascii="Times New Roman" w:hAnsi="Times New Roman" w:cs="Times New Roman" w:hint="eastAsia"/>
                <w:bCs/>
                <w:sz w:val="21"/>
                <w:szCs w:val="21"/>
              </w:rPr>
              <w:t>603901.SH</w:t>
            </w:r>
            <w:r>
              <w:rPr>
                <w:rFonts w:ascii="Times New Roman" w:hAnsi="Times New Roman" w:cs="Times New Roman" w:hint="eastAsia"/>
                <w:bCs/>
                <w:sz w:val="21"/>
                <w:szCs w:val="21"/>
              </w:rPr>
              <w:t>）</w:t>
            </w:r>
          </w:p>
        </w:tc>
        <w:tc>
          <w:tcPr>
            <w:tcW w:w="840" w:type="pct"/>
            <w:vAlign w:val="center"/>
          </w:tcPr>
          <w:p w14:paraId="3B15C354"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136,504.16</w:t>
            </w:r>
          </w:p>
        </w:tc>
        <w:tc>
          <w:tcPr>
            <w:tcW w:w="650" w:type="pct"/>
            <w:vAlign w:val="center"/>
          </w:tcPr>
          <w:p w14:paraId="4CF3482E"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0.33%</w:t>
            </w:r>
          </w:p>
        </w:tc>
        <w:tc>
          <w:tcPr>
            <w:tcW w:w="840" w:type="pct"/>
            <w:shd w:val="clear" w:color="auto" w:fill="auto"/>
            <w:vAlign w:val="center"/>
          </w:tcPr>
          <w:p w14:paraId="2C24DE4F"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187,116.23</w:t>
            </w:r>
          </w:p>
        </w:tc>
        <w:tc>
          <w:tcPr>
            <w:tcW w:w="676" w:type="pct"/>
            <w:vAlign w:val="center"/>
          </w:tcPr>
          <w:p w14:paraId="1D714F1F"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13.34%</w:t>
            </w:r>
          </w:p>
        </w:tc>
        <w:tc>
          <w:tcPr>
            <w:tcW w:w="840" w:type="pct"/>
            <w:vAlign w:val="center"/>
          </w:tcPr>
          <w:p w14:paraId="1EF52A9C"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165,090.29</w:t>
            </w:r>
          </w:p>
        </w:tc>
      </w:tr>
      <w:tr w:rsidR="00C02929" w14:paraId="554852DD" w14:textId="77777777">
        <w:trPr>
          <w:trHeight w:val="397"/>
          <w:jc w:val="center"/>
        </w:trPr>
        <w:tc>
          <w:tcPr>
            <w:tcW w:w="1149" w:type="pct"/>
            <w:shd w:val="clear" w:color="auto" w:fill="auto"/>
            <w:vAlign w:val="center"/>
          </w:tcPr>
          <w:p w14:paraId="7A3AB838" w14:textId="77777777" w:rsidR="00C02929" w:rsidRDefault="006116D1">
            <w:pPr>
              <w:adjustRightInd w:val="0"/>
              <w:snapToGrid w:val="0"/>
              <w:jc w:val="center"/>
              <w:outlineLvl w:val="1"/>
              <w:rPr>
                <w:rFonts w:ascii="Times New Roman" w:hAnsi="Times New Roman" w:cs="Times New Roman"/>
                <w:b/>
                <w:sz w:val="21"/>
                <w:szCs w:val="21"/>
              </w:rPr>
            </w:pPr>
            <w:r>
              <w:rPr>
                <w:rFonts w:ascii="Times New Roman" w:hAnsi="Times New Roman" w:cs="Times New Roman" w:hint="eastAsia"/>
                <w:b/>
                <w:sz w:val="21"/>
                <w:szCs w:val="21"/>
              </w:rPr>
              <w:t>平均值</w:t>
            </w:r>
          </w:p>
        </w:tc>
        <w:tc>
          <w:tcPr>
            <w:tcW w:w="840" w:type="pct"/>
            <w:vAlign w:val="center"/>
          </w:tcPr>
          <w:p w14:paraId="39BA31D5" w14:textId="77777777" w:rsidR="00C02929" w:rsidRDefault="006116D1">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144,203.28</w:t>
            </w:r>
          </w:p>
        </w:tc>
        <w:tc>
          <w:tcPr>
            <w:tcW w:w="650" w:type="pct"/>
            <w:vAlign w:val="center"/>
          </w:tcPr>
          <w:p w14:paraId="37168B07" w14:textId="77777777" w:rsidR="00C02929" w:rsidRDefault="006116D1">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28.35%</w:t>
            </w:r>
          </w:p>
        </w:tc>
        <w:tc>
          <w:tcPr>
            <w:tcW w:w="840" w:type="pct"/>
            <w:shd w:val="clear" w:color="auto" w:fill="auto"/>
            <w:vAlign w:val="center"/>
          </w:tcPr>
          <w:p w14:paraId="76E04C6E" w14:textId="77777777" w:rsidR="00C02929" w:rsidRDefault="006116D1">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163,186.95</w:t>
            </w:r>
          </w:p>
        </w:tc>
        <w:tc>
          <w:tcPr>
            <w:tcW w:w="676" w:type="pct"/>
            <w:vAlign w:val="center"/>
          </w:tcPr>
          <w:p w14:paraId="15E0FD58" w14:textId="77777777" w:rsidR="00C02929" w:rsidRDefault="006116D1">
            <w:pPr>
              <w:adjustRightInd w:val="0"/>
              <w:snapToGrid w:val="0"/>
              <w:jc w:val="right"/>
              <w:rPr>
                <w:rFonts w:ascii="Times New Roman" w:eastAsia="等线" w:hAnsi="Times New Roman" w:cs="Times New Roman"/>
                <w:b/>
                <w:color w:val="000000"/>
                <w:sz w:val="21"/>
                <w:szCs w:val="21"/>
              </w:rPr>
            </w:pPr>
            <w:r>
              <w:rPr>
                <w:rFonts w:ascii="Times New Roman" w:eastAsia="等线" w:hAnsi="Times New Roman" w:cs="Times New Roman"/>
                <w:b/>
                <w:color w:val="000000"/>
                <w:sz w:val="21"/>
                <w:szCs w:val="21"/>
              </w:rPr>
              <w:t>4.11%</w:t>
            </w:r>
          </w:p>
        </w:tc>
        <w:tc>
          <w:tcPr>
            <w:tcW w:w="840" w:type="pct"/>
            <w:vAlign w:val="center"/>
          </w:tcPr>
          <w:p w14:paraId="7363C34D" w14:textId="77777777" w:rsidR="00C02929" w:rsidRDefault="006116D1">
            <w:pPr>
              <w:adjustRightInd w:val="0"/>
              <w:snapToGrid w:val="0"/>
              <w:jc w:val="right"/>
              <w:rPr>
                <w:rFonts w:ascii="Times New Roman" w:hAnsi="Times New Roman" w:cs="Times New Roman"/>
                <w:b/>
                <w:sz w:val="21"/>
                <w:szCs w:val="21"/>
              </w:rPr>
            </w:pPr>
            <w:r>
              <w:rPr>
                <w:rFonts w:ascii="Times New Roman" w:eastAsia="等线" w:hAnsi="Times New Roman" w:cs="Times New Roman"/>
                <w:b/>
                <w:color w:val="000000"/>
                <w:sz w:val="21"/>
                <w:szCs w:val="21"/>
              </w:rPr>
              <w:t>156,743.21</w:t>
            </w:r>
          </w:p>
        </w:tc>
      </w:tr>
      <w:tr w:rsidR="00C02929" w14:paraId="79AB04EE" w14:textId="77777777">
        <w:trPr>
          <w:trHeight w:val="397"/>
          <w:jc w:val="center"/>
        </w:trPr>
        <w:tc>
          <w:tcPr>
            <w:tcW w:w="1149" w:type="pct"/>
            <w:shd w:val="clear" w:color="auto" w:fill="auto"/>
            <w:vAlign w:val="center"/>
          </w:tcPr>
          <w:p w14:paraId="529FC5B8" w14:textId="77777777" w:rsidR="00C02929" w:rsidRDefault="006116D1">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
                <w:bCs/>
                <w:sz w:val="21"/>
                <w:szCs w:val="21"/>
              </w:rPr>
              <w:t>标的公司</w:t>
            </w:r>
          </w:p>
        </w:tc>
        <w:tc>
          <w:tcPr>
            <w:tcW w:w="840" w:type="pct"/>
            <w:vAlign w:val="center"/>
          </w:tcPr>
          <w:p w14:paraId="56711117"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年度营业收入</w:t>
            </w:r>
          </w:p>
        </w:tc>
        <w:tc>
          <w:tcPr>
            <w:tcW w:w="650" w:type="pct"/>
            <w:vAlign w:val="center"/>
          </w:tcPr>
          <w:p w14:paraId="4AA972C0"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同比增长</w:t>
            </w:r>
          </w:p>
        </w:tc>
        <w:tc>
          <w:tcPr>
            <w:tcW w:w="840" w:type="pct"/>
            <w:shd w:val="clear" w:color="auto" w:fill="auto"/>
            <w:vAlign w:val="center"/>
          </w:tcPr>
          <w:p w14:paraId="61A40FF5" w14:textId="77777777" w:rsidR="00C02929" w:rsidRDefault="006116D1">
            <w:pPr>
              <w:adjustRightInd w:val="0"/>
              <w:snapToGrid w:val="0"/>
              <w:jc w:val="center"/>
              <w:rPr>
                <w:rFonts w:ascii="Times New Roman" w:eastAsia="等线" w:hAnsi="Times New Roman" w:cs="Times New Roman"/>
                <w:color w:val="000000"/>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年度营业收入</w:t>
            </w:r>
          </w:p>
        </w:tc>
        <w:tc>
          <w:tcPr>
            <w:tcW w:w="676" w:type="pct"/>
            <w:vAlign w:val="center"/>
          </w:tcPr>
          <w:p w14:paraId="6E050C88" w14:textId="77777777" w:rsidR="00C02929" w:rsidRDefault="006116D1">
            <w:pPr>
              <w:adjustRightInd w:val="0"/>
              <w:snapToGrid w:val="0"/>
              <w:jc w:val="center"/>
              <w:rPr>
                <w:rFonts w:ascii="Times New Roman" w:eastAsia="等线" w:hAnsi="Times New Roman" w:cs="Times New Roman"/>
                <w:color w:val="000000"/>
                <w:sz w:val="21"/>
                <w:szCs w:val="21"/>
              </w:rPr>
            </w:pPr>
            <w:r>
              <w:rPr>
                <w:rFonts w:ascii="Times New Roman" w:hAnsi="Times New Roman" w:cs="Times New Roman" w:hint="eastAsia"/>
                <w:b/>
                <w:bCs/>
                <w:sz w:val="21"/>
                <w:szCs w:val="21"/>
              </w:rPr>
              <w:t>同比增长</w:t>
            </w:r>
          </w:p>
        </w:tc>
        <w:tc>
          <w:tcPr>
            <w:tcW w:w="840" w:type="pct"/>
            <w:vAlign w:val="center"/>
          </w:tcPr>
          <w:p w14:paraId="52BEB823" w14:textId="77777777" w:rsidR="00C02929" w:rsidRDefault="006116D1">
            <w:pPr>
              <w:adjustRightInd w:val="0"/>
              <w:snapToGrid w:val="0"/>
              <w:jc w:val="center"/>
              <w:rPr>
                <w:rFonts w:ascii="Times New Roman" w:hAnsi="Times New Roman" w:cs="Times New Roman"/>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年度营业收入</w:t>
            </w:r>
          </w:p>
        </w:tc>
      </w:tr>
      <w:tr w:rsidR="00C02929" w14:paraId="723E9C5B" w14:textId="77777777">
        <w:trPr>
          <w:trHeight w:val="397"/>
          <w:jc w:val="center"/>
        </w:trPr>
        <w:tc>
          <w:tcPr>
            <w:tcW w:w="1149" w:type="pct"/>
            <w:shd w:val="clear" w:color="auto" w:fill="auto"/>
            <w:vAlign w:val="center"/>
          </w:tcPr>
          <w:p w14:paraId="30E92615" w14:textId="77777777" w:rsidR="00C02929" w:rsidRDefault="006116D1">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Cs/>
                <w:sz w:val="21"/>
                <w:szCs w:val="21"/>
              </w:rPr>
              <w:t>北洋天青</w:t>
            </w:r>
          </w:p>
        </w:tc>
        <w:tc>
          <w:tcPr>
            <w:tcW w:w="840" w:type="pct"/>
            <w:vAlign w:val="center"/>
          </w:tcPr>
          <w:p w14:paraId="7B66C4C6"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hAnsi="Times New Roman" w:cs="Times New Roman"/>
                <w:sz w:val="21"/>
                <w:szCs w:val="21"/>
              </w:rPr>
              <w:t>15,056.17</w:t>
            </w:r>
          </w:p>
        </w:tc>
        <w:tc>
          <w:tcPr>
            <w:tcW w:w="650" w:type="pct"/>
            <w:vAlign w:val="center"/>
          </w:tcPr>
          <w:p w14:paraId="3097D545"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hAnsi="Times New Roman" w:cs="Times New Roman"/>
                <w:sz w:val="21"/>
                <w:szCs w:val="21"/>
              </w:rPr>
              <w:t>45.81%</w:t>
            </w:r>
          </w:p>
        </w:tc>
        <w:tc>
          <w:tcPr>
            <w:tcW w:w="840" w:type="pct"/>
            <w:shd w:val="clear" w:color="auto" w:fill="auto"/>
            <w:vAlign w:val="center"/>
          </w:tcPr>
          <w:p w14:paraId="4BDD7CED"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10,326.14</w:t>
            </w:r>
          </w:p>
        </w:tc>
        <w:tc>
          <w:tcPr>
            <w:tcW w:w="676" w:type="pct"/>
            <w:vAlign w:val="center"/>
          </w:tcPr>
          <w:p w14:paraId="0B0E672B" w14:textId="77777777" w:rsidR="00C02929" w:rsidRDefault="006116D1">
            <w:pPr>
              <w:adjustRightInd w:val="0"/>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69.11%</w:t>
            </w:r>
          </w:p>
        </w:tc>
        <w:tc>
          <w:tcPr>
            <w:tcW w:w="840" w:type="pct"/>
            <w:vAlign w:val="center"/>
          </w:tcPr>
          <w:p w14:paraId="429892A5" w14:textId="77777777" w:rsidR="00C02929" w:rsidRDefault="006116D1">
            <w:pPr>
              <w:adjustRightInd w:val="0"/>
              <w:snapToGrid w:val="0"/>
              <w:jc w:val="right"/>
              <w:rPr>
                <w:rFonts w:ascii="Times New Roman" w:hAnsi="Times New Roman" w:cs="Times New Roman"/>
                <w:sz w:val="21"/>
                <w:szCs w:val="21"/>
              </w:rPr>
            </w:pPr>
            <w:r>
              <w:rPr>
                <w:rFonts w:ascii="Times New Roman" w:eastAsia="等线" w:hAnsi="Times New Roman" w:cs="Times New Roman"/>
                <w:color w:val="000000"/>
                <w:sz w:val="21"/>
                <w:szCs w:val="21"/>
              </w:rPr>
              <w:t>6,106.09</w:t>
            </w:r>
          </w:p>
        </w:tc>
      </w:tr>
    </w:tbl>
    <w:p w14:paraId="670135C9" w14:textId="77777777" w:rsidR="00C02929" w:rsidRDefault="006116D1">
      <w:pPr>
        <w:jc w:val="both"/>
        <w:rPr>
          <w:rFonts w:ascii="Times New Roman" w:hAnsi="Times New Roman" w:cs="Times New Roman"/>
          <w:bCs/>
          <w:sz w:val="21"/>
          <w:szCs w:val="18"/>
        </w:rPr>
      </w:pPr>
      <w:r>
        <w:rPr>
          <w:rFonts w:ascii="Times New Roman" w:hAnsi="Times New Roman" w:cs="Times New Roman" w:hint="eastAsia"/>
          <w:bCs/>
          <w:sz w:val="21"/>
          <w:szCs w:val="18"/>
        </w:rPr>
        <w:t>注：</w:t>
      </w:r>
      <w:r>
        <w:rPr>
          <w:rFonts w:ascii="Times New Roman" w:hAnsi="Times New Roman" w:cs="Times New Roman" w:hint="eastAsia"/>
          <w:bCs/>
          <w:sz w:val="21"/>
          <w:szCs w:val="18"/>
        </w:rPr>
        <w:t>1</w:t>
      </w:r>
      <w:r>
        <w:rPr>
          <w:rFonts w:ascii="Times New Roman" w:hAnsi="Times New Roman" w:cs="Times New Roman" w:hint="eastAsia"/>
          <w:bCs/>
          <w:sz w:val="21"/>
          <w:szCs w:val="18"/>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34793B0F" w14:textId="77777777" w:rsidR="00C02929" w:rsidRDefault="006116D1">
      <w:pPr>
        <w:ind w:firstLineChars="200" w:firstLine="420"/>
        <w:jc w:val="both"/>
        <w:rPr>
          <w:rFonts w:ascii="Times New Roman" w:hAnsi="Times New Roman" w:cs="Times New Roman"/>
          <w:bCs/>
          <w:sz w:val="21"/>
          <w:szCs w:val="18"/>
        </w:rPr>
      </w:pPr>
      <w:r>
        <w:rPr>
          <w:rFonts w:ascii="Times New Roman" w:hAnsi="Times New Roman" w:cs="Times New Roman" w:hint="eastAsia"/>
          <w:bCs/>
          <w:sz w:val="21"/>
          <w:szCs w:val="18"/>
        </w:rPr>
        <w:t>2</w:t>
      </w:r>
      <w:r>
        <w:rPr>
          <w:rFonts w:ascii="Times New Roman" w:hAnsi="Times New Roman" w:cs="Times New Roman" w:hint="eastAsia"/>
          <w:bCs/>
          <w:sz w:val="21"/>
          <w:szCs w:val="18"/>
        </w:rPr>
        <w:t>、由于可比上市公司未公布年度数据，故采用</w:t>
      </w:r>
      <w:r>
        <w:rPr>
          <w:rFonts w:ascii="Times New Roman" w:hAnsi="Times New Roman" w:cs="Times New Roman" w:hint="eastAsia"/>
          <w:bCs/>
          <w:sz w:val="21"/>
          <w:szCs w:val="18"/>
        </w:rPr>
        <w:t>2020</w:t>
      </w:r>
      <w:r>
        <w:rPr>
          <w:rFonts w:ascii="Times New Roman" w:hAnsi="Times New Roman" w:cs="Times New Roman" w:hint="eastAsia"/>
          <w:bCs/>
          <w:sz w:val="21"/>
          <w:szCs w:val="18"/>
        </w:rPr>
        <w:t>年</w:t>
      </w:r>
      <w:r>
        <w:rPr>
          <w:rFonts w:ascii="Times New Roman" w:hAnsi="Times New Roman" w:cs="Times New Roman" w:hint="eastAsia"/>
          <w:bCs/>
          <w:sz w:val="21"/>
          <w:szCs w:val="18"/>
        </w:rPr>
        <w:t>1-9</w:t>
      </w:r>
      <w:r>
        <w:rPr>
          <w:rFonts w:ascii="Times New Roman" w:hAnsi="Times New Roman" w:cs="Times New Roman" w:hint="eastAsia"/>
          <w:bCs/>
          <w:sz w:val="21"/>
          <w:szCs w:val="18"/>
        </w:rPr>
        <w:t>月营业收入增长情况进行分析。</w:t>
      </w:r>
    </w:p>
    <w:p w14:paraId="29DB7C87" w14:textId="77777777" w:rsidR="00C02929" w:rsidRDefault="006116D1">
      <w:pPr>
        <w:spacing w:beforeLines="50" w:before="156" w:line="360" w:lineRule="auto"/>
        <w:ind w:firstLineChars="200" w:firstLine="480"/>
        <w:jc w:val="both"/>
        <w:rPr>
          <w:rFonts w:ascii="Times New Roman" w:hAnsi="Times New Roman" w:cs="Times New Roman"/>
          <w:color w:val="000000"/>
          <w:lang w:bidi="ar"/>
        </w:rPr>
      </w:pPr>
      <w:r>
        <w:rPr>
          <w:rFonts w:ascii="Times New Roman" w:hAnsi="Times New Roman" w:cs="Times New Roman"/>
          <w:color w:val="000000"/>
          <w:lang w:bidi="ar"/>
        </w:rPr>
        <w:t>2019</w:t>
      </w:r>
      <w:r>
        <w:rPr>
          <w:rFonts w:ascii="Times New Roman" w:hAnsi="Times New Roman" w:cs="Times New Roman" w:hint="eastAsia"/>
          <w:color w:val="000000"/>
          <w:lang w:bidi="ar"/>
        </w:rPr>
        <w:t>年度，同行业可比上市公司的营业收入平均值相较于</w:t>
      </w:r>
      <w:r>
        <w:rPr>
          <w:rFonts w:ascii="Times New Roman" w:hAnsi="Times New Roman" w:cs="Times New Roman"/>
          <w:color w:val="000000"/>
          <w:lang w:bidi="ar"/>
        </w:rPr>
        <w:t>2018</w:t>
      </w:r>
      <w:r>
        <w:rPr>
          <w:rFonts w:ascii="Times New Roman" w:hAnsi="Times New Roman" w:cs="Times New Roman" w:hint="eastAsia"/>
          <w:color w:val="000000"/>
          <w:lang w:bidi="ar"/>
        </w:rPr>
        <w:t>年增长了</w:t>
      </w:r>
      <w:r>
        <w:rPr>
          <w:rFonts w:ascii="Times New Roman" w:hAnsi="Times New Roman" w:cs="Times New Roman"/>
          <w:color w:val="000000"/>
          <w:lang w:bidi="ar"/>
        </w:rPr>
        <w:t>4.11%</w:t>
      </w:r>
      <w:r>
        <w:rPr>
          <w:rFonts w:ascii="Times New Roman" w:hAnsi="Times New Roman" w:cs="Times New Roman" w:hint="eastAsia"/>
          <w:color w:val="000000"/>
          <w:lang w:bidi="ar"/>
        </w:rPr>
        <w:t>，北洋天青的营业收入相较于</w:t>
      </w:r>
      <w:r>
        <w:rPr>
          <w:rFonts w:ascii="Times New Roman" w:hAnsi="Times New Roman" w:cs="Times New Roman"/>
          <w:color w:val="000000"/>
          <w:lang w:bidi="ar"/>
        </w:rPr>
        <w:t>2018</w:t>
      </w:r>
      <w:r>
        <w:rPr>
          <w:rFonts w:ascii="Times New Roman" w:hAnsi="Times New Roman" w:cs="Times New Roman" w:hint="eastAsia"/>
          <w:color w:val="000000"/>
          <w:lang w:bidi="ar"/>
        </w:rPr>
        <w:t>年增长了</w:t>
      </w:r>
      <w:r>
        <w:rPr>
          <w:rFonts w:ascii="Times New Roman" w:hAnsi="Times New Roman" w:cs="Times New Roman"/>
          <w:color w:val="000000"/>
          <w:lang w:bidi="ar"/>
        </w:rPr>
        <w:t>69.11%</w:t>
      </w:r>
      <w:r>
        <w:rPr>
          <w:rFonts w:ascii="Times New Roman" w:hAnsi="Times New Roman" w:cs="Times New Roman" w:hint="eastAsia"/>
          <w:color w:val="000000"/>
          <w:lang w:bidi="ar"/>
        </w:rPr>
        <w:t>，</w:t>
      </w:r>
      <w:r>
        <w:rPr>
          <w:rFonts w:ascii="Times New Roman" w:hAnsi="Times New Roman" w:cs="Times New Roman"/>
          <w:color w:val="000000"/>
          <w:lang w:bidi="ar"/>
        </w:rPr>
        <w:t>2020</w:t>
      </w:r>
      <w:r>
        <w:rPr>
          <w:rFonts w:ascii="Times New Roman" w:hAnsi="Times New Roman" w:cs="Times New Roman" w:hint="eastAsia"/>
          <w:color w:val="000000"/>
          <w:lang w:bidi="ar"/>
        </w:rPr>
        <w:t>年度</w:t>
      </w:r>
      <w:r>
        <w:rPr>
          <w:rFonts w:ascii="Times New Roman" w:hAnsi="Times New Roman" w:cs="Times New Roman"/>
          <w:color w:val="000000"/>
          <w:lang w:bidi="ar"/>
        </w:rPr>
        <w:t>1-9</w:t>
      </w:r>
      <w:r>
        <w:rPr>
          <w:rFonts w:ascii="Times New Roman" w:hAnsi="Times New Roman" w:cs="Times New Roman" w:hint="eastAsia"/>
          <w:color w:val="000000"/>
          <w:lang w:bidi="ar"/>
        </w:rPr>
        <w:t>月，</w:t>
      </w:r>
      <w:r>
        <w:rPr>
          <w:rFonts w:ascii="Times New Roman" w:hAnsi="Times New Roman" w:cs="Times New Roman" w:hint="eastAsia"/>
          <w:color w:val="000000"/>
          <w:lang w:bidi="ar"/>
        </w:rPr>
        <w:lastRenderedPageBreak/>
        <w:t>同行业可比上市公司的营业收入平均值相较于</w:t>
      </w:r>
      <w:r>
        <w:rPr>
          <w:rFonts w:ascii="Times New Roman" w:hAnsi="Times New Roman" w:cs="Times New Roman"/>
          <w:color w:val="000000"/>
          <w:lang w:bidi="ar"/>
        </w:rPr>
        <w:t>2019</w:t>
      </w:r>
      <w:r>
        <w:rPr>
          <w:rFonts w:ascii="Times New Roman" w:hAnsi="Times New Roman" w:cs="Times New Roman" w:hint="eastAsia"/>
          <w:color w:val="000000"/>
          <w:lang w:bidi="ar"/>
        </w:rPr>
        <w:t>年</w:t>
      </w:r>
      <w:r>
        <w:rPr>
          <w:rFonts w:ascii="Times New Roman" w:hAnsi="Times New Roman" w:cs="Times New Roman"/>
          <w:color w:val="000000"/>
          <w:lang w:bidi="ar"/>
        </w:rPr>
        <w:t>1-9</w:t>
      </w:r>
      <w:r>
        <w:rPr>
          <w:rFonts w:ascii="Times New Roman" w:hAnsi="Times New Roman" w:cs="Times New Roman" w:hint="eastAsia"/>
          <w:color w:val="000000"/>
          <w:lang w:bidi="ar"/>
        </w:rPr>
        <w:t>月增长了</w:t>
      </w:r>
      <w:r>
        <w:rPr>
          <w:rFonts w:ascii="Times New Roman" w:hAnsi="Times New Roman" w:cs="Times New Roman"/>
          <w:color w:val="000000"/>
          <w:lang w:bidi="ar"/>
        </w:rPr>
        <w:t>28.35%</w:t>
      </w:r>
      <w:r>
        <w:rPr>
          <w:rFonts w:ascii="Times New Roman" w:hAnsi="Times New Roman" w:cs="Times New Roman" w:hint="eastAsia"/>
          <w:color w:val="000000"/>
          <w:lang w:bidi="ar"/>
        </w:rPr>
        <w:t>，北洋天青</w:t>
      </w:r>
      <w:r>
        <w:rPr>
          <w:rFonts w:ascii="Times New Roman" w:hAnsi="Times New Roman" w:cs="Times New Roman"/>
          <w:color w:val="000000"/>
          <w:lang w:bidi="ar"/>
        </w:rPr>
        <w:t>2020</w:t>
      </w:r>
      <w:r>
        <w:rPr>
          <w:rFonts w:ascii="Times New Roman" w:hAnsi="Times New Roman" w:cs="Times New Roman" w:hint="eastAsia"/>
          <w:color w:val="000000"/>
          <w:lang w:bidi="ar"/>
        </w:rPr>
        <w:t>年度的营业收入相较于</w:t>
      </w:r>
      <w:r>
        <w:rPr>
          <w:rFonts w:ascii="Times New Roman" w:hAnsi="Times New Roman" w:cs="Times New Roman"/>
          <w:color w:val="000000"/>
          <w:lang w:bidi="ar"/>
        </w:rPr>
        <w:t>2019</w:t>
      </w:r>
      <w:r>
        <w:rPr>
          <w:rFonts w:ascii="Times New Roman" w:hAnsi="Times New Roman" w:cs="Times New Roman" w:hint="eastAsia"/>
          <w:color w:val="000000"/>
          <w:lang w:bidi="ar"/>
        </w:rPr>
        <w:t>年度增长了</w:t>
      </w:r>
      <w:r>
        <w:rPr>
          <w:rFonts w:ascii="Times New Roman" w:hAnsi="Times New Roman" w:cs="Times New Roman"/>
          <w:color w:val="000000"/>
          <w:lang w:bidi="ar"/>
        </w:rPr>
        <w:t>45.81%</w:t>
      </w:r>
      <w:r>
        <w:rPr>
          <w:rFonts w:ascii="Times New Roman" w:hAnsi="Times New Roman" w:cs="Times New Roman" w:hint="eastAsia"/>
          <w:color w:val="000000"/>
          <w:lang w:bidi="ar"/>
        </w:rPr>
        <w:t>，主要系标的公司仍处于快速增长期，经营规模迅速扩大所致。报告期内，北洋天青与同行业上市公司的营业收入变动趋势保持一致。</w:t>
      </w:r>
    </w:p>
    <w:p w14:paraId="644504DB"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二、市场容量变化情况</w:t>
      </w:r>
    </w:p>
    <w:p w14:paraId="46D84024"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工业机械行业在历经了发展低潮后，自</w:t>
      </w:r>
      <w:r>
        <w:rPr>
          <w:rFonts w:ascii="Times New Roman" w:hAnsi="Times New Roman" w:cs="Times New Roman" w:hint="eastAsia"/>
          <w:bCs/>
        </w:rPr>
        <w:t>2016</w:t>
      </w:r>
      <w:r>
        <w:rPr>
          <w:rFonts w:ascii="Times New Roman" w:hAnsi="Times New Roman" w:cs="Times New Roman" w:hint="eastAsia"/>
          <w:bCs/>
        </w:rPr>
        <w:t>年起开始恢复增长，全行业坚持高质量发展的工作要求，深入开展供给侧结构性改革，积极投身“一带一路”建设，取得了较好成绩，技术创新和盈利能力大幅度提升，市场销售继续保持快速增长，经中国工程机械工业协会统计，在扣除不可比因素、重复数据和非工程机械产业营业收入之后，</w:t>
      </w:r>
      <w:r>
        <w:rPr>
          <w:rFonts w:ascii="Times New Roman" w:hAnsi="Times New Roman" w:cs="Times New Roman" w:hint="eastAsia"/>
          <w:bCs/>
        </w:rPr>
        <w:t>2019</w:t>
      </w:r>
      <w:r>
        <w:rPr>
          <w:rFonts w:ascii="Times New Roman" w:hAnsi="Times New Roman" w:cs="Times New Roman" w:hint="eastAsia"/>
          <w:bCs/>
        </w:rPr>
        <w:t>年全行业实现营业收入</w:t>
      </w:r>
      <w:r>
        <w:rPr>
          <w:rFonts w:ascii="Times New Roman" w:hAnsi="Times New Roman" w:cs="Times New Roman" w:hint="eastAsia"/>
          <w:bCs/>
        </w:rPr>
        <w:t>6,681</w:t>
      </w:r>
      <w:r>
        <w:rPr>
          <w:rFonts w:ascii="Times New Roman" w:hAnsi="Times New Roman" w:cs="Times New Roman" w:hint="eastAsia"/>
          <w:bCs/>
        </w:rPr>
        <w:t>亿元，比</w:t>
      </w:r>
      <w:r>
        <w:rPr>
          <w:rFonts w:ascii="Times New Roman" w:hAnsi="Times New Roman" w:cs="Times New Roman" w:hint="eastAsia"/>
          <w:bCs/>
        </w:rPr>
        <w:t>2018</w:t>
      </w:r>
      <w:r>
        <w:rPr>
          <w:rFonts w:ascii="Times New Roman" w:hAnsi="Times New Roman" w:cs="Times New Roman" w:hint="eastAsia"/>
          <w:bCs/>
        </w:rPr>
        <w:t>年增长</w:t>
      </w:r>
      <w:r>
        <w:rPr>
          <w:rFonts w:ascii="Times New Roman" w:hAnsi="Times New Roman" w:cs="Times New Roman" w:hint="eastAsia"/>
          <w:bCs/>
        </w:rPr>
        <w:t>12%</w:t>
      </w:r>
      <w:r>
        <w:rPr>
          <w:rFonts w:ascii="Times New Roman" w:hAnsi="Times New Roman" w:cs="Times New Roman" w:hint="eastAsia"/>
          <w:bCs/>
        </w:rPr>
        <w:t>。因此，市场容量的变化情况与标的公司同行业上市公司的营业收入变化趋势保持一致。</w:t>
      </w:r>
    </w:p>
    <w:p w14:paraId="71218535"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三、北洋天青营业收入波动的原因</w:t>
      </w:r>
    </w:p>
    <w:p w14:paraId="2E00442E"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首先，近年来家电行业出货量持续上涨。其中海尔、澳柯玛家电板块保持增长，并不断拓展海外市场。随着海尔、澳柯玛相关家电板块近年来持续增长，相应生产线智能化建设、升级和改造需求较为强烈。其次，经过多年的合作，通过北洋天青自身迅速的客户需求反应能力及高水平的综合集成能力，与客户建立了较高的默契度，获得了良好的口碑。由于订单的不断增加，北洋天青</w:t>
      </w:r>
      <w:r>
        <w:rPr>
          <w:rFonts w:ascii="Times New Roman" w:hAnsi="Times New Roman" w:cs="Times New Roman" w:hint="eastAsia"/>
          <w:bCs/>
        </w:rPr>
        <w:t>2019</w:t>
      </w:r>
      <w:r>
        <w:rPr>
          <w:rFonts w:ascii="Times New Roman" w:hAnsi="Times New Roman" w:cs="Times New Roman" w:hint="eastAsia"/>
          <w:bCs/>
        </w:rPr>
        <w:t>年度的营业收入较</w:t>
      </w:r>
      <w:r>
        <w:rPr>
          <w:rFonts w:ascii="Times New Roman" w:hAnsi="Times New Roman" w:cs="Times New Roman" w:hint="eastAsia"/>
          <w:bCs/>
        </w:rPr>
        <w:t>2018</w:t>
      </w:r>
      <w:r>
        <w:rPr>
          <w:rFonts w:ascii="Times New Roman" w:hAnsi="Times New Roman" w:cs="Times New Roman" w:hint="eastAsia"/>
          <w:bCs/>
        </w:rPr>
        <w:t>年增长了</w:t>
      </w:r>
      <w:r>
        <w:rPr>
          <w:rFonts w:ascii="Times New Roman" w:hAnsi="Times New Roman" w:cs="Times New Roman" w:hint="eastAsia"/>
          <w:bCs/>
        </w:rPr>
        <w:t>69.11%</w:t>
      </w:r>
      <w:r>
        <w:rPr>
          <w:rFonts w:ascii="Times New Roman" w:hAnsi="Times New Roman" w:cs="Times New Roman" w:hint="eastAsia"/>
          <w:bCs/>
        </w:rPr>
        <w:t>。</w:t>
      </w:r>
    </w:p>
    <w:p w14:paraId="5B44715A" w14:textId="77777777" w:rsidR="00C02929" w:rsidRDefault="006116D1">
      <w:pPr>
        <w:suppressAutoHyphens/>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2</w:t>
      </w:r>
      <w:r>
        <w:rPr>
          <w:rFonts w:ascii="Times New Roman" w:hAnsi="Times New Roman" w:cs="Times New Roman"/>
          <w:bCs/>
        </w:rPr>
        <w:t>020</w:t>
      </w:r>
      <w:r>
        <w:rPr>
          <w:rFonts w:ascii="Times New Roman" w:hAnsi="Times New Roman" w:cs="Times New Roman" w:hint="eastAsia"/>
          <w:bCs/>
        </w:rPr>
        <w:t>年，由于受到疫情影响，北洋天青部分项目的合同签订时间推迟、工期延后或无法按期完工，其收入确认受到一定影响。由于北洋天青具有出色的智能工厂设计能力，获得了客户的高度认可，其于</w:t>
      </w:r>
      <w:r>
        <w:rPr>
          <w:rFonts w:ascii="Times New Roman" w:hAnsi="Times New Roman" w:cs="Times New Roman" w:hint="eastAsia"/>
          <w:bCs/>
        </w:rPr>
        <w:t>2</w:t>
      </w:r>
      <w:r>
        <w:rPr>
          <w:rFonts w:ascii="Times New Roman" w:hAnsi="Times New Roman" w:cs="Times New Roman"/>
          <w:bCs/>
        </w:rPr>
        <w:t>020</w:t>
      </w:r>
      <w:r>
        <w:rPr>
          <w:rFonts w:ascii="Times New Roman" w:hAnsi="Times New Roman" w:cs="Times New Roman" w:hint="eastAsia"/>
          <w:bCs/>
        </w:rPr>
        <w:t>年</w:t>
      </w:r>
      <w:r>
        <w:rPr>
          <w:rFonts w:ascii="Times New Roman" w:hAnsi="Times New Roman" w:cs="Times New Roman" w:hint="eastAsia"/>
          <w:bCs/>
        </w:rPr>
        <w:t>8</w:t>
      </w:r>
      <w:r>
        <w:rPr>
          <w:rFonts w:ascii="Times New Roman" w:hAnsi="Times New Roman" w:cs="Times New Roman" w:hint="eastAsia"/>
          <w:bCs/>
        </w:rPr>
        <w:t>月与澳柯玛股份有限公司签订了</w:t>
      </w:r>
      <w:r>
        <w:rPr>
          <w:rFonts w:ascii="Times New Roman" w:hAnsi="Times New Roman" w:cs="Times New Roman"/>
          <w:bCs/>
        </w:rPr>
        <w:t>《工业互联网平台、信息化系统及自动化物流线等设备采购合同》</w:t>
      </w:r>
      <w:r>
        <w:rPr>
          <w:rFonts w:ascii="Times New Roman" w:hAnsi="Times New Roman" w:cs="Times New Roman" w:hint="eastAsia"/>
          <w:bCs/>
        </w:rPr>
        <w:t>及其补充协议，并于</w:t>
      </w:r>
      <w:r>
        <w:rPr>
          <w:rFonts w:ascii="Times New Roman" w:hAnsi="Times New Roman" w:cs="Times New Roman" w:hint="eastAsia"/>
          <w:bCs/>
        </w:rPr>
        <w:t>2</w:t>
      </w:r>
      <w:r>
        <w:rPr>
          <w:rFonts w:ascii="Times New Roman" w:hAnsi="Times New Roman" w:cs="Times New Roman"/>
          <w:bCs/>
        </w:rPr>
        <w:t>020</w:t>
      </w:r>
      <w:r>
        <w:rPr>
          <w:rFonts w:ascii="Times New Roman" w:hAnsi="Times New Roman" w:cs="Times New Roman" w:hint="eastAsia"/>
          <w:bCs/>
        </w:rPr>
        <w:t>年</w:t>
      </w:r>
      <w:r>
        <w:rPr>
          <w:rFonts w:ascii="Times New Roman" w:hAnsi="Times New Roman" w:cs="Times New Roman" w:hint="eastAsia"/>
          <w:bCs/>
        </w:rPr>
        <w:t>1</w:t>
      </w:r>
      <w:r>
        <w:rPr>
          <w:rFonts w:ascii="Times New Roman" w:hAnsi="Times New Roman" w:cs="Times New Roman"/>
          <w:bCs/>
        </w:rPr>
        <w:t>2</w:t>
      </w:r>
      <w:r>
        <w:rPr>
          <w:rFonts w:ascii="Times New Roman" w:hAnsi="Times New Roman" w:cs="Times New Roman" w:hint="eastAsia"/>
          <w:bCs/>
        </w:rPr>
        <w:t>月就工业互联网平台、</w:t>
      </w:r>
      <w:r>
        <w:rPr>
          <w:rFonts w:ascii="Times New Roman" w:hAnsi="Times New Roman" w:cs="Times New Roman"/>
          <w:bCs/>
        </w:rPr>
        <w:t>MES</w:t>
      </w:r>
      <w:r>
        <w:rPr>
          <w:rFonts w:ascii="Times New Roman" w:hAnsi="Times New Roman" w:cs="Times New Roman"/>
          <w:bCs/>
        </w:rPr>
        <w:t>系统、</w:t>
      </w:r>
      <w:r>
        <w:rPr>
          <w:rFonts w:ascii="Times New Roman" w:hAnsi="Times New Roman" w:cs="Times New Roman"/>
          <w:bCs/>
        </w:rPr>
        <w:t>SCADA</w:t>
      </w:r>
      <w:r>
        <w:rPr>
          <w:rFonts w:ascii="Times New Roman" w:hAnsi="Times New Roman" w:cs="Times New Roman"/>
          <w:bCs/>
        </w:rPr>
        <w:t>系统、</w:t>
      </w:r>
      <w:r>
        <w:rPr>
          <w:rFonts w:ascii="Times New Roman" w:hAnsi="Times New Roman" w:cs="Times New Roman"/>
          <w:bCs/>
        </w:rPr>
        <w:t>PLM</w:t>
      </w:r>
      <w:r>
        <w:rPr>
          <w:rFonts w:ascii="Times New Roman" w:hAnsi="Times New Roman" w:cs="Times New Roman"/>
          <w:bCs/>
        </w:rPr>
        <w:t>及仿真系统及信息化硬件等企业信息化领域的定制化集成项目完成验收并确认收入</w:t>
      </w:r>
      <w:r>
        <w:rPr>
          <w:rFonts w:ascii="Times New Roman" w:hAnsi="Times New Roman" w:cs="Times New Roman" w:hint="eastAsia"/>
          <w:bCs/>
        </w:rPr>
        <w:t>，保持了其营业收入较好的增长趋势。</w:t>
      </w:r>
      <w:r>
        <w:rPr>
          <w:rFonts w:ascii="Times New Roman" w:hAnsi="Times New Roman" w:cs="Times New Roman"/>
          <w:bCs/>
        </w:rPr>
        <w:t>2020</w:t>
      </w:r>
      <w:r>
        <w:rPr>
          <w:rFonts w:ascii="Times New Roman" w:hAnsi="Times New Roman" w:cs="Times New Roman"/>
          <w:bCs/>
        </w:rPr>
        <w:t>年</w:t>
      </w:r>
      <w:r>
        <w:rPr>
          <w:rFonts w:ascii="Times New Roman" w:hAnsi="Times New Roman" w:cs="Times New Roman" w:hint="eastAsia"/>
          <w:bCs/>
        </w:rPr>
        <w:t>，北洋天青</w:t>
      </w:r>
      <w:r>
        <w:rPr>
          <w:rFonts w:ascii="Times New Roman" w:hAnsi="Times New Roman" w:cs="Times New Roman"/>
          <w:bCs/>
        </w:rPr>
        <w:t>营业收入</w:t>
      </w:r>
      <w:r>
        <w:rPr>
          <w:rFonts w:ascii="Times New Roman" w:hAnsi="Times New Roman" w:cs="Times New Roman" w:hint="eastAsia"/>
          <w:bCs/>
        </w:rPr>
        <w:t>为</w:t>
      </w:r>
      <w:r>
        <w:rPr>
          <w:rFonts w:ascii="Times New Roman" w:hAnsi="Times New Roman" w:cs="Times New Roman"/>
          <w:bCs/>
        </w:rPr>
        <w:t>15,056.17</w:t>
      </w:r>
      <w:r>
        <w:rPr>
          <w:rFonts w:ascii="Times New Roman" w:hAnsi="Times New Roman" w:cs="Times New Roman"/>
          <w:bCs/>
        </w:rPr>
        <w:t>万元</w:t>
      </w:r>
      <w:r>
        <w:rPr>
          <w:rFonts w:ascii="Times New Roman" w:hAnsi="Times New Roman" w:cs="Times New Roman" w:hint="eastAsia"/>
          <w:bCs/>
        </w:rPr>
        <w:t>，</w:t>
      </w:r>
      <w:r>
        <w:rPr>
          <w:rFonts w:ascii="Times New Roman" w:hAnsi="Times New Roman" w:cs="Times New Roman"/>
          <w:bCs/>
        </w:rPr>
        <w:t>较</w:t>
      </w:r>
      <w:r>
        <w:rPr>
          <w:rFonts w:ascii="Times New Roman" w:hAnsi="Times New Roman" w:cs="Times New Roman"/>
          <w:bCs/>
        </w:rPr>
        <w:t>2019</w:t>
      </w:r>
      <w:r>
        <w:rPr>
          <w:rFonts w:ascii="Times New Roman" w:hAnsi="Times New Roman" w:cs="Times New Roman"/>
          <w:bCs/>
        </w:rPr>
        <w:t>年增加</w:t>
      </w:r>
      <w:r>
        <w:rPr>
          <w:rFonts w:ascii="Times New Roman" w:hAnsi="Times New Roman" w:cs="Times New Roman" w:hint="eastAsia"/>
          <w:bCs/>
        </w:rPr>
        <w:t>了</w:t>
      </w:r>
      <w:r>
        <w:rPr>
          <w:rFonts w:ascii="Times New Roman" w:hAnsi="Times New Roman" w:cs="Times New Roman" w:hint="eastAsia"/>
          <w:bCs/>
        </w:rPr>
        <w:t>4</w:t>
      </w:r>
      <w:r>
        <w:rPr>
          <w:rFonts w:ascii="Times New Roman" w:hAnsi="Times New Roman" w:cs="Times New Roman"/>
          <w:bCs/>
        </w:rPr>
        <w:t>,730.03</w:t>
      </w:r>
      <w:r>
        <w:rPr>
          <w:rFonts w:ascii="Times New Roman" w:hAnsi="Times New Roman" w:cs="Times New Roman"/>
          <w:bCs/>
        </w:rPr>
        <w:t>万元，同比增长</w:t>
      </w:r>
      <w:r>
        <w:rPr>
          <w:rFonts w:ascii="Times New Roman" w:hAnsi="Times New Roman" w:cs="Times New Roman" w:hint="eastAsia"/>
          <w:bCs/>
        </w:rPr>
        <w:t>了</w:t>
      </w:r>
      <w:r>
        <w:rPr>
          <w:rFonts w:ascii="Times New Roman" w:hAnsi="Times New Roman" w:cs="Times New Roman"/>
          <w:bCs/>
        </w:rPr>
        <w:t>45.81%</w:t>
      </w:r>
      <w:r>
        <w:rPr>
          <w:rFonts w:ascii="Times New Roman" w:hAnsi="Times New Roman" w:cs="Times New Roman" w:hint="eastAsia"/>
          <w:bCs/>
        </w:rPr>
        <w:t>。</w:t>
      </w:r>
    </w:p>
    <w:p w14:paraId="6BBD5EF6"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lastRenderedPageBreak/>
        <w:t>四、补充披露情况</w:t>
      </w:r>
    </w:p>
    <w:p w14:paraId="5AF0F854"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上市公司已在《重组报告书》“第九节</w:t>
      </w:r>
      <w:r>
        <w:rPr>
          <w:rFonts w:ascii="Times New Roman" w:hAnsi="Times New Roman" w:cs="Times New Roman"/>
          <w:bCs/>
        </w:rPr>
        <w:t xml:space="preserve"> </w:t>
      </w:r>
      <w:r>
        <w:rPr>
          <w:rFonts w:ascii="Times New Roman" w:hAnsi="Times New Roman" w:cs="Times New Roman" w:hint="eastAsia"/>
          <w:bCs/>
        </w:rPr>
        <w:t>管理层讨论与分析”之“三、标的公司报告期财务状况和经营成果的讨论分析”之“（二）盈利能力分析”进行了补充披露。</w:t>
      </w:r>
    </w:p>
    <w:p w14:paraId="69739D2F" w14:textId="04F2BD16"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w:t>
      </w:r>
      <w:r w:rsidR="00AA3DAA" w:rsidRP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1361F8C8"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经核查，独立财务顾问认为：报告期内，北洋天青与同行业上市公司的营业收入变动趋势保持一致，市场容量的变化情况与标的公司同行业上市公司的营业收入变化趋势保持一致。</w:t>
      </w:r>
    </w:p>
    <w:p w14:paraId="3091C8EE"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）补充披露北洋天青收入确认的政策、依据和时点，是否存在收入跨期的情形。</w:t>
      </w:r>
    </w:p>
    <w:p w14:paraId="63D615BF"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一、北洋天青收入确认的政策、依据和时点</w:t>
      </w:r>
    </w:p>
    <w:p w14:paraId="270D1E93"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北洋天青主营业务为生产线智能化、信息化的建设、升级和改造业务，均以终验法作为收入确认的政策。在北洋天青的项目满足验收条件后，由北洋天青向客户发起验收申请，客户根据合同要求进行项目验收，并在满足验收条件时向北洋天青出具验收单。北洋天青在项目验收合格后根据验收单的出具时点作为收入确认的时点。</w:t>
      </w:r>
    </w:p>
    <w:p w14:paraId="3D5AAD3E"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二、北洋天青不存在收入跨期的情形</w:t>
      </w:r>
    </w:p>
    <w:p w14:paraId="5AB4F41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北洋天青的客户通常在项目完工并正常运行三十日后进行验收，标的公司大部分项目能够在约定工期的一个月左右完成验收。报告期内，北洋天青在每年</w:t>
      </w:r>
      <w:r>
        <w:rPr>
          <w:rFonts w:ascii="Times New Roman" w:hAnsi="Times New Roman" w:cs="Times New Roman" w:hint="eastAsia"/>
        </w:rPr>
        <w:t>1</w:t>
      </w:r>
      <w:r>
        <w:rPr>
          <w:rFonts w:ascii="Times New Roman" w:hAnsi="Times New Roman" w:cs="Times New Roman" w:hint="eastAsia"/>
        </w:rPr>
        <w:t>月和</w:t>
      </w:r>
      <w:r>
        <w:rPr>
          <w:rFonts w:ascii="Times New Roman" w:hAnsi="Times New Roman" w:cs="Times New Roman" w:hint="eastAsia"/>
        </w:rPr>
        <w:t>1</w:t>
      </w:r>
      <w:r>
        <w:rPr>
          <w:rFonts w:ascii="Times New Roman" w:hAnsi="Times New Roman" w:cs="Times New Roman"/>
        </w:rPr>
        <w:t>2</w:t>
      </w:r>
      <w:r>
        <w:rPr>
          <w:rFonts w:ascii="Times New Roman" w:hAnsi="Times New Roman" w:cs="Times New Roman" w:hint="eastAsia"/>
        </w:rPr>
        <w:t>月确认收入的项目的合同签署情况及完工时间情况如下：</w:t>
      </w:r>
    </w:p>
    <w:tbl>
      <w:tblPr>
        <w:tblW w:w="5111"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49"/>
        <w:gridCol w:w="1711"/>
        <w:gridCol w:w="972"/>
        <w:gridCol w:w="1134"/>
        <w:gridCol w:w="991"/>
        <w:gridCol w:w="2554"/>
      </w:tblGrid>
      <w:tr w:rsidR="00C02929" w14:paraId="6381BE16" w14:textId="77777777">
        <w:trPr>
          <w:trHeight w:val="397"/>
          <w:tblHeader/>
          <w:jc w:val="center"/>
        </w:trPr>
        <w:tc>
          <w:tcPr>
            <w:tcW w:w="774" w:type="pct"/>
            <w:shd w:val="clear" w:color="auto" w:fill="auto"/>
            <w:vAlign w:val="center"/>
          </w:tcPr>
          <w:p w14:paraId="6B043A7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项目编号</w:t>
            </w:r>
          </w:p>
        </w:tc>
        <w:tc>
          <w:tcPr>
            <w:tcW w:w="982" w:type="pct"/>
            <w:shd w:val="clear" w:color="auto" w:fill="auto"/>
            <w:vAlign w:val="center"/>
          </w:tcPr>
          <w:p w14:paraId="1C44D974"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项目名称</w:t>
            </w:r>
          </w:p>
        </w:tc>
        <w:tc>
          <w:tcPr>
            <w:tcW w:w="558" w:type="pct"/>
            <w:shd w:val="clear" w:color="auto" w:fill="auto"/>
            <w:vAlign w:val="center"/>
          </w:tcPr>
          <w:p w14:paraId="1856FD5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合同签订时间</w:t>
            </w:r>
          </w:p>
        </w:tc>
        <w:tc>
          <w:tcPr>
            <w:tcW w:w="651" w:type="pct"/>
            <w:shd w:val="clear" w:color="auto" w:fill="auto"/>
            <w:vAlign w:val="center"/>
          </w:tcPr>
          <w:p w14:paraId="5C4220B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约定工期</w:t>
            </w:r>
          </w:p>
        </w:tc>
        <w:tc>
          <w:tcPr>
            <w:tcW w:w="569" w:type="pct"/>
            <w:vAlign w:val="center"/>
          </w:tcPr>
          <w:p w14:paraId="6FEED19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验收时间</w:t>
            </w:r>
          </w:p>
        </w:tc>
        <w:tc>
          <w:tcPr>
            <w:tcW w:w="1466" w:type="pct"/>
            <w:vAlign w:val="center"/>
          </w:tcPr>
          <w:p w14:paraId="37EB9361"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约定工期与验收时间是否相符</w:t>
            </w:r>
          </w:p>
        </w:tc>
      </w:tr>
      <w:tr w:rsidR="00C02929" w14:paraId="6525D96C" w14:textId="77777777">
        <w:trPr>
          <w:trHeight w:val="397"/>
          <w:jc w:val="center"/>
        </w:trPr>
        <w:tc>
          <w:tcPr>
            <w:tcW w:w="774" w:type="pct"/>
            <w:shd w:val="clear" w:color="auto" w:fill="auto"/>
            <w:vAlign w:val="center"/>
          </w:tcPr>
          <w:p w14:paraId="036647A2"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Q18</w:t>
            </w:r>
            <w:r>
              <w:rPr>
                <w:rFonts w:ascii="Times New Roman" w:hAnsi="Times New Roman" w:cs="Times New Roman" w:hint="eastAsia"/>
                <w:sz w:val="21"/>
                <w:szCs w:val="21"/>
              </w:rPr>
              <w:t>-</w:t>
            </w:r>
            <w:r>
              <w:rPr>
                <w:rFonts w:ascii="Times New Roman" w:hAnsi="Times New Roman" w:cs="Times New Roman"/>
                <w:sz w:val="21"/>
                <w:szCs w:val="21"/>
              </w:rPr>
              <w:t>HE06</w:t>
            </w:r>
          </w:p>
        </w:tc>
        <w:tc>
          <w:tcPr>
            <w:tcW w:w="982" w:type="pct"/>
            <w:shd w:val="clear" w:color="auto" w:fill="auto"/>
            <w:vAlign w:val="center"/>
          </w:tcPr>
          <w:p w14:paraId="05D6CC13"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合肥海尔滚筒自动化</w:t>
            </w:r>
          </w:p>
        </w:tc>
        <w:tc>
          <w:tcPr>
            <w:tcW w:w="558" w:type="pct"/>
            <w:shd w:val="clear" w:color="auto" w:fill="auto"/>
            <w:vAlign w:val="center"/>
          </w:tcPr>
          <w:p w14:paraId="1C5FAD8D"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7</w:t>
            </w:r>
            <w:r>
              <w:rPr>
                <w:rFonts w:ascii="Times New Roman" w:hAnsi="Times New Roman" w:cs="Times New Roman"/>
                <w:sz w:val="21"/>
                <w:szCs w:val="21"/>
              </w:rPr>
              <w:t>月</w:t>
            </w:r>
          </w:p>
        </w:tc>
        <w:tc>
          <w:tcPr>
            <w:tcW w:w="651" w:type="pct"/>
            <w:shd w:val="clear" w:color="auto" w:fill="auto"/>
            <w:vAlign w:val="center"/>
          </w:tcPr>
          <w:p w14:paraId="1D91B9FD"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90</w:t>
            </w:r>
            <w:r>
              <w:rPr>
                <w:rFonts w:ascii="Times New Roman" w:hAnsi="Times New Roman" w:cs="Times New Roman"/>
                <w:sz w:val="21"/>
                <w:szCs w:val="21"/>
              </w:rPr>
              <w:t>天</w:t>
            </w:r>
          </w:p>
        </w:tc>
        <w:tc>
          <w:tcPr>
            <w:tcW w:w="569" w:type="pct"/>
            <w:vAlign w:val="center"/>
          </w:tcPr>
          <w:p w14:paraId="7A98E87D"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12</w:t>
            </w:r>
            <w:r>
              <w:rPr>
                <w:rFonts w:ascii="Times New Roman" w:hAnsi="Times New Roman" w:cs="Times New Roman"/>
                <w:sz w:val="21"/>
                <w:szCs w:val="21"/>
              </w:rPr>
              <w:t>月</w:t>
            </w:r>
          </w:p>
        </w:tc>
        <w:tc>
          <w:tcPr>
            <w:tcW w:w="1466" w:type="pct"/>
            <w:vAlign w:val="center"/>
          </w:tcPr>
          <w:p w14:paraId="571BEB7C"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相符</w:t>
            </w:r>
          </w:p>
        </w:tc>
      </w:tr>
      <w:tr w:rsidR="00C02929" w14:paraId="4B21FB8E" w14:textId="77777777">
        <w:trPr>
          <w:trHeight w:val="397"/>
          <w:jc w:val="center"/>
        </w:trPr>
        <w:tc>
          <w:tcPr>
            <w:tcW w:w="774" w:type="pct"/>
            <w:shd w:val="clear" w:color="auto" w:fill="auto"/>
            <w:vAlign w:val="center"/>
          </w:tcPr>
          <w:p w14:paraId="7812FB38"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Q18-HE14</w:t>
            </w:r>
          </w:p>
        </w:tc>
        <w:tc>
          <w:tcPr>
            <w:tcW w:w="982" w:type="pct"/>
            <w:shd w:val="clear" w:color="auto" w:fill="auto"/>
            <w:vAlign w:val="center"/>
          </w:tcPr>
          <w:p w14:paraId="0B3C7E45"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合肥冰箱压力机连线</w:t>
            </w:r>
          </w:p>
        </w:tc>
        <w:tc>
          <w:tcPr>
            <w:tcW w:w="558" w:type="pct"/>
            <w:shd w:val="clear" w:color="auto" w:fill="auto"/>
            <w:vAlign w:val="center"/>
          </w:tcPr>
          <w:p w14:paraId="2AC4D856"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10</w:t>
            </w:r>
            <w:r>
              <w:rPr>
                <w:rFonts w:ascii="Times New Roman" w:hAnsi="Times New Roman" w:cs="Times New Roman"/>
                <w:sz w:val="21"/>
                <w:szCs w:val="21"/>
              </w:rPr>
              <w:t>月</w:t>
            </w:r>
          </w:p>
        </w:tc>
        <w:tc>
          <w:tcPr>
            <w:tcW w:w="651" w:type="pct"/>
            <w:shd w:val="clear" w:color="auto" w:fill="auto"/>
            <w:vAlign w:val="center"/>
          </w:tcPr>
          <w:p w14:paraId="5CAC28B7"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60</w:t>
            </w:r>
            <w:r>
              <w:rPr>
                <w:rFonts w:ascii="Times New Roman" w:hAnsi="Times New Roman" w:cs="Times New Roman"/>
                <w:sz w:val="21"/>
                <w:szCs w:val="21"/>
              </w:rPr>
              <w:t>天</w:t>
            </w:r>
          </w:p>
        </w:tc>
        <w:tc>
          <w:tcPr>
            <w:tcW w:w="569" w:type="pct"/>
            <w:vAlign w:val="center"/>
          </w:tcPr>
          <w:p w14:paraId="53A2EDA3"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12</w:t>
            </w:r>
            <w:r>
              <w:rPr>
                <w:rFonts w:ascii="Times New Roman" w:hAnsi="Times New Roman" w:cs="Times New Roman"/>
                <w:sz w:val="21"/>
                <w:szCs w:val="21"/>
              </w:rPr>
              <w:t>月</w:t>
            </w:r>
          </w:p>
        </w:tc>
        <w:tc>
          <w:tcPr>
            <w:tcW w:w="1466" w:type="pct"/>
            <w:vAlign w:val="center"/>
          </w:tcPr>
          <w:p w14:paraId="2C837B67"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相符</w:t>
            </w:r>
          </w:p>
        </w:tc>
      </w:tr>
      <w:tr w:rsidR="00C02929" w14:paraId="1FA878CF" w14:textId="77777777">
        <w:trPr>
          <w:trHeight w:val="397"/>
          <w:jc w:val="center"/>
        </w:trPr>
        <w:tc>
          <w:tcPr>
            <w:tcW w:w="774" w:type="pct"/>
            <w:shd w:val="clear" w:color="auto" w:fill="auto"/>
            <w:vAlign w:val="center"/>
          </w:tcPr>
          <w:p w14:paraId="71BC47F5"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Q18-HE03</w:t>
            </w:r>
          </w:p>
        </w:tc>
        <w:tc>
          <w:tcPr>
            <w:tcW w:w="982" w:type="pct"/>
            <w:shd w:val="clear" w:color="auto" w:fill="auto"/>
            <w:vAlign w:val="center"/>
          </w:tcPr>
          <w:p w14:paraId="5F2165E2"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挡板机器人连线</w:t>
            </w:r>
          </w:p>
        </w:tc>
        <w:tc>
          <w:tcPr>
            <w:tcW w:w="558" w:type="pct"/>
            <w:shd w:val="clear" w:color="auto" w:fill="auto"/>
            <w:vAlign w:val="center"/>
          </w:tcPr>
          <w:p w14:paraId="1F4E6DE3"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5</w:t>
            </w:r>
            <w:r>
              <w:rPr>
                <w:rFonts w:ascii="Times New Roman" w:hAnsi="Times New Roman" w:cs="Times New Roman"/>
                <w:sz w:val="21"/>
                <w:szCs w:val="21"/>
              </w:rPr>
              <w:t>月</w:t>
            </w:r>
          </w:p>
        </w:tc>
        <w:tc>
          <w:tcPr>
            <w:tcW w:w="651" w:type="pct"/>
            <w:shd w:val="clear" w:color="auto" w:fill="auto"/>
            <w:vAlign w:val="center"/>
          </w:tcPr>
          <w:p w14:paraId="1EDA6EB1"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60</w:t>
            </w:r>
            <w:r>
              <w:rPr>
                <w:rFonts w:ascii="Times New Roman" w:hAnsi="Times New Roman" w:cs="Times New Roman"/>
                <w:sz w:val="21"/>
                <w:szCs w:val="21"/>
              </w:rPr>
              <w:t>天</w:t>
            </w:r>
          </w:p>
        </w:tc>
        <w:tc>
          <w:tcPr>
            <w:tcW w:w="569" w:type="pct"/>
            <w:vAlign w:val="center"/>
          </w:tcPr>
          <w:p w14:paraId="3CD52BE1"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12</w:t>
            </w:r>
            <w:r>
              <w:rPr>
                <w:rFonts w:ascii="Times New Roman" w:hAnsi="Times New Roman" w:cs="Times New Roman"/>
                <w:sz w:val="21"/>
                <w:szCs w:val="21"/>
              </w:rPr>
              <w:t>月</w:t>
            </w:r>
          </w:p>
        </w:tc>
        <w:tc>
          <w:tcPr>
            <w:tcW w:w="1466" w:type="pct"/>
            <w:vAlign w:val="center"/>
          </w:tcPr>
          <w:p w14:paraId="59013DB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该项目客户新采购的产品模具</w:t>
            </w: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10</w:t>
            </w:r>
            <w:r>
              <w:rPr>
                <w:rFonts w:ascii="Times New Roman" w:hAnsi="Times New Roman" w:cs="Times New Roman"/>
                <w:sz w:val="21"/>
                <w:szCs w:val="21"/>
              </w:rPr>
              <w:t>月份才完成交付，导致该项目调试延期，项目验收时间也相</w:t>
            </w:r>
            <w:r>
              <w:rPr>
                <w:rFonts w:ascii="Times New Roman" w:hAnsi="Times New Roman" w:cs="Times New Roman"/>
                <w:sz w:val="21"/>
                <w:szCs w:val="21"/>
              </w:rPr>
              <w:lastRenderedPageBreak/>
              <w:t>应延后。</w:t>
            </w:r>
          </w:p>
        </w:tc>
      </w:tr>
      <w:tr w:rsidR="00C02929" w14:paraId="5FBC481F" w14:textId="77777777">
        <w:trPr>
          <w:trHeight w:val="397"/>
          <w:jc w:val="center"/>
        </w:trPr>
        <w:tc>
          <w:tcPr>
            <w:tcW w:w="774" w:type="pct"/>
            <w:shd w:val="clear" w:color="auto" w:fill="auto"/>
            <w:vAlign w:val="center"/>
          </w:tcPr>
          <w:p w14:paraId="1D2F57F2"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lastRenderedPageBreak/>
              <w:t>Q19-DS001</w:t>
            </w:r>
          </w:p>
        </w:tc>
        <w:tc>
          <w:tcPr>
            <w:tcW w:w="982" w:type="pct"/>
            <w:shd w:val="clear" w:color="auto" w:fill="auto"/>
            <w:vAlign w:val="center"/>
          </w:tcPr>
          <w:p w14:paraId="3C4DA1FA"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湖南长沙康庭园机器人</w:t>
            </w:r>
            <w:r>
              <w:rPr>
                <w:rFonts w:ascii="Times New Roman" w:hAnsi="Times New Roman" w:cs="Times New Roman"/>
                <w:sz w:val="21"/>
                <w:szCs w:val="21"/>
              </w:rPr>
              <w:t>6700-2006</w:t>
            </w:r>
            <w:r>
              <w:rPr>
                <w:rFonts w:ascii="Times New Roman" w:hAnsi="Times New Roman" w:cs="Times New Roman"/>
                <w:sz w:val="21"/>
                <w:szCs w:val="21"/>
              </w:rPr>
              <w:t>台</w:t>
            </w:r>
          </w:p>
        </w:tc>
        <w:tc>
          <w:tcPr>
            <w:tcW w:w="558" w:type="pct"/>
            <w:shd w:val="clear" w:color="auto" w:fill="auto"/>
            <w:vAlign w:val="center"/>
          </w:tcPr>
          <w:p w14:paraId="094BBD1B"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2018</w:t>
            </w:r>
            <w:r>
              <w:rPr>
                <w:rFonts w:ascii="Times New Roman" w:hAnsi="Times New Roman" w:cs="Times New Roman"/>
                <w:sz w:val="21"/>
                <w:szCs w:val="21"/>
              </w:rPr>
              <w:t>年</w:t>
            </w:r>
            <w:r>
              <w:rPr>
                <w:rFonts w:ascii="Times New Roman" w:hAnsi="Times New Roman" w:cs="Times New Roman"/>
                <w:sz w:val="21"/>
                <w:szCs w:val="21"/>
              </w:rPr>
              <w:t>11</w:t>
            </w:r>
            <w:r>
              <w:rPr>
                <w:rFonts w:ascii="Times New Roman" w:hAnsi="Times New Roman" w:cs="Times New Roman"/>
                <w:sz w:val="21"/>
                <w:szCs w:val="21"/>
              </w:rPr>
              <w:t>月</w:t>
            </w:r>
          </w:p>
        </w:tc>
        <w:tc>
          <w:tcPr>
            <w:tcW w:w="651" w:type="pct"/>
            <w:shd w:val="clear" w:color="auto" w:fill="auto"/>
            <w:vAlign w:val="center"/>
          </w:tcPr>
          <w:p w14:paraId="39A25AA6"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40</w:t>
            </w:r>
            <w:r>
              <w:rPr>
                <w:rFonts w:ascii="Times New Roman" w:hAnsi="Times New Roman" w:cs="Times New Roman" w:hint="eastAsia"/>
                <w:sz w:val="21"/>
                <w:szCs w:val="21"/>
              </w:rPr>
              <w:t>个</w:t>
            </w:r>
            <w:r>
              <w:rPr>
                <w:rFonts w:ascii="Times New Roman" w:hAnsi="Times New Roman" w:cs="Times New Roman"/>
                <w:sz w:val="21"/>
                <w:szCs w:val="21"/>
              </w:rPr>
              <w:t>工作日</w:t>
            </w:r>
          </w:p>
        </w:tc>
        <w:tc>
          <w:tcPr>
            <w:tcW w:w="569" w:type="pct"/>
            <w:vAlign w:val="center"/>
          </w:tcPr>
          <w:p w14:paraId="247C61BB"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2019</w:t>
            </w:r>
            <w:r>
              <w:rPr>
                <w:rFonts w:ascii="Times New Roman" w:hAnsi="Times New Roman" w:cs="Times New Roman"/>
                <w:sz w:val="21"/>
                <w:szCs w:val="21"/>
              </w:rPr>
              <w:t>年</w:t>
            </w:r>
            <w:r>
              <w:rPr>
                <w:rFonts w:ascii="Times New Roman" w:hAnsi="Times New Roman" w:cs="Times New Roman"/>
                <w:sz w:val="21"/>
                <w:szCs w:val="21"/>
              </w:rPr>
              <w:t>1</w:t>
            </w:r>
            <w:r>
              <w:rPr>
                <w:rFonts w:ascii="Times New Roman" w:hAnsi="Times New Roman" w:cs="Times New Roman"/>
                <w:sz w:val="21"/>
                <w:szCs w:val="21"/>
              </w:rPr>
              <w:t>月</w:t>
            </w:r>
          </w:p>
        </w:tc>
        <w:tc>
          <w:tcPr>
            <w:tcW w:w="1466" w:type="pct"/>
            <w:vAlign w:val="center"/>
          </w:tcPr>
          <w:p w14:paraId="52BE0B17"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相符</w:t>
            </w:r>
          </w:p>
        </w:tc>
      </w:tr>
      <w:tr w:rsidR="00C02929" w14:paraId="686064F0" w14:textId="77777777">
        <w:trPr>
          <w:trHeight w:val="397"/>
          <w:jc w:val="center"/>
        </w:trPr>
        <w:tc>
          <w:tcPr>
            <w:tcW w:w="774" w:type="pct"/>
            <w:shd w:val="clear" w:color="auto" w:fill="auto"/>
            <w:vAlign w:val="center"/>
          </w:tcPr>
          <w:p w14:paraId="5527B423"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Q19-HE12</w:t>
            </w:r>
          </w:p>
        </w:tc>
        <w:tc>
          <w:tcPr>
            <w:tcW w:w="982" w:type="pct"/>
            <w:shd w:val="clear" w:color="auto" w:fill="auto"/>
            <w:vAlign w:val="center"/>
          </w:tcPr>
          <w:p w14:paraId="6F368B9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胶南洗衣机干衣机总装二线</w:t>
            </w:r>
          </w:p>
        </w:tc>
        <w:tc>
          <w:tcPr>
            <w:tcW w:w="558" w:type="pct"/>
            <w:shd w:val="clear" w:color="auto" w:fill="auto"/>
            <w:vAlign w:val="center"/>
          </w:tcPr>
          <w:p w14:paraId="1A96EB4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8</w:t>
            </w:r>
            <w:r>
              <w:rPr>
                <w:rFonts w:ascii="Times New Roman" w:hAnsi="Times New Roman" w:cs="Times New Roman" w:hint="eastAsia"/>
                <w:sz w:val="21"/>
                <w:szCs w:val="21"/>
              </w:rPr>
              <w:t>月</w:t>
            </w:r>
          </w:p>
        </w:tc>
        <w:tc>
          <w:tcPr>
            <w:tcW w:w="651" w:type="pct"/>
            <w:shd w:val="clear" w:color="auto" w:fill="auto"/>
            <w:vAlign w:val="center"/>
          </w:tcPr>
          <w:p w14:paraId="2ACC527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90</w:t>
            </w:r>
            <w:r>
              <w:rPr>
                <w:rFonts w:ascii="Times New Roman" w:hAnsi="Times New Roman" w:cs="Times New Roman" w:hint="eastAsia"/>
                <w:sz w:val="21"/>
                <w:szCs w:val="21"/>
              </w:rPr>
              <w:t>天</w:t>
            </w:r>
          </w:p>
        </w:tc>
        <w:tc>
          <w:tcPr>
            <w:tcW w:w="569" w:type="pct"/>
            <w:vAlign w:val="center"/>
          </w:tcPr>
          <w:p w14:paraId="7B8472F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Align w:val="center"/>
          </w:tcPr>
          <w:p w14:paraId="233CA3B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C02929" w14:paraId="1059272E" w14:textId="77777777">
        <w:trPr>
          <w:trHeight w:val="397"/>
          <w:jc w:val="center"/>
        </w:trPr>
        <w:tc>
          <w:tcPr>
            <w:tcW w:w="774" w:type="pct"/>
            <w:shd w:val="clear" w:color="auto" w:fill="auto"/>
            <w:vAlign w:val="center"/>
          </w:tcPr>
          <w:p w14:paraId="550D2866"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Q19-AKM04</w:t>
            </w:r>
          </w:p>
        </w:tc>
        <w:tc>
          <w:tcPr>
            <w:tcW w:w="982" w:type="pct"/>
            <w:shd w:val="clear" w:color="auto" w:fill="auto"/>
            <w:vAlign w:val="center"/>
          </w:tcPr>
          <w:p w14:paraId="74D3A96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澳柯玛智慧冷链包装线</w:t>
            </w:r>
          </w:p>
        </w:tc>
        <w:tc>
          <w:tcPr>
            <w:tcW w:w="558" w:type="pct"/>
            <w:shd w:val="clear" w:color="auto" w:fill="auto"/>
            <w:vAlign w:val="center"/>
          </w:tcPr>
          <w:p w14:paraId="7716677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318B860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50</w:t>
            </w:r>
            <w:r>
              <w:rPr>
                <w:rFonts w:ascii="Times New Roman" w:hAnsi="Times New Roman" w:cs="Times New Roman" w:hint="eastAsia"/>
                <w:sz w:val="21"/>
                <w:szCs w:val="21"/>
              </w:rPr>
              <w:t>天</w:t>
            </w:r>
          </w:p>
        </w:tc>
        <w:tc>
          <w:tcPr>
            <w:tcW w:w="569" w:type="pct"/>
            <w:vAlign w:val="center"/>
          </w:tcPr>
          <w:p w14:paraId="50A0F5D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Merge w:val="restart"/>
            <w:vAlign w:val="center"/>
          </w:tcPr>
          <w:p w14:paraId="4A03D6E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项目需要与客户原生产线对接，因客户订单量较大，为保证订单生产，推迟了计划的停产对接时间，项目验收时间也相应延后。</w:t>
            </w:r>
          </w:p>
        </w:tc>
      </w:tr>
      <w:tr w:rsidR="00C02929" w14:paraId="02544474" w14:textId="77777777">
        <w:trPr>
          <w:trHeight w:val="397"/>
          <w:jc w:val="center"/>
        </w:trPr>
        <w:tc>
          <w:tcPr>
            <w:tcW w:w="774" w:type="pct"/>
            <w:shd w:val="clear" w:color="auto" w:fill="auto"/>
            <w:vAlign w:val="center"/>
          </w:tcPr>
          <w:p w14:paraId="4740C476"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Q19-AKM03</w:t>
            </w:r>
          </w:p>
        </w:tc>
        <w:tc>
          <w:tcPr>
            <w:tcW w:w="982" w:type="pct"/>
            <w:shd w:val="clear" w:color="auto" w:fill="auto"/>
            <w:vAlign w:val="center"/>
          </w:tcPr>
          <w:p w14:paraId="1ABDB7E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新工厂配套缓存库</w:t>
            </w:r>
          </w:p>
        </w:tc>
        <w:tc>
          <w:tcPr>
            <w:tcW w:w="558" w:type="pct"/>
            <w:shd w:val="clear" w:color="auto" w:fill="auto"/>
            <w:vAlign w:val="center"/>
          </w:tcPr>
          <w:p w14:paraId="7B4545B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2B8FDEFC"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5</w:t>
            </w:r>
            <w:r>
              <w:rPr>
                <w:rFonts w:ascii="Times New Roman" w:hAnsi="Times New Roman" w:cs="Times New Roman" w:hint="eastAsia"/>
                <w:sz w:val="21"/>
                <w:szCs w:val="21"/>
              </w:rPr>
              <w:t>0</w:t>
            </w:r>
            <w:r>
              <w:rPr>
                <w:rFonts w:ascii="Times New Roman" w:hAnsi="Times New Roman" w:cs="Times New Roman" w:hint="eastAsia"/>
                <w:sz w:val="21"/>
                <w:szCs w:val="21"/>
              </w:rPr>
              <w:t>天</w:t>
            </w:r>
          </w:p>
        </w:tc>
        <w:tc>
          <w:tcPr>
            <w:tcW w:w="569" w:type="pct"/>
            <w:vAlign w:val="center"/>
          </w:tcPr>
          <w:p w14:paraId="496A463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Merge/>
            <w:vAlign w:val="center"/>
          </w:tcPr>
          <w:p w14:paraId="0D1539BA" w14:textId="77777777" w:rsidR="00C02929" w:rsidRDefault="00C02929">
            <w:pPr>
              <w:jc w:val="center"/>
              <w:rPr>
                <w:rFonts w:ascii="Times New Roman" w:hAnsi="Times New Roman" w:cs="Times New Roman"/>
                <w:sz w:val="21"/>
                <w:szCs w:val="21"/>
              </w:rPr>
            </w:pPr>
          </w:p>
        </w:tc>
      </w:tr>
      <w:tr w:rsidR="00C02929" w14:paraId="5F07A45D" w14:textId="77777777">
        <w:trPr>
          <w:trHeight w:val="1674"/>
          <w:jc w:val="center"/>
        </w:trPr>
        <w:tc>
          <w:tcPr>
            <w:tcW w:w="774" w:type="pct"/>
            <w:shd w:val="clear" w:color="auto" w:fill="auto"/>
            <w:vAlign w:val="center"/>
          </w:tcPr>
          <w:p w14:paraId="75D2CC3C"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Q19-HE21</w:t>
            </w:r>
          </w:p>
        </w:tc>
        <w:tc>
          <w:tcPr>
            <w:tcW w:w="982" w:type="pct"/>
            <w:shd w:val="clear" w:color="auto" w:fill="auto"/>
            <w:vAlign w:val="center"/>
          </w:tcPr>
          <w:p w14:paraId="32F21F8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悬挂链</w:t>
            </w:r>
            <w:r>
              <w:rPr>
                <w:rFonts w:ascii="Times New Roman" w:hAnsi="Times New Roman" w:cs="Times New Roman" w:hint="eastAsia"/>
                <w:sz w:val="21"/>
                <w:szCs w:val="21"/>
              </w:rPr>
              <w:t>(</w:t>
            </w:r>
            <w:r>
              <w:rPr>
                <w:rFonts w:ascii="Times New Roman" w:hAnsi="Times New Roman" w:cs="Times New Roman" w:hint="eastAsia"/>
                <w:sz w:val="21"/>
                <w:szCs w:val="21"/>
              </w:rPr>
              <w:t>中德电热</w:t>
            </w:r>
            <w:r>
              <w:rPr>
                <w:rFonts w:ascii="Times New Roman" w:hAnsi="Times New Roman" w:cs="Times New Roman" w:hint="eastAsia"/>
                <w:sz w:val="21"/>
                <w:szCs w:val="21"/>
              </w:rPr>
              <w:t>)</w:t>
            </w:r>
          </w:p>
        </w:tc>
        <w:tc>
          <w:tcPr>
            <w:tcW w:w="558" w:type="pct"/>
            <w:shd w:val="clear" w:color="auto" w:fill="auto"/>
            <w:vAlign w:val="center"/>
          </w:tcPr>
          <w:p w14:paraId="0DB1111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8</w:t>
            </w:r>
            <w:r>
              <w:rPr>
                <w:rFonts w:ascii="Times New Roman" w:hAnsi="Times New Roman" w:cs="Times New Roman" w:hint="eastAsia"/>
                <w:sz w:val="21"/>
                <w:szCs w:val="21"/>
              </w:rPr>
              <w:t>月</w:t>
            </w:r>
          </w:p>
        </w:tc>
        <w:tc>
          <w:tcPr>
            <w:tcW w:w="651" w:type="pct"/>
            <w:shd w:val="clear" w:color="auto" w:fill="auto"/>
            <w:vAlign w:val="center"/>
          </w:tcPr>
          <w:p w14:paraId="5CEA0B1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50</w:t>
            </w:r>
            <w:r>
              <w:rPr>
                <w:rFonts w:ascii="Times New Roman" w:hAnsi="Times New Roman" w:cs="Times New Roman" w:hint="eastAsia"/>
                <w:sz w:val="21"/>
                <w:szCs w:val="21"/>
              </w:rPr>
              <w:t>天</w:t>
            </w:r>
          </w:p>
        </w:tc>
        <w:tc>
          <w:tcPr>
            <w:tcW w:w="569" w:type="pct"/>
            <w:vAlign w:val="center"/>
          </w:tcPr>
          <w:p w14:paraId="19B7E90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Merge w:val="restart"/>
            <w:vAlign w:val="center"/>
          </w:tcPr>
          <w:p w14:paraId="3F73F84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项目需在其他多家供应商设备安装调试完成后进行设备对接及信号对接联调。客户工厂生产时不允许施工，各供应商只能在停产时进行施工，导致项目施工时间比原计划增加，验收时间也相应延后。</w:t>
            </w:r>
          </w:p>
        </w:tc>
      </w:tr>
      <w:tr w:rsidR="00C02929" w14:paraId="6DA670C4" w14:textId="77777777">
        <w:trPr>
          <w:trHeight w:val="397"/>
          <w:jc w:val="center"/>
        </w:trPr>
        <w:tc>
          <w:tcPr>
            <w:tcW w:w="774" w:type="pct"/>
            <w:shd w:val="clear" w:color="auto" w:fill="auto"/>
            <w:vAlign w:val="center"/>
          </w:tcPr>
          <w:p w14:paraId="433959F4"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Q19-HE22</w:t>
            </w:r>
          </w:p>
        </w:tc>
        <w:tc>
          <w:tcPr>
            <w:tcW w:w="982" w:type="pct"/>
            <w:shd w:val="clear" w:color="auto" w:fill="auto"/>
            <w:vAlign w:val="center"/>
          </w:tcPr>
          <w:p w14:paraId="0A3CBB2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机器人采购与自动化项目</w:t>
            </w:r>
            <w:r>
              <w:rPr>
                <w:rFonts w:ascii="Times New Roman" w:hAnsi="Times New Roman" w:cs="Times New Roman" w:hint="eastAsia"/>
                <w:sz w:val="21"/>
                <w:szCs w:val="21"/>
              </w:rPr>
              <w:t>(</w:t>
            </w:r>
            <w:r>
              <w:rPr>
                <w:rFonts w:ascii="Times New Roman" w:hAnsi="Times New Roman" w:cs="Times New Roman" w:hint="eastAsia"/>
                <w:sz w:val="21"/>
                <w:szCs w:val="21"/>
              </w:rPr>
              <w:t>中德电热</w:t>
            </w:r>
            <w:r>
              <w:rPr>
                <w:rFonts w:ascii="Times New Roman" w:hAnsi="Times New Roman" w:cs="Times New Roman" w:hint="eastAsia"/>
                <w:sz w:val="21"/>
                <w:szCs w:val="21"/>
              </w:rPr>
              <w:t>)</w:t>
            </w:r>
          </w:p>
        </w:tc>
        <w:tc>
          <w:tcPr>
            <w:tcW w:w="558" w:type="pct"/>
            <w:shd w:val="clear" w:color="auto" w:fill="auto"/>
            <w:vAlign w:val="center"/>
          </w:tcPr>
          <w:p w14:paraId="56E3EAD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00B5B5C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560BE53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Merge/>
            <w:vAlign w:val="center"/>
          </w:tcPr>
          <w:p w14:paraId="216653B8" w14:textId="77777777" w:rsidR="00C02929" w:rsidRDefault="00C02929">
            <w:pPr>
              <w:jc w:val="center"/>
              <w:rPr>
                <w:rFonts w:ascii="Times New Roman" w:hAnsi="Times New Roman" w:cs="Times New Roman"/>
                <w:sz w:val="21"/>
                <w:szCs w:val="21"/>
              </w:rPr>
            </w:pPr>
          </w:p>
        </w:tc>
      </w:tr>
      <w:tr w:rsidR="00C02929" w14:paraId="7C248598" w14:textId="77777777">
        <w:trPr>
          <w:trHeight w:val="397"/>
          <w:jc w:val="center"/>
        </w:trPr>
        <w:tc>
          <w:tcPr>
            <w:tcW w:w="774" w:type="pct"/>
            <w:shd w:val="clear" w:color="auto" w:fill="auto"/>
            <w:vAlign w:val="center"/>
          </w:tcPr>
          <w:p w14:paraId="2540EE84"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Q19-HE24</w:t>
            </w:r>
          </w:p>
        </w:tc>
        <w:tc>
          <w:tcPr>
            <w:tcW w:w="982" w:type="pct"/>
            <w:shd w:val="clear" w:color="auto" w:fill="auto"/>
            <w:vAlign w:val="center"/>
          </w:tcPr>
          <w:p w14:paraId="470AF33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黄岛海尔中二门壳冲压线</w:t>
            </w:r>
          </w:p>
        </w:tc>
        <w:tc>
          <w:tcPr>
            <w:tcW w:w="558" w:type="pct"/>
            <w:shd w:val="clear" w:color="auto" w:fill="auto"/>
            <w:vAlign w:val="center"/>
          </w:tcPr>
          <w:p w14:paraId="0A21D788"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11</w:t>
            </w:r>
            <w:r>
              <w:rPr>
                <w:rFonts w:ascii="Times New Roman" w:hAnsi="Times New Roman" w:cs="Times New Roman" w:hint="eastAsia"/>
                <w:sz w:val="21"/>
                <w:szCs w:val="21"/>
              </w:rPr>
              <w:t>月</w:t>
            </w:r>
          </w:p>
        </w:tc>
        <w:tc>
          <w:tcPr>
            <w:tcW w:w="651" w:type="pct"/>
            <w:shd w:val="clear" w:color="auto" w:fill="auto"/>
            <w:vAlign w:val="center"/>
          </w:tcPr>
          <w:p w14:paraId="4F563F9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55</w:t>
            </w:r>
            <w:r>
              <w:rPr>
                <w:rFonts w:ascii="Times New Roman" w:hAnsi="Times New Roman" w:cs="Times New Roman" w:hint="eastAsia"/>
                <w:sz w:val="21"/>
                <w:szCs w:val="21"/>
              </w:rPr>
              <w:t>天</w:t>
            </w:r>
          </w:p>
        </w:tc>
        <w:tc>
          <w:tcPr>
            <w:tcW w:w="569" w:type="pct"/>
            <w:vAlign w:val="center"/>
          </w:tcPr>
          <w:p w14:paraId="3AD3679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Align w:val="center"/>
          </w:tcPr>
          <w:p w14:paraId="5B3ADC5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C02929" w14:paraId="2325BABB" w14:textId="77777777">
        <w:trPr>
          <w:trHeight w:val="397"/>
          <w:jc w:val="center"/>
        </w:trPr>
        <w:tc>
          <w:tcPr>
            <w:tcW w:w="774" w:type="pct"/>
            <w:shd w:val="clear" w:color="auto" w:fill="auto"/>
            <w:vAlign w:val="center"/>
          </w:tcPr>
          <w:p w14:paraId="2025FFB2"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Q</w:t>
            </w:r>
            <w:r>
              <w:rPr>
                <w:rFonts w:ascii="Times New Roman" w:hAnsi="Times New Roman" w:cs="Times New Roman"/>
                <w:sz w:val="21"/>
                <w:szCs w:val="21"/>
              </w:rPr>
              <w:t>19-HX2A</w:t>
            </w:r>
          </w:p>
        </w:tc>
        <w:tc>
          <w:tcPr>
            <w:tcW w:w="982" w:type="pct"/>
            <w:shd w:val="clear" w:color="auto" w:fill="auto"/>
            <w:vAlign w:val="center"/>
          </w:tcPr>
          <w:p w14:paraId="6CCF23A8"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三期两器外机冲床用机器人取片机</w:t>
            </w:r>
          </w:p>
        </w:tc>
        <w:tc>
          <w:tcPr>
            <w:tcW w:w="558" w:type="pct"/>
            <w:shd w:val="clear" w:color="auto" w:fill="auto"/>
            <w:vAlign w:val="center"/>
          </w:tcPr>
          <w:p w14:paraId="6197D59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019</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sz w:val="21"/>
                <w:szCs w:val="21"/>
              </w:rPr>
              <w:t>0</w:t>
            </w:r>
            <w:r>
              <w:rPr>
                <w:rFonts w:ascii="Times New Roman" w:hAnsi="Times New Roman" w:cs="Times New Roman" w:hint="eastAsia"/>
                <w:sz w:val="21"/>
                <w:szCs w:val="21"/>
              </w:rPr>
              <w:t>月</w:t>
            </w:r>
          </w:p>
        </w:tc>
        <w:tc>
          <w:tcPr>
            <w:tcW w:w="651" w:type="pct"/>
            <w:shd w:val="clear" w:color="auto" w:fill="auto"/>
            <w:vAlign w:val="center"/>
          </w:tcPr>
          <w:p w14:paraId="18EB1CB1"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2019</w:t>
            </w:r>
            <w:r>
              <w:rPr>
                <w:rFonts w:ascii="Times New Roman" w:hAnsi="Times New Roman" w:cs="Times New Roman"/>
                <w:sz w:val="21"/>
                <w:szCs w:val="21"/>
              </w:rPr>
              <w:t>年</w:t>
            </w:r>
            <w:r>
              <w:rPr>
                <w:rFonts w:ascii="Times New Roman" w:hAnsi="Times New Roman" w:cs="Times New Roman"/>
                <w:sz w:val="21"/>
                <w:szCs w:val="21"/>
              </w:rPr>
              <w:t>11</w:t>
            </w:r>
            <w:r>
              <w:rPr>
                <w:rFonts w:ascii="Times New Roman" w:hAnsi="Times New Roman" w:cs="Times New Roman"/>
                <w:sz w:val="21"/>
                <w:szCs w:val="21"/>
              </w:rPr>
              <w:t>月</w:t>
            </w:r>
            <w:r>
              <w:rPr>
                <w:rFonts w:ascii="Times New Roman" w:hAnsi="Times New Roman" w:cs="Times New Roman"/>
                <w:sz w:val="21"/>
                <w:szCs w:val="21"/>
              </w:rPr>
              <w:t>23</w:t>
            </w:r>
            <w:r>
              <w:rPr>
                <w:rFonts w:ascii="Times New Roman" w:hAnsi="Times New Roman" w:cs="Times New Roman"/>
                <w:sz w:val="21"/>
                <w:szCs w:val="21"/>
              </w:rPr>
              <w:t>日前产品到指定地点，</w:t>
            </w:r>
            <w:r>
              <w:rPr>
                <w:rFonts w:ascii="Times New Roman" w:hAnsi="Times New Roman" w:cs="Times New Roman"/>
                <w:sz w:val="21"/>
                <w:szCs w:val="21"/>
              </w:rPr>
              <w:t>15</w:t>
            </w:r>
            <w:r>
              <w:rPr>
                <w:rFonts w:ascii="Times New Roman" w:hAnsi="Times New Roman" w:cs="Times New Roman"/>
                <w:sz w:val="21"/>
                <w:szCs w:val="21"/>
              </w:rPr>
              <w:t>日内调试完成，调试完成</w:t>
            </w:r>
            <w:r>
              <w:rPr>
                <w:rFonts w:ascii="Times New Roman" w:hAnsi="Times New Roman" w:cs="Times New Roman"/>
                <w:sz w:val="21"/>
                <w:szCs w:val="21"/>
              </w:rPr>
              <w:t>15</w:t>
            </w:r>
            <w:r>
              <w:rPr>
                <w:rFonts w:ascii="Times New Roman" w:hAnsi="Times New Roman" w:cs="Times New Roman"/>
                <w:sz w:val="21"/>
                <w:szCs w:val="21"/>
              </w:rPr>
              <w:t>日后，双方验收测试</w:t>
            </w:r>
          </w:p>
        </w:tc>
        <w:tc>
          <w:tcPr>
            <w:tcW w:w="569" w:type="pct"/>
            <w:vAlign w:val="center"/>
          </w:tcPr>
          <w:p w14:paraId="0EB8634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sz w:val="21"/>
                <w:szCs w:val="21"/>
              </w:rPr>
              <w:t>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Align w:val="center"/>
          </w:tcPr>
          <w:p w14:paraId="52C6793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C02929" w14:paraId="4C4F81E5" w14:textId="77777777">
        <w:trPr>
          <w:trHeight w:val="397"/>
          <w:jc w:val="center"/>
        </w:trPr>
        <w:tc>
          <w:tcPr>
            <w:tcW w:w="774" w:type="pct"/>
            <w:shd w:val="clear" w:color="auto" w:fill="auto"/>
            <w:vAlign w:val="center"/>
          </w:tcPr>
          <w:p w14:paraId="797959CB"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Q19-AKM05</w:t>
            </w:r>
          </w:p>
        </w:tc>
        <w:tc>
          <w:tcPr>
            <w:tcW w:w="982" w:type="pct"/>
            <w:shd w:val="clear" w:color="auto" w:fill="auto"/>
            <w:vAlign w:val="center"/>
          </w:tcPr>
          <w:p w14:paraId="3F76B3F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商超</w:t>
            </w:r>
            <w:r>
              <w:rPr>
                <w:rFonts w:ascii="Times New Roman" w:hAnsi="Times New Roman" w:cs="Times New Roman" w:hint="eastAsia"/>
                <w:sz w:val="21"/>
                <w:szCs w:val="21"/>
              </w:rPr>
              <w:t>RGV</w:t>
            </w:r>
            <w:r>
              <w:rPr>
                <w:rFonts w:ascii="Times New Roman" w:hAnsi="Times New Roman" w:cs="Times New Roman" w:hint="eastAsia"/>
                <w:sz w:val="21"/>
                <w:szCs w:val="21"/>
              </w:rPr>
              <w:t>生产线</w:t>
            </w:r>
          </w:p>
        </w:tc>
        <w:tc>
          <w:tcPr>
            <w:tcW w:w="558" w:type="pct"/>
            <w:shd w:val="clear" w:color="auto" w:fill="auto"/>
            <w:vAlign w:val="center"/>
          </w:tcPr>
          <w:p w14:paraId="47E3B27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0542A35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10</w:t>
            </w:r>
            <w:r>
              <w:rPr>
                <w:rFonts w:ascii="Times New Roman" w:hAnsi="Times New Roman" w:cs="Times New Roman" w:hint="eastAsia"/>
                <w:sz w:val="21"/>
                <w:szCs w:val="21"/>
              </w:rPr>
              <w:t>月</w:t>
            </w:r>
            <w:r>
              <w:rPr>
                <w:rFonts w:ascii="Times New Roman" w:hAnsi="Times New Roman" w:cs="Times New Roman" w:hint="eastAsia"/>
                <w:sz w:val="21"/>
                <w:szCs w:val="21"/>
              </w:rPr>
              <w:t>26</w:t>
            </w:r>
            <w:r>
              <w:rPr>
                <w:rFonts w:ascii="Times New Roman" w:hAnsi="Times New Roman" w:cs="Times New Roman" w:hint="eastAsia"/>
                <w:sz w:val="21"/>
                <w:szCs w:val="21"/>
              </w:rPr>
              <w:t>日前调试完成</w:t>
            </w:r>
          </w:p>
        </w:tc>
        <w:tc>
          <w:tcPr>
            <w:tcW w:w="569" w:type="pct"/>
            <w:vAlign w:val="center"/>
          </w:tcPr>
          <w:p w14:paraId="6880790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1466" w:type="pct"/>
            <w:vAlign w:val="center"/>
          </w:tcPr>
          <w:p w14:paraId="23B0AFA8"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RGV</w:t>
            </w:r>
            <w:r>
              <w:rPr>
                <w:rFonts w:ascii="Times New Roman" w:hAnsi="Times New Roman" w:cs="Times New Roman"/>
                <w:sz w:val="21"/>
                <w:szCs w:val="21"/>
              </w:rPr>
              <w:t>生产线需与其它供应商的生产线对接，因另一供应商生产线的安装完成时间晚于标的公司的</w:t>
            </w:r>
            <w:r>
              <w:rPr>
                <w:rFonts w:ascii="Times New Roman" w:hAnsi="Times New Roman" w:cs="Times New Roman"/>
                <w:sz w:val="21"/>
                <w:szCs w:val="21"/>
              </w:rPr>
              <w:t>RGV</w:t>
            </w:r>
            <w:r>
              <w:rPr>
                <w:rFonts w:ascii="Times New Roman" w:hAnsi="Times New Roman" w:cs="Times New Roman"/>
                <w:sz w:val="21"/>
                <w:szCs w:val="21"/>
              </w:rPr>
              <w:t>生产线安装完成时间，致使北洋天青的联调时间延后，验收时间也相应延后。</w:t>
            </w:r>
          </w:p>
        </w:tc>
      </w:tr>
      <w:tr w:rsidR="00C02929" w14:paraId="7FDB764D" w14:textId="77777777">
        <w:trPr>
          <w:trHeight w:val="397"/>
          <w:jc w:val="center"/>
        </w:trPr>
        <w:tc>
          <w:tcPr>
            <w:tcW w:w="774" w:type="pct"/>
            <w:shd w:val="clear" w:color="auto" w:fill="auto"/>
            <w:vAlign w:val="center"/>
          </w:tcPr>
          <w:p w14:paraId="2136FB12"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Q20-HE10</w:t>
            </w:r>
          </w:p>
        </w:tc>
        <w:tc>
          <w:tcPr>
            <w:tcW w:w="982" w:type="pct"/>
            <w:shd w:val="clear" w:color="auto" w:fill="auto"/>
            <w:vAlign w:val="center"/>
          </w:tcPr>
          <w:p w14:paraId="554AA2F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合肥海尔玻璃门壳智能配送设备</w:t>
            </w:r>
          </w:p>
        </w:tc>
        <w:tc>
          <w:tcPr>
            <w:tcW w:w="558" w:type="pct"/>
            <w:shd w:val="clear" w:color="auto" w:fill="auto"/>
            <w:vAlign w:val="center"/>
          </w:tcPr>
          <w:p w14:paraId="2B5A341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8</w:t>
            </w:r>
            <w:r>
              <w:rPr>
                <w:rFonts w:ascii="Times New Roman" w:hAnsi="Times New Roman" w:cs="Times New Roman" w:hint="eastAsia"/>
                <w:sz w:val="21"/>
                <w:szCs w:val="21"/>
              </w:rPr>
              <w:t>月</w:t>
            </w:r>
          </w:p>
        </w:tc>
        <w:tc>
          <w:tcPr>
            <w:tcW w:w="651" w:type="pct"/>
            <w:shd w:val="clear" w:color="auto" w:fill="auto"/>
            <w:vAlign w:val="center"/>
          </w:tcPr>
          <w:p w14:paraId="3E8C70A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2CCB8A6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月</w:t>
            </w:r>
          </w:p>
        </w:tc>
        <w:tc>
          <w:tcPr>
            <w:tcW w:w="1466" w:type="pct"/>
            <w:vAlign w:val="center"/>
          </w:tcPr>
          <w:p w14:paraId="17890D9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C02929" w14:paraId="36FB8672" w14:textId="77777777">
        <w:trPr>
          <w:trHeight w:val="397"/>
          <w:jc w:val="center"/>
        </w:trPr>
        <w:tc>
          <w:tcPr>
            <w:tcW w:w="774" w:type="pct"/>
            <w:shd w:val="clear" w:color="auto" w:fill="auto"/>
            <w:vAlign w:val="center"/>
          </w:tcPr>
          <w:p w14:paraId="2156725E"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lastRenderedPageBreak/>
              <w:t>Q19-HE30</w:t>
            </w:r>
          </w:p>
        </w:tc>
        <w:tc>
          <w:tcPr>
            <w:tcW w:w="982" w:type="pct"/>
            <w:shd w:val="clear" w:color="auto" w:fill="auto"/>
            <w:vAlign w:val="center"/>
          </w:tcPr>
          <w:p w14:paraId="0C6E468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合肥海尔玻璃门输送线</w:t>
            </w:r>
          </w:p>
        </w:tc>
        <w:tc>
          <w:tcPr>
            <w:tcW w:w="558" w:type="pct"/>
            <w:shd w:val="clear" w:color="auto" w:fill="auto"/>
            <w:vAlign w:val="center"/>
          </w:tcPr>
          <w:p w14:paraId="7D93B23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651" w:type="pct"/>
            <w:shd w:val="clear" w:color="auto" w:fill="auto"/>
            <w:vAlign w:val="center"/>
          </w:tcPr>
          <w:p w14:paraId="262871F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78A830E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月</w:t>
            </w:r>
          </w:p>
        </w:tc>
        <w:tc>
          <w:tcPr>
            <w:tcW w:w="1466" w:type="pct"/>
            <w:vAlign w:val="center"/>
          </w:tcPr>
          <w:p w14:paraId="6768B52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受到疫情影响，未能正常开工。该项目于</w:t>
            </w:r>
            <w:r>
              <w:rPr>
                <w:rFonts w:ascii="Times New Roman" w:hAnsi="Times New Roman" w:cs="Times New Roman"/>
                <w:color w:val="000000"/>
                <w:sz w:val="21"/>
                <w:szCs w:val="21"/>
              </w:rPr>
              <w:t>2020</w:t>
            </w:r>
            <w:r>
              <w:rPr>
                <w:rFonts w:ascii="Times New Roman" w:hAnsi="Times New Roman" w:cs="Times New Roman"/>
                <w:color w:val="000000"/>
                <w:sz w:val="21"/>
                <w:szCs w:val="21"/>
              </w:rPr>
              <w:t>年</w:t>
            </w:r>
            <w:r>
              <w:rPr>
                <w:rFonts w:ascii="Times New Roman" w:hAnsi="Times New Roman" w:cs="Times New Roman"/>
                <w:color w:val="000000"/>
                <w:sz w:val="21"/>
                <w:szCs w:val="21"/>
              </w:rPr>
              <w:t>9</w:t>
            </w:r>
            <w:r>
              <w:rPr>
                <w:rFonts w:ascii="Times New Roman" w:hAnsi="Times New Roman" w:cs="Times New Roman"/>
                <w:color w:val="000000"/>
                <w:sz w:val="21"/>
                <w:szCs w:val="21"/>
              </w:rPr>
              <w:t>月恢复施工，考虑疫情影响后该项目约定工期与验收时间相符。</w:t>
            </w:r>
          </w:p>
        </w:tc>
      </w:tr>
      <w:tr w:rsidR="00C02929" w14:paraId="4E104BF9" w14:textId="77777777">
        <w:trPr>
          <w:trHeight w:val="397"/>
          <w:jc w:val="center"/>
        </w:trPr>
        <w:tc>
          <w:tcPr>
            <w:tcW w:w="774" w:type="pct"/>
            <w:shd w:val="clear" w:color="auto" w:fill="auto"/>
            <w:vAlign w:val="center"/>
          </w:tcPr>
          <w:p w14:paraId="6A6189FF"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Q20-HE14</w:t>
            </w:r>
          </w:p>
        </w:tc>
        <w:tc>
          <w:tcPr>
            <w:tcW w:w="982" w:type="pct"/>
            <w:shd w:val="clear" w:color="auto" w:fill="auto"/>
            <w:vAlign w:val="center"/>
          </w:tcPr>
          <w:p w14:paraId="3AF7D98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佛山门壳压力机连线</w:t>
            </w:r>
          </w:p>
        </w:tc>
        <w:tc>
          <w:tcPr>
            <w:tcW w:w="558" w:type="pct"/>
            <w:shd w:val="clear" w:color="auto" w:fill="auto"/>
            <w:vAlign w:val="center"/>
          </w:tcPr>
          <w:p w14:paraId="5160B40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05E691C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10</w:t>
            </w:r>
            <w:r>
              <w:rPr>
                <w:rFonts w:ascii="Times New Roman" w:hAnsi="Times New Roman" w:cs="Times New Roman" w:hint="eastAsia"/>
                <w:sz w:val="21"/>
                <w:szCs w:val="21"/>
              </w:rPr>
              <w:t>月</w:t>
            </w:r>
            <w:r>
              <w:rPr>
                <w:rFonts w:ascii="Times New Roman" w:hAnsi="Times New Roman" w:cs="Times New Roman" w:hint="eastAsia"/>
                <w:sz w:val="21"/>
                <w:szCs w:val="21"/>
              </w:rPr>
              <w:t>1</w:t>
            </w:r>
            <w:r>
              <w:rPr>
                <w:rFonts w:ascii="Times New Roman" w:hAnsi="Times New Roman" w:cs="Times New Roman" w:hint="eastAsia"/>
                <w:sz w:val="21"/>
                <w:szCs w:val="21"/>
              </w:rPr>
              <w:t>日</w:t>
            </w:r>
          </w:p>
        </w:tc>
        <w:tc>
          <w:tcPr>
            <w:tcW w:w="569" w:type="pct"/>
            <w:vAlign w:val="center"/>
          </w:tcPr>
          <w:p w14:paraId="7972A1E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月</w:t>
            </w:r>
          </w:p>
        </w:tc>
        <w:tc>
          <w:tcPr>
            <w:tcW w:w="1466" w:type="pct"/>
            <w:vAlign w:val="center"/>
          </w:tcPr>
          <w:p w14:paraId="3DBB1B3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C02929" w14:paraId="0922D0D3" w14:textId="77777777">
        <w:trPr>
          <w:trHeight w:val="397"/>
          <w:jc w:val="center"/>
        </w:trPr>
        <w:tc>
          <w:tcPr>
            <w:tcW w:w="774" w:type="pct"/>
            <w:shd w:val="clear" w:color="auto" w:fill="auto"/>
            <w:vAlign w:val="center"/>
          </w:tcPr>
          <w:p w14:paraId="623F695F" w14:textId="77777777" w:rsidR="00C02929" w:rsidRDefault="006116D1">
            <w:pPr>
              <w:rPr>
                <w:rFonts w:ascii="Times New Roman" w:hAnsi="Times New Roman" w:cs="Times New Roman"/>
                <w:sz w:val="21"/>
                <w:szCs w:val="21"/>
                <w:highlight w:val="yellow"/>
              </w:rPr>
            </w:pPr>
            <w:r>
              <w:rPr>
                <w:rFonts w:ascii="Times New Roman" w:hAnsi="Times New Roman" w:cs="Times New Roman"/>
                <w:sz w:val="21"/>
                <w:szCs w:val="21"/>
              </w:rPr>
              <w:t>Q19-HE16</w:t>
            </w:r>
          </w:p>
        </w:tc>
        <w:tc>
          <w:tcPr>
            <w:tcW w:w="982" w:type="pct"/>
            <w:shd w:val="clear" w:color="auto" w:fill="auto"/>
            <w:vAlign w:val="center"/>
          </w:tcPr>
          <w:p w14:paraId="35BA3A2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洗碗机自动吹水设备</w:t>
            </w:r>
          </w:p>
        </w:tc>
        <w:tc>
          <w:tcPr>
            <w:tcW w:w="558" w:type="pct"/>
            <w:shd w:val="clear" w:color="auto" w:fill="auto"/>
            <w:vAlign w:val="center"/>
          </w:tcPr>
          <w:p w14:paraId="4455BF7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2019</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651" w:type="pct"/>
            <w:shd w:val="clear" w:color="auto" w:fill="auto"/>
            <w:vAlign w:val="center"/>
          </w:tcPr>
          <w:p w14:paraId="289DFA4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4F97B11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11</w:t>
            </w:r>
            <w:r>
              <w:rPr>
                <w:rFonts w:ascii="Times New Roman" w:hAnsi="Times New Roman" w:cs="Times New Roman" w:hint="eastAsia"/>
                <w:sz w:val="21"/>
                <w:szCs w:val="21"/>
              </w:rPr>
              <w:t>月</w:t>
            </w:r>
          </w:p>
        </w:tc>
        <w:tc>
          <w:tcPr>
            <w:tcW w:w="1466" w:type="pct"/>
            <w:vAlign w:val="center"/>
          </w:tcPr>
          <w:p w14:paraId="0972834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由于受到疫情影响，未能正常开工。该项目于</w:t>
            </w:r>
            <w:r>
              <w:rPr>
                <w:rFonts w:ascii="Times New Roman" w:hAnsi="Times New Roman" w:cs="Times New Roman"/>
                <w:sz w:val="21"/>
                <w:szCs w:val="21"/>
              </w:rPr>
              <w:t>2020</w:t>
            </w:r>
            <w:r>
              <w:rPr>
                <w:rFonts w:ascii="Times New Roman" w:hAnsi="Times New Roman" w:cs="Times New Roman"/>
                <w:sz w:val="21"/>
                <w:szCs w:val="21"/>
              </w:rPr>
              <w:t>年</w:t>
            </w:r>
            <w:r>
              <w:rPr>
                <w:rFonts w:ascii="Times New Roman" w:hAnsi="Times New Roman" w:cs="Times New Roman"/>
                <w:sz w:val="21"/>
                <w:szCs w:val="21"/>
              </w:rPr>
              <w:t>10</w:t>
            </w:r>
            <w:r>
              <w:rPr>
                <w:rFonts w:ascii="Times New Roman" w:hAnsi="Times New Roman" w:cs="Times New Roman"/>
                <w:sz w:val="21"/>
                <w:szCs w:val="21"/>
              </w:rPr>
              <w:t>月开始施工，于</w:t>
            </w:r>
            <w:r>
              <w:rPr>
                <w:rFonts w:ascii="Times New Roman" w:hAnsi="Times New Roman" w:cs="Times New Roman"/>
                <w:sz w:val="21"/>
                <w:szCs w:val="21"/>
              </w:rPr>
              <w:t>2020</w:t>
            </w:r>
            <w:r>
              <w:rPr>
                <w:rFonts w:ascii="Times New Roman" w:hAnsi="Times New Roman" w:cs="Times New Roman"/>
                <w:sz w:val="21"/>
                <w:szCs w:val="21"/>
              </w:rPr>
              <w:t>年</w:t>
            </w:r>
            <w:r>
              <w:rPr>
                <w:rFonts w:ascii="Times New Roman" w:hAnsi="Times New Roman" w:cs="Times New Roman"/>
                <w:sz w:val="21"/>
                <w:szCs w:val="21"/>
              </w:rPr>
              <w:t>11</w:t>
            </w:r>
            <w:r>
              <w:rPr>
                <w:rFonts w:ascii="Times New Roman" w:hAnsi="Times New Roman" w:cs="Times New Roman"/>
                <w:sz w:val="21"/>
                <w:szCs w:val="21"/>
              </w:rPr>
              <w:t>月完成验收，考虑疫情影响后该项目约定工期与验收时间相符</w:t>
            </w:r>
          </w:p>
        </w:tc>
      </w:tr>
      <w:tr w:rsidR="00C02929" w14:paraId="55C48D49" w14:textId="77777777">
        <w:trPr>
          <w:trHeight w:val="397"/>
          <w:jc w:val="center"/>
        </w:trPr>
        <w:tc>
          <w:tcPr>
            <w:tcW w:w="774" w:type="pct"/>
            <w:shd w:val="clear" w:color="auto" w:fill="auto"/>
            <w:vAlign w:val="center"/>
          </w:tcPr>
          <w:p w14:paraId="17B1F191"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Q20-HE13</w:t>
            </w:r>
          </w:p>
        </w:tc>
        <w:tc>
          <w:tcPr>
            <w:tcW w:w="982" w:type="pct"/>
            <w:shd w:val="clear" w:color="auto" w:fill="auto"/>
            <w:vAlign w:val="center"/>
          </w:tcPr>
          <w:p w14:paraId="208D030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沈阳冰箱机器人冲压连线</w:t>
            </w:r>
          </w:p>
        </w:tc>
        <w:tc>
          <w:tcPr>
            <w:tcW w:w="558" w:type="pct"/>
            <w:shd w:val="clear" w:color="auto" w:fill="auto"/>
            <w:vAlign w:val="center"/>
          </w:tcPr>
          <w:p w14:paraId="5CB9AB4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7</w:t>
            </w:r>
            <w:r>
              <w:rPr>
                <w:rFonts w:ascii="Times New Roman" w:hAnsi="Times New Roman" w:cs="Times New Roman" w:hint="eastAsia"/>
                <w:sz w:val="21"/>
                <w:szCs w:val="21"/>
              </w:rPr>
              <w:t>月</w:t>
            </w:r>
          </w:p>
        </w:tc>
        <w:tc>
          <w:tcPr>
            <w:tcW w:w="651" w:type="pct"/>
            <w:shd w:val="clear" w:color="auto" w:fill="auto"/>
            <w:vAlign w:val="center"/>
          </w:tcPr>
          <w:p w14:paraId="59EBF80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Align w:val="center"/>
          </w:tcPr>
          <w:p w14:paraId="4C9680A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月</w:t>
            </w:r>
          </w:p>
        </w:tc>
        <w:tc>
          <w:tcPr>
            <w:tcW w:w="1466" w:type="pct"/>
            <w:vAlign w:val="center"/>
          </w:tcPr>
          <w:p w14:paraId="44D2604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C02929" w14:paraId="40834C28" w14:textId="77777777">
        <w:trPr>
          <w:trHeight w:val="397"/>
          <w:jc w:val="center"/>
        </w:trPr>
        <w:tc>
          <w:tcPr>
            <w:tcW w:w="774" w:type="pct"/>
            <w:shd w:val="clear" w:color="auto" w:fill="auto"/>
            <w:vAlign w:val="center"/>
          </w:tcPr>
          <w:p w14:paraId="706D0F45"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Q20-HE12</w:t>
            </w:r>
          </w:p>
        </w:tc>
        <w:tc>
          <w:tcPr>
            <w:tcW w:w="982" w:type="pct"/>
            <w:shd w:val="clear" w:color="auto" w:fill="auto"/>
            <w:vAlign w:val="center"/>
          </w:tcPr>
          <w:p w14:paraId="22EFBD88"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合肥冰箱门壳压力机</w:t>
            </w:r>
          </w:p>
        </w:tc>
        <w:tc>
          <w:tcPr>
            <w:tcW w:w="558" w:type="pct"/>
            <w:shd w:val="clear" w:color="auto" w:fill="auto"/>
            <w:vAlign w:val="center"/>
          </w:tcPr>
          <w:p w14:paraId="6246E0CC" w14:textId="77777777" w:rsidR="00C02929" w:rsidRDefault="006116D1">
            <w:pPr>
              <w:wordWrap w:val="0"/>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6</w:t>
            </w:r>
            <w:r>
              <w:rPr>
                <w:rFonts w:ascii="Times New Roman" w:hAnsi="Times New Roman" w:cs="Times New Roman" w:hint="eastAsia"/>
                <w:sz w:val="21"/>
                <w:szCs w:val="21"/>
              </w:rPr>
              <w:t>月</w:t>
            </w:r>
          </w:p>
        </w:tc>
        <w:tc>
          <w:tcPr>
            <w:tcW w:w="651" w:type="pct"/>
            <w:shd w:val="clear" w:color="auto" w:fill="auto"/>
            <w:vAlign w:val="center"/>
          </w:tcPr>
          <w:p w14:paraId="542ADC8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hint="eastAsia"/>
                <w:sz w:val="21"/>
                <w:szCs w:val="21"/>
              </w:rPr>
              <w:t>个月</w:t>
            </w:r>
          </w:p>
        </w:tc>
        <w:tc>
          <w:tcPr>
            <w:tcW w:w="569" w:type="pct"/>
            <w:vAlign w:val="center"/>
          </w:tcPr>
          <w:p w14:paraId="0B5A3E5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月</w:t>
            </w:r>
          </w:p>
        </w:tc>
        <w:tc>
          <w:tcPr>
            <w:tcW w:w="1466" w:type="pct"/>
            <w:vAlign w:val="center"/>
          </w:tcPr>
          <w:p w14:paraId="20177F8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C02929" w14:paraId="266470DD" w14:textId="77777777">
        <w:trPr>
          <w:trHeight w:val="397"/>
          <w:jc w:val="center"/>
        </w:trPr>
        <w:tc>
          <w:tcPr>
            <w:tcW w:w="774" w:type="pct"/>
            <w:shd w:val="clear" w:color="auto" w:fill="auto"/>
            <w:vAlign w:val="center"/>
          </w:tcPr>
          <w:p w14:paraId="080D81A3"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Q20-HE16</w:t>
            </w:r>
          </w:p>
        </w:tc>
        <w:tc>
          <w:tcPr>
            <w:tcW w:w="982" w:type="pct"/>
            <w:shd w:val="clear" w:color="auto" w:fill="auto"/>
            <w:vAlign w:val="center"/>
          </w:tcPr>
          <w:p w14:paraId="0932FB4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中德冰箱自动上压机</w:t>
            </w:r>
          </w:p>
        </w:tc>
        <w:tc>
          <w:tcPr>
            <w:tcW w:w="558" w:type="pct"/>
            <w:shd w:val="clear" w:color="auto" w:fill="auto"/>
            <w:vAlign w:val="center"/>
          </w:tcPr>
          <w:p w14:paraId="03DF451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276B2D5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个月</w:t>
            </w:r>
          </w:p>
        </w:tc>
        <w:tc>
          <w:tcPr>
            <w:tcW w:w="569" w:type="pct"/>
            <w:vAlign w:val="center"/>
          </w:tcPr>
          <w:p w14:paraId="55B7719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月</w:t>
            </w:r>
          </w:p>
        </w:tc>
        <w:tc>
          <w:tcPr>
            <w:tcW w:w="1466" w:type="pct"/>
            <w:vAlign w:val="center"/>
          </w:tcPr>
          <w:p w14:paraId="798CB76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相符</w:t>
            </w:r>
          </w:p>
        </w:tc>
      </w:tr>
      <w:tr w:rsidR="00C02929" w14:paraId="78090473" w14:textId="77777777">
        <w:trPr>
          <w:trHeight w:val="397"/>
          <w:jc w:val="center"/>
        </w:trPr>
        <w:tc>
          <w:tcPr>
            <w:tcW w:w="774" w:type="pct"/>
            <w:shd w:val="clear" w:color="auto" w:fill="auto"/>
            <w:vAlign w:val="center"/>
          </w:tcPr>
          <w:p w14:paraId="764A99BC"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Q20-HE02</w:t>
            </w:r>
          </w:p>
        </w:tc>
        <w:tc>
          <w:tcPr>
            <w:tcW w:w="982" w:type="pct"/>
            <w:shd w:val="clear" w:color="auto" w:fill="auto"/>
            <w:vAlign w:val="center"/>
          </w:tcPr>
          <w:p w14:paraId="26F8BE2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黄岛空调外机总装线</w:t>
            </w:r>
          </w:p>
        </w:tc>
        <w:tc>
          <w:tcPr>
            <w:tcW w:w="558" w:type="pct"/>
            <w:shd w:val="clear" w:color="auto" w:fill="auto"/>
            <w:vAlign w:val="center"/>
          </w:tcPr>
          <w:p w14:paraId="2FA2C325"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w:t>
            </w:r>
            <w:r>
              <w:rPr>
                <w:rFonts w:ascii="Times New Roman" w:hAnsi="Times New Roman" w:cs="Times New Roman" w:hint="eastAsia"/>
                <w:sz w:val="21"/>
                <w:szCs w:val="21"/>
              </w:rPr>
              <w:t>月</w:t>
            </w:r>
          </w:p>
        </w:tc>
        <w:tc>
          <w:tcPr>
            <w:tcW w:w="651" w:type="pct"/>
            <w:shd w:val="clear" w:color="auto" w:fill="auto"/>
            <w:vAlign w:val="center"/>
          </w:tcPr>
          <w:p w14:paraId="12251D0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hint="eastAsia"/>
                <w:sz w:val="21"/>
                <w:szCs w:val="21"/>
              </w:rPr>
              <w:t>个月</w:t>
            </w:r>
          </w:p>
        </w:tc>
        <w:tc>
          <w:tcPr>
            <w:tcW w:w="569" w:type="pct"/>
            <w:vAlign w:val="center"/>
          </w:tcPr>
          <w:p w14:paraId="34D7BDC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color w:val="000000"/>
                <w:sz w:val="21"/>
                <w:szCs w:val="21"/>
              </w:rPr>
              <w:t>2020</w:t>
            </w:r>
            <w:r>
              <w:rPr>
                <w:rFonts w:ascii="Times New Roman" w:hAnsi="Times New Roman" w:cs="Times New Roman" w:hint="eastAsia"/>
                <w:color w:val="000000"/>
                <w:sz w:val="21"/>
                <w:szCs w:val="21"/>
              </w:rPr>
              <w:t>年</w:t>
            </w: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月</w:t>
            </w:r>
          </w:p>
        </w:tc>
        <w:tc>
          <w:tcPr>
            <w:tcW w:w="1466" w:type="pct"/>
            <w:vAlign w:val="center"/>
          </w:tcPr>
          <w:p w14:paraId="53978CF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受到疫情影响，未能正常开工。该项目于</w:t>
            </w:r>
            <w:r>
              <w:rPr>
                <w:rFonts w:ascii="Times New Roman" w:hAnsi="Times New Roman" w:cs="Times New Roman"/>
                <w:color w:val="000000"/>
                <w:sz w:val="21"/>
                <w:szCs w:val="21"/>
              </w:rPr>
              <w:t>2020</w:t>
            </w:r>
            <w:r>
              <w:rPr>
                <w:rFonts w:ascii="Times New Roman" w:hAnsi="Times New Roman" w:cs="Times New Roman"/>
                <w:color w:val="000000"/>
                <w:sz w:val="21"/>
                <w:szCs w:val="21"/>
              </w:rPr>
              <w:t>年</w:t>
            </w:r>
            <w:r>
              <w:rPr>
                <w:rFonts w:ascii="Times New Roman" w:hAnsi="Times New Roman" w:cs="Times New Roman"/>
                <w:color w:val="000000"/>
                <w:sz w:val="21"/>
                <w:szCs w:val="21"/>
              </w:rPr>
              <w:t>9</w:t>
            </w:r>
            <w:r>
              <w:rPr>
                <w:rFonts w:ascii="Times New Roman" w:hAnsi="Times New Roman" w:cs="Times New Roman"/>
                <w:color w:val="000000"/>
                <w:sz w:val="21"/>
                <w:szCs w:val="21"/>
              </w:rPr>
              <w:t>月开始施工，于</w:t>
            </w:r>
            <w:r>
              <w:rPr>
                <w:rFonts w:ascii="Times New Roman" w:hAnsi="Times New Roman" w:cs="Times New Roman"/>
                <w:color w:val="000000"/>
                <w:sz w:val="21"/>
                <w:szCs w:val="21"/>
              </w:rPr>
              <w:t>2020</w:t>
            </w:r>
            <w:r>
              <w:rPr>
                <w:rFonts w:ascii="Times New Roman" w:hAnsi="Times New Roman" w:cs="Times New Roman"/>
                <w:color w:val="000000"/>
                <w:sz w:val="21"/>
                <w:szCs w:val="21"/>
              </w:rPr>
              <w:t>年</w:t>
            </w:r>
            <w:r>
              <w:rPr>
                <w:rFonts w:ascii="Times New Roman" w:hAnsi="Times New Roman" w:cs="Times New Roman"/>
                <w:color w:val="000000"/>
                <w:sz w:val="21"/>
                <w:szCs w:val="21"/>
              </w:rPr>
              <w:t>12</w:t>
            </w:r>
            <w:r>
              <w:rPr>
                <w:rFonts w:ascii="Times New Roman" w:hAnsi="Times New Roman" w:cs="Times New Roman"/>
                <w:color w:val="000000"/>
                <w:sz w:val="21"/>
                <w:szCs w:val="21"/>
              </w:rPr>
              <w:t>月完成验收，考虑疫情影响后该项目约定工期与验收时间相符。</w:t>
            </w:r>
          </w:p>
        </w:tc>
      </w:tr>
      <w:tr w:rsidR="00C02929" w14:paraId="1F09E69F" w14:textId="77777777">
        <w:trPr>
          <w:trHeight w:val="397"/>
          <w:jc w:val="center"/>
        </w:trPr>
        <w:tc>
          <w:tcPr>
            <w:tcW w:w="774" w:type="pct"/>
            <w:shd w:val="clear" w:color="auto" w:fill="auto"/>
            <w:vAlign w:val="center"/>
          </w:tcPr>
          <w:p w14:paraId="0CFCAC9D"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5476A7D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信息化硬件</w:t>
            </w:r>
          </w:p>
        </w:tc>
        <w:tc>
          <w:tcPr>
            <w:tcW w:w="558" w:type="pct"/>
            <w:shd w:val="clear" w:color="auto" w:fill="auto"/>
            <w:vAlign w:val="center"/>
          </w:tcPr>
          <w:p w14:paraId="67112A9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189C7E2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val="restart"/>
            <w:vAlign w:val="center"/>
          </w:tcPr>
          <w:p w14:paraId="46A0BC6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12</w:t>
            </w:r>
            <w:r>
              <w:rPr>
                <w:rFonts w:ascii="Times New Roman" w:hAnsi="Times New Roman" w:cs="Times New Roman" w:hint="eastAsia"/>
                <w:sz w:val="21"/>
                <w:szCs w:val="21"/>
              </w:rPr>
              <w:t>月</w:t>
            </w:r>
          </w:p>
        </w:tc>
        <w:tc>
          <w:tcPr>
            <w:tcW w:w="1466" w:type="pct"/>
            <w:vMerge w:val="restart"/>
            <w:vAlign w:val="center"/>
          </w:tcPr>
          <w:p w14:paraId="1F69205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相符</w:t>
            </w:r>
          </w:p>
        </w:tc>
      </w:tr>
      <w:tr w:rsidR="00C02929" w14:paraId="70345BB3" w14:textId="77777777">
        <w:trPr>
          <w:trHeight w:val="397"/>
          <w:jc w:val="center"/>
        </w:trPr>
        <w:tc>
          <w:tcPr>
            <w:tcW w:w="774" w:type="pct"/>
            <w:shd w:val="clear" w:color="auto" w:fill="auto"/>
            <w:vAlign w:val="center"/>
          </w:tcPr>
          <w:p w14:paraId="59E12CC4"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2E7F2E3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SCADA</w:t>
            </w:r>
            <w:r>
              <w:rPr>
                <w:rFonts w:ascii="Times New Roman" w:hAnsi="Times New Roman" w:cs="Times New Roman" w:hint="eastAsia"/>
                <w:sz w:val="21"/>
                <w:szCs w:val="21"/>
              </w:rPr>
              <w:t>系统</w:t>
            </w:r>
          </w:p>
        </w:tc>
        <w:tc>
          <w:tcPr>
            <w:tcW w:w="558" w:type="pct"/>
            <w:shd w:val="clear" w:color="auto" w:fill="auto"/>
            <w:vAlign w:val="center"/>
          </w:tcPr>
          <w:p w14:paraId="601D246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590BAD7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300A5A5D" w14:textId="77777777" w:rsidR="00C02929" w:rsidRDefault="00C02929">
            <w:pPr>
              <w:jc w:val="right"/>
              <w:rPr>
                <w:rFonts w:ascii="Times New Roman" w:hAnsi="Times New Roman" w:cs="Times New Roman"/>
                <w:sz w:val="21"/>
                <w:szCs w:val="21"/>
              </w:rPr>
            </w:pPr>
          </w:p>
        </w:tc>
        <w:tc>
          <w:tcPr>
            <w:tcW w:w="1466" w:type="pct"/>
            <w:vMerge/>
          </w:tcPr>
          <w:p w14:paraId="18397B1A" w14:textId="77777777" w:rsidR="00C02929" w:rsidRDefault="00C02929">
            <w:pPr>
              <w:jc w:val="right"/>
              <w:rPr>
                <w:rFonts w:ascii="Times New Roman" w:hAnsi="Times New Roman" w:cs="Times New Roman"/>
                <w:sz w:val="21"/>
                <w:szCs w:val="21"/>
              </w:rPr>
            </w:pPr>
          </w:p>
        </w:tc>
      </w:tr>
      <w:tr w:rsidR="00C02929" w14:paraId="6B62C146" w14:textId="77777777">
        <w:trPr>
          <w:trHeight w:val="397"/>
          <w:jc w:val="center"/>
        </w:trPr>
        <w:tc>
          <w:tcPr>
            <w:tcW w:w="774" w:type="pct"/>
            <w:shd w:val="clear" w:color="auto" w:fill="auto"/>
            <w:vAlign w:val="center"/>
          </w:tcPr>
          <w:p w14:paraId="23AED844"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05AB747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MES</w:t>
            </w:r>
            <w:r>
              <w:rPr>
                <w:rFonts w:ascii="Times New Roman" w:hAnsi="Times New Roman" w:cs="Times New Roman" w:hint="eastAsia"/>
                <w:sz w:val="21"/>
                <w:szCs w:val="21"/>
              </w:rPr>
              <w:t>系统</w:t>
            </w:r>
          </w:p>
        </w:tc>
        <w:tc>
          <w:tcPr>
            <w:tcW w:w="558" w:type="pct"/>
            <w:shd w:val="clear" w:color="auto" w:fill="auto"/>
            <w:vAlign w:val="center"/>
          </w:tcPr>
          <w:p w14:paraId="1D9F787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09DDE79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21097A32" w14:textId="77777777" w:rsidR="00C02929" w:rsidRDefault="00C02929">
            <w:pPr>
              <w:jc w:val="right"/>
              <w:rPr>
                <w:rFonts w:ascii="Times New Roman" w:hAnsi="Times New Roman" w:cs="Times New Roman"/>
                <w:sz w:val="21"/>
                <w:szCs w:val="21"/>
              </w:rPr>
            </w:pPr>
          </w:p>
        </w:tc>
        <w:tc>
          <w:tcPr>
            <w:tcW w:w="1466" w:type="pct"/>
            <w:vMerge/>
          </w:tcPr>
          <w:p w14:paraId="03A1A5D0" w14:textId="77777777" w:rsidR="00C02929" w:rsidRDefault="00C02929">
            <w:pPr>
              <w:jc w:val="right"/>
              <w:rPr>
                <w:rFonts w:ascii="Times New Roman" w:hAnsi="Times New Roman" w:cs="Times New Roman"/>
                <w:sz w:val="21"/>
                <w:szCs w:val="21"/>
              </w:rPr>
            </w:pPr>
          </w:p>
        </w:tc>
      </w:tr>
      <w:tr w:rsidR="00C02929" w14:paraId="4B948548" w14:textId="77777777">
        <w:trPr>
          <w:trHeight w:val="397"/>
          <w:jc w:val="center"/>
        </w:trPr>
        <w:tc>
          <w:tcPr>
            <w:tcW w:w="774" w:type="pct"/>
            <w:shd w:val="clear" w:color="auto" w:fill="auto"/>
            <w:vAlign w:val="center"/>
          </w:tcPr>
          <w:p w14:paraId="469D9AC8"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2747CA5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PLM</w:t>
            </w:r>
            <w:r>
              <w:rPr>
                <w:rFonts w:ascii="Times New Roman" w:hAnsi="Times New Roman" w:cs="Times New Roman" w:hint="eastAsia"/>
                <w:sz w:val="21"/>
                <w:szCs w:val="21"/>
              </w:rPr>
              <w:t>及仿真系统</w:t>
            </w:r>
          </w:p>
        </w:tc>
        <w:tc>
          <w:tcPr>
            <w:tcW w:w="558" w:type="pct"/>
            <w:shd w:val="clear" w:color="auto" w:fill="auto"/>
            <w:vAlign w:val="center"/>
          </w:tcPr>
          <w:p w14:paraId="082A43B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5874DB0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1604B9E6" w14:textId="77777777" w:rsidR="00C02929" w:rsidRDefault="00C02929">
            <w:pPr>
              <w:jc w:val="right"/>
              <w:rPr>
                <w:rFonts w:ascii="Times New Roman" w:hAnsi="Times New Roman" w:cs="Times New Roman"/>
                <w:sz w:val="21"/>
                <w:szCs w:val="21"/>
              </w:rPr>
            </w:pPr>
          </w:p>
        </w:tc>
        <w:tc>
          <w:tcPr>
            <w:tcW w:w="1466" w:type="pct"/>
            <w:vMerge/>
          </w:tcPr>
          <w:p w14:paraId="4E5C722A" w14:textId="77777777" w:rsidR="00C02929" w:rsidRDefault="00C02929">
            <w:pPr>
              <w:jc w:val="right"/>
              <w:rPr>
                <w:rFonts w:ascii="Times New Roman" w:hAnsi="Times New Roman" w:cs="Times New Roman"/>
                <w:sz w:val="21"/>
                <w:szCs w:val="21"/>
              </w:rPr>
            </w:pPr>
          </w:p>
        </w:tc>
      </w:tr>
      <w:tr w:rsidR="00C02929" w14:paraId="09C6047B" w14:textId="77777777">
        <w:trPr>
          <w:trHeight w:val="397"/>
          <w:jc w:val="center"/>
        </w:trPr>
        <w:tc>
          <w:tcPr>
            <w:tcW w:w="774" w:type="pct"/>
            <w:shd w:val="clear" w:color="auto" w:fill="auto"/>
            <w:vAlign w:val="center"/>
          </w:tcPr>
          <w:p w14:paraId="1BC9F4B3"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Q20-AKM04</w:t>
            </w:r>
          </w:p>
        </w:tc>
        <w:tc>
          <w:tcPr>
            <w:tcW w:w="982" w:type="pct"/>
            <w:shd w:val="clear" w:color="auto" w:fill="auto"/>
            <w:vAlign w:val="center"/>
          </w:tcPr>
          <w:p w14:paraId="2DBD2CD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工业互联网平台</w:t>
            </w:r>
          </w:p>
        </w:tc>
        <w:tc>
          <w:tcPr>
            <w:tcW w:w="558" w:type="pct"/>
            <w:shd w:val="clear" w:color="auto" w:fill="auto"/>
            <w:vAlign w:val="center"/>
          </w:tcPr>
          <w:p w14:paraId="4D6D848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2020</w:t>
            </w:r>
            <w:r>
              <w:rPr>
                <w:rFonts w:ascii="Times New Roman" w:hAnsi="Times New Roman" w:cs="Times New Roman" w:hint="eastAsia"/>
                <w:sz w:val="21"/>
                <w:szCs w:val="21"/>
              </w:rPr>
              <w:t>年</w:t>
            </w:r>
            <w:r>
              <w:rPr>
                <w:rFonts w:ascii="Times New Roman" w:hAnsi="Times New Roman" w:cs="Times New Roman" w:hint="eastAsia"/>
                <w:sz w:val="21"/>
                <w:szCs w:val="21"/>
              </w:rPr>
              <w:t>9</w:t>
            </w:r>
            <w:r>
              <w:rPr>
                <w:rFonts w:ascii="Times New Roman" w:hAnsi="Times New Roman" w:cs="Times New Roman" w:hint="eastAsia"/>
                <w:sz w:val="21"/>
                <w:szCs w:val="21"/>
              </w:rPr>
              <w:t>月</w:t>
            </w:r>
          </w:p>
        </w:tc>
        <w:tc>
          <w:tcPr>
            <w:tcW w:w="651" w:type="pct"/>
            <w:shd w:val="clear" w:color="auto" w:fill="auto"/>
            <w:vAlign w:val="center"/>
          </w:tcPr>
          <w:p w14:paraId="7D81FBC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个月</w:t>
            </w:r>
          </w:p>
        </w:tc>
        <w:tc>
          <w:tcPr>
            <w:tcW w:w="569" w:type="pct"/>
            <w:vMerge/>
          </w:tcPr>
          <w:p w14:paraId="7EA48E67" w14:textId="77777777" w:rsidR="00C02929" w:rsidRDefault="00C02929">
            <w:pPr>
              <w:jc w:val="right"/>
              <w:rPr>
                <w:rFonts w:ascii="Times New Roman" w:hAnsi="Times New Roman" w:cs="Times New Roman"/>
                <w:sz w:val="21"/>
                <w:szCs w:val="21"/>
              </w:rPr>
            </w:pPr>
          </w:p>
        </w:tc>
        <w:tc>
          <w:tcPr>
            <w:tcW w:w="1466" w:type="pct"/>
            <w:vMerge/>
          </w:tcPr>
          <w:p w14:paraId="09F7FD88" w14:textId="77777777" w:rsidR="00C02929" w:rsidRDefault="00C02929">
            <w:pPr>
              <w:jc w:val="right"/>
              <w:rPr>
                <w:rFonts w:ascii="Times New Roman" w:hAnsi="Times New Roman" w:cs="Times New Roman"/>
                <w:sz w:val="21"/>
                <w:szCs w:val="21"/>
              </w:rPr>
            </w:pPr>
          </w:p>
        </w:tc>
      </w:tr>
    </w:tbl>
    <w:p w14:paraId="0CA68D65"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综上所述，北洋天青项目验收基本按照合同约定进行，且收入确认的账务处理时间为取得验收单的当月，不存在收入跨期的情形。</w:t>
      </w:r>
    </w:p>
    <w:p w14:paraId="6C8B23B2"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三、补充披露情况</w:t>
      </w:r>
    </w:p>
    <w:p w14:paraId="30E552DC"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管理层讨论与分析”之“三、标的公司报告期财务状况和经营成果的讨论分析”之“（二）盈利能力分析”进行了补充披露。</w:t>
      </w:r>
    </w:p>
    <w:p w14:paraId="68A88AAD" w14:textId="506608E9"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w:t>
      </w:r>
      <w:r w:rsidR="00AA3DAA" w:rsidRP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24DCF70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经核查，独立财务顾问认为：北洋天青以终验法作为收入确认的政策，以客户出具的验收单为收入确认的依据，根据验收单的时点作为收入确认的时点，符合企业会计准则的规定，不存在收入跨期的情形。</w:t>
      </w:r>
    </w:p>
    <w:p w14:paraId="4BFC80E8" w14:textId="77777777" w:rsidR="00C02929" w:rsidRDefault="00C02929">
      <w:pPr>
        <w:pStyle w:val="afffff"/>
        <w:sectPr w:rsidR="00C02929">
          <w:pgSz w:w="11906" w:h="16838"/>
          <w:pgMar w:top="1440" w:right="1800" w:bottom="1440" w:left="1800" w:header="851" w:footer="992" w:gutter="0"/>
          <w:cols w:space="720"/>
          <w:docGrid w:type="lines" w:linePitch="312"/>
        </w:sectPr>
      </w:pPr>
      <w:bookmarkStart w:id="55" w:name="_Toc69256857"/>
      <w:bookmarkStart w:id="56" w:name="_Toc69256875"/>
      <w:bookmarkEnd w:id="53"/>
      <w:bookmarkEnd w:id="54"/>
    </w:p>
    <w:p w14:paraId="30EA302E" w14:textId="77777777" w:rsidR="00C02929" w:rsidRDefault="006116D1">
      <w:pPr>
        <w:pStyle w:val="afffff"/>
      </w:pPr>
      <w:r>
        <w:rPr>
          <w:rFonts w:hint="eastAsia"/>
        </w:rPr>
        <w:lastRenderedPageBreak/>
        <w:t>第九题</w:t>
      </w:r>
    </w:p>
    <w:p w14:paraId="23471DC5"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申请文件显示，报告期内各期，标的资产毛利率分别为</w:t>
      </w:r>
      <w:r>
        <w:rPr>
          <w:rFonts w:ascii="Times New Roman" w:eastAsia="黑体" w:hAnsi="Times New Roman" w:cs="Times New Roman" w:hint="eastAsia"/>
          <w:b/>
          <w:color w:val="000000"/>
          <w:szCs w:val="21"/>
        </w:rPr>
        <w:t>32.63%</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33.06%</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26.69%</w:t>
      </w:r>
      <w:r>
        <w:rPr>
          <w:rFonts w:ascii="Times New Roman" w:eastAsia="黑体" w:hAnsi="Times New Roman" w:cs="Times New Roman" w:hint="eastAsia"/>
          <w:b/>
          <w:color w:val="000000"/>
          <w:szCs w:val="21"/>
        </w:rPr>
        <w:t>。其中，定制化集成业务的毛利率分别为</w:t>
      </w:r>
      <w:r>
        <w:rPr>
          <w:rFonts w:ascii="Times New Roman" w:eastAsia="黑体" w:hAnsi="Times New Roman" w:cs="Times New Roman" w:hint="eastAsia"/>
          <w:b/>
          <w:color w:val="000000"/>
          <w:szCs w:val="21"/>
        </w:rPr>
        <w:t>50.90%</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34.22%</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28.34%</w:t>
      </w:r>
      <w:r>
        <w:rPr>
          <w:rFonts w:ascii="Times New Roman" w:eastAsia="黑体" w:hAnsi="Times New Roman" w:cs="Times New Roman" w:hint="eastAsia"/>
          <w:b/>
          <w:color w:val="000000"/>
          <w:szCs w:val="21"/>
        </w:rPr>
        <w:t>，机器人及配套业务的毛利率分别为</w:t>
      </w:r>
      <w:r>
        <w:rPr>
          <w:rFonts w:ascii="Times New Roman" w:eastAsia="黑体" w:hAnsi="Times New Roman" w:cs="Times New Roman" w:hint="eastAsia"/>
          <w:b/>
          <w:color w:val="000000"/>
          <w:szCs w:val="21"/>
        </w:rPr>
        <w:t>29.51%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27.50%</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25.78%</w:t>
      </w:r>
      <w:r>
        <w:rPr>
          <w:rFonts w:ascii="Times New Roman" w:eastAsia="黑体" w:hAnsi="Times New Roman" w:cs="Times New Roman" w:hint="eastAsia"/>
          <w:b/>
          <w:color w:val="000000"/>
          <w:szCs w:val="21"/>
        </w:rPr>
        <w:t>。请你公司补充披露：</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）北洋天青定制化集成业务、机器人及配套业务毛利率持续下降的原因，是否表明行业竞争逐步加剧。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）成本结转的准确性，是否与营业收入确认相匹配。请独立财务顾问和会计师核查并发表明确意见。</w:t>
      </w:r>
    </w:p>
    <w:p w14:paraId="7A4DC5DC" w14:textId="77777777" w:rsidR="00C02929" w:rsidRDefault="006116D1">
      <w:pPr>
        <w:pStyle w:val="affffd"/>
        <w:spacing w:before="156"/>
        <w:ind w:firstLine="482"/>
        <w:rPr>
          <w:b/>
        </w:rPr>
      </w:pPr>
      <w:r>
        <w:rPr>
          <w:rFonts w:hint="eastAsia"/>
          <w:b/>
        </w:rPr>
        <w:t>【回复说明】</w:t>
      </w:r>
    </w:p>
    <w:p w14:paraId="14AC8B13"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）北洋天青定制化集成业务、机器人及配套业务毛利率持续下降的原因，是否表明行业竞争逐步加剧。</w:t>
      </w:r>
    </w:p>
    <w:p w14:paraId="3A601F03"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一、定制化集成业务毛利率持续下降的原因</w:t>
      </w:r>
    </w:p>
    <w:p w14:paraId="14927808"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bookmarkStart w:id="57" w:name="_Hlk68964342"/>
      <w:r>
        <w:rPr>
          <w:rFonts w:ascii="Times New Roman" w:hAnsi="Times New Roman" w:cs="Times New Roman" w:hint="eastAsia"/>
          <w:color w:val="000000"/>
          <w:lang w:val="en-GB"/>
        </w:rPr>
        <w:t>报告期内，标的公司定制化集成业务的毛利及毛利率情况如下：</w:t>
      </w:r>
    </w:p>
    <w:p w14:paraId="52137863"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5"/>
        <w:gridCol w:w="1069"/>
        <w:gridCol w:w="1070"/>
        <w:gridCol w:w="1069"/>
        <w:gridCol w:w="1070"/>
        <w:gridCol w:w="1069"/>
        <w:gridCol w:w="1070"/>
      </w:tblGrid>
      <w:tr w:rsidR="00C02929" w14:paraId="52DF0537" w14:textId="77777777">
        <w:trPr>
          <w:trHeight w:val="397"/>
          <w:tblHeader/>
          <w:jc w:val="center"/>
        </w:trPr>
        <w:tc>
          <w:tcPr>
            <w:tcW w:w="1235" w:type="pct"/>
            <w:vMerge w:val="restart"/>
            <w:tcBorders>
              <w:top w:val="single" w:sz="12" w:space="0" w:color="auto"/>
              <w:left w:val="nil"/>
              <w:bottom w:val="single" w:sz="4" w:space="0" w:color="auto"/>
              <w:right w:val="single" w:sz="4" w:space="0" w:color="auto"/>
            </w:tcBorders>
            <w:vAlign w:val="center"/>
          </w:tcPr>
          <w:p w14:paraId="4FFE519E"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定制化集成业务</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6A8E0A90"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年度</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6638334A"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255" w:type="pct"/>
            <w:gridSpan w:val="2"/>
            <w:tcBorders>
              <w:top w:val="single" w:sz="12" w:space="0" w:color="auto"/>
              <w:left w:val="single" w:sz="4" w:space="0" w:color="auto"/>
              <w:bottom w:val="single" w:sz="4" w:space="0" w:color="auto"/>
              <w:right w:val="nil"/>
            </w:tcBorders>
            <w:vAlign w:val="center"/>
          </w:tcPr>
          <w:p w14:paraId="15149D30"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C02929" w14:paraId="4A30FFCA" w14:textId="77777777">
        <w:trPr>
          <w:trHeight w:val="397"/>
          <w:tblHeader/>
          <w:jc w:val="center"/>
        </w:trPr>
        <w:tc>
          <w:tcPr>
            <w:tcW w:w="0" w:type="auto"/>
            <w:vMerge/>
            <w:tcBorders>
              <w:top w:val="single" w:sz="12" w:space="0" w:color="auto"/>
              <w:left w:val="nil"/>
              <w:bottom w:val="single" w:sz="4" w:space="0" w:color="auto"/>
              <w:right w:val="single" w:sz="4" w:space="0" w:color="auto"/>
            </w:tcBorders>
            <w:vAlign w:val="center"/>
          </w:tcPr>
          <w:p w14:paraId="50D7F375" w14:textId="77777777" w:rsidR="00C02929" w:rsidRDefault="00C02929">
            <w:pPr>
              <w:rPr>
                <w:rFonts w:ascii="Times New Roman" w:hAnsi="Times New Roman" w:cs="Times New Roman"/>
                <w:b/>
                <w:bCs/>
                <w:color w:val="000000"/>
                <w:sz w:val="21"/>
                <w:szCs w:val="21"/>
              </w:rPr>
            </w:pPr>
          </w:p>
        </w:tc>
        <w:tc>
          <w:tcPr>
            <w:tcW w:w="627" w:type="pct"/>
            <w:tcBorders>
              <w:top w:val="single" w:sz="4" w:space="0" w:color="auto"/>
              <w:left w:val="single" w:sz="4" w:space="0" w:color="auto"/>
              <w:bottom w:val="single" w:sz="4" w:space="0" w:color="auto"/>
              <w:right w:val="single" w:sz="4" w:space="0" w:color="auto"/>
            </w:tcBorders>
            <w:noWrap/>
            <w:vAlign w:val="center"/>
          </w:tcPr>
          <w:p w14:paraId="07A3BF9A"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2FFA203B"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29B3547F"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5FBD568A"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7DADD421"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nil"/>
            </w:tcBorders>
            <w:noWrap/>
            <w:vAlign w:val="center"/>
          </w:tcPr>
          <w:p w14:paraId="10AFFAB1"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C02929" w14:paraId="6FF274EC"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54D1B7A8"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测试系统集成</w:t>
            </w:r>
          </w:p>
        </w:tc>
        <w:tc>
          <w:tcPr>
            <w:tcW w:w="627" w:type="pct"/>
            <w:tcBorders>
              <w:top w:val="single" w:sz="4" w:space="0" w:color="auto"/>
              <w:left w:val="single" w:sz="4" w:space="0" w:color="auto"/>
              <w:bottom w:val="single" w:sz="4" w:space="0" w:color="auto"/>
              <w:right w:val="single" w:sz="4" w:space="0" w:color="auto"/>
            </w:tcBorders>
            <w:vAlign w:val="center"/>
          </w:tcPr>
          <w:p w14:paraId="0C7F889E"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13A8CE0C"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4DF5621F"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59C22F34"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0999C5F8"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36.49</w:t>
            </w:r>
          </w:p>
        </w:tc>
        <w:tc>
          <w:tcPr>
            <w:tcW w:w="628" w:type="pct"/>
            <w:tcBorders>
              <w:top w:val="single" w:sz="4" w:space="0" w:color="auto"/>
              <w:left w:val="single" w:sz="4" w:space="0" w:color="auto"/>
              <w:bottom w:val="single" w:sz="4" w:space="0" w:color="auto"/>
              <w:right w:val="nil"/>
            </w:tcBorders>
            <w:noWrap/>
            <w:vAlign w:val="center"/>
          </w:tcPr>
          <w:p w14:paraId="6B4C7A08"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79.06%</w:t>
            </w:r>
          </w:p>
        </w:tc>
      </w:tr>
      <w:tr w:rsidR="00C02929" w14:paraId="585EA3C7"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437C70DA"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企业信息化</w:t>
            </w:r>
          </w:p>
        </w:tc>
        <w:tc>
          <w:tcPr>
            <w:tcW w:w="627" w:type="pct"/>
            <w:tcBorders>
              <w:top w:val="single" w:sz="4" w:space="0" w:color="auto"/>
              <w:left w:val="single" w:sz="4" w:space="0" w:color="auto"/>
              <w:bottom w:val="single" w:sz="4" w:space="0" w:color="auto"/>
              <w:right w:val="single" w:sz="4" w:space="0" w:color="auto"/>
            </w:tcBorders>
            <w:vAlign w:val="center"/>
          </w:tcPr>
          <w:p w14:paraId="1802436C"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2,722.79</w:t>
            </w:r>
          </w:p>
        </w:tc>
        <w:tc>
          <w:tcPr>
            <w:tcW w:w="628" w:type="pct"/>
            <w:tcBorders>
              <w:top w:val="single" w:sz="4" w:space="0" w:color="auto"/>
              <w:left w:val="single" w:sz="4" w:space="0" w:color="auto"/>
              <w:bottom w:val="single" w:sz="4" w:space="0" w:color="auto"/>
              <w:right w:val="single" w:sz="4" w:space="0" w:color="auto"/>
            </w:tcBorders>
            <w:vAlign w:val="center"/>
          </w:tcPr>
          <w:p w14:paraId="29E1531D" w14:textId="77777777" w:rsidR="00C02929" w:rsidRDefault="006116D1">
            <w:pPr>
              <w:snapToGrid w:val="0"/>
              <w:jc w:val="right"/>
              <w:rPr>
                <w:rFonts w:ascii="Times New Roman" w:eastAsia="等线" w:hAnsi="Times New Roman" w:cs="Times New Roman"/>
                <w:color w:val="000000"/>
                <w:sz w:val="21"/>
                <w:szCs w:val="21"/>
              </w:rPr>
            </w:pPr>
            <w:r>
              <w:rPr>
                <w:rFonts w:ascii="Times New Roman" w:hAnsi="Times New Roman" w:cs="Times New Roman"/>
                <w:color w:val="000000"/>
                <w:sz w:val="21"/>
                <w:szCs w:val="21"/>
              </w:rPr>
              <w:t>68.19%</w:t>
            </w:r>
          </w:p>
        </w:tc>
        <w:tc>
          <w:tcPr>
            <w:tcW w:w="627" w:type="pct"/>
            <w:tcBorders>
              <w:top w:val="single" w:sz="4" w:space="0" w:color="auto"/>
              <w:left w:val="single" w:sz="4" w:space="0" w:color="auto"/>
              <w:bottom w:val="single" w:sz="4" w:space="0" w:color="auto"/>
              <w:right w:val="single" w:sz="4" w:space="0" w:color="auto"/>
            </w:tcBorders>
            <w:vAlign w:val="center"/>
          </w:tcPr>
          <w:p w14:paraId="443E40F3"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29.47</w:t>
            </w:r>
          </w:p>
        </w:tc>
        <w:tc>
          <w:tcPr>
            <w:tcW w:w="628" w:type="pct"/>
            <w:tcBorders>
              <w:top w:val="single" w:sz="4" w:space="0" w:color="auto"/>
              <w:left w:val="single" w:sz="4" w:space="0" w:color="auto"/>
              <w:bottom w:val="single" w:sz="4" w:space="0" w:color="auto"/>
              <w:right w:val="single" w:sz="4" w:space="0" w:color="auto"/>
            </w:tcBorders>
            <w:vAlign w:val="center"/>
          </w:tcPr>
          <w:p w14:paraId="234E73B6"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87.70%</w:t>
            </w:r>
          </w:p>
        </w:tc>
        <w:tc>
          <w:tcPr>
            <w:tcW w:w="627" w:type="pct"/>
            <w:tcBorders>
              <w:top w:val="single" w:sz="4" w:space="0" w:color="auto"/>
              <w:left w:val="single" w:sz="4" w:space="0" w:color="auto"/>
              <w:bottom w:val="single" w:sz="4" w:space="0" w:color="auto"/>
              <w:right w:val="single" w:sz="4" w:space="0" w:color="auto"/>
            </w:tcBorders>
            <w:vAlign w:val="center"/>
          </w:tcPr>
          <w:p w14:paraId="13B9C0E5"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165.12</w:t>
            </w:r>
          </w:p>
        </w:tc>
        <w:tc>
          <w:tcPr>
            <w:tcW w:w="628" w:type="pct"/>
            <w:tcBorders>
              <w:top w:val="single" w:sz="4" w:space="0" w:color="auto"/>
              <w:left w:val="single" w:sz="4" w:space="0" w:color="auto"/>
              <w:bottom w:val="single" w:sz="4" w:space="0" w:color="auto"/>
              <w:right w:val="nil"/>
            </w:tcBorders>
            <w:noWrap/>
            <w:vAlign w:val="center"/>
          </w:tcPr>
          <w:p w14:paraId="5829D85F"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93.89%</w:t>
            </w:r>
          </w:p>
        </w:tc>
      </w:tr>
      <w:tr w:rsidR="00C02929" w14:paraId="64B0F534"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41BDFF61"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物流悬挂输送系统</w:t>
            </w:r>
          </w:p>
        </w:tc>
        <w:tc>
          <w:tcPr>
            <w:tcW w:w="627" w:type="pct"/>
            <w:tcBorders>
              <w:top w:val="single" w:sz="4" w:space="0" w:color="auto"/>
              <w:left w:val="single" w:sz="4" w:space="0" w:color="auto"/>
              <w:bottom w:val="single" w:sz="4" w:space="0" w:color="auto"/>
              <w:right w:val="single" w:sz="4" w:space="0" w:color="auto"/>
            </w:tcBorders>
            <w:vAlign w:val="center"/>
          </w:tcPr>
          <w:p w14:paraId="30FB1045"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646.13</w:t>
            </w:r>
          </w:p>
        </w:tc>
        <w:tc>
          <w:tcPr>
            <w:tcW w:w="628" w:type="pct"/>
            <w:tcBorders>
              <w:top w:val="single" w:sz="4" w:space="0" w:color="auto"/>
              <w:left w:val="single" w:sz="4" w:space="0" w:color="auto"/>
              <w:bottom w:val="single" w:sz="4" w:space="0" w:color="auto"/>
              <w:right w:val="single" w:sz="4" w:space="0" w:color="auto"/>
            </w:tcBorders>
            <w:vAlign w:val="center"/>
          </w:tcPr>
          <w:p w14:paraId="2AABED5A"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32.67%</w:t>
            </w:r>
          </w:p>
        </w:tc>
        <w:tc>
          <w:tcPr>
            <w:tcW w:w="627" w:type="pct"/>
            <w:tcBorders>
              <w:top w:val="single" w:sz="4" w:space="0" w:color="auto"/>
              <w:left w:val="single" w:sz="4" w:space="0" w:color="auto"/>
              <w:bottom w:val="single" w:sz="4" w:space="0" w:color="auto"/>
              <w:right w:val="single" w:sz="4" w:space="0" w:color="auto"/>
            </w:tcBorders>
            <w:vAlign w:val="center"/>
          </w:tcPr>
          <w:p w14:paraId="20BD57B6"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357.93</w:t>
            </w:r>
          </w:p>
        </w:tc>
        <w:tc>
          <w:tcPr>
            <w:tcW w:w="628" w:type="pct"/>
            <w:tcBorders>
              <w:top w:val="single" w:sz="4" w:space="0" w:color="auto"/>
              <w:left w:val="single" w:sz="4" w:space="0" w:color="auto"/>
              <w:bottom w:val="single" w:sz="4" w:space="0" w:color="auto"/>
              <w:right w:val="single" w:sz="4" w:space="0" w:color="auto"/>
            </w:tcBorders>
            <w:vAlign w:val="center"/>
          </w:tcPr>
          <w:p w14:paraId="1ADA9592"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32.95%</w:t>
            </w:r>
          </w:p>
        </w:tc>
        <w:tc>
          <w:tcPr>
            <w:tcW w:w="627" w:type="pct"/>
            <w:tcBorders>
              <w:top w:val="single" w:sz="4" w:space="0" w:color="auto"/>
              <w:left w:val="single" w:sz="4" w:space="0" w:color="auto"/>
              <w:bottom w:val="single" w:sz="4" w:space="0" w:color="auto"/>
              <w:right w:val="single" w:sz="4" w:space="0" w:color="auto"/>
            </w:tcBorders>
            <w:vAlign w:val="center"/>
          </w:tcPr>
          <w:p w14:paraId="4EA8BB35"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nil"/>
            </w:tcBorders>
            <w:noWrap/>
            <w:vAlign w:val="center"/>
          </w:tcPr>
          <w:p w14:paraId="3A22D0CC"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C02929" w14:paraId="4708A384" w14:textId="77777777">
        <w:trPr>
          <w:trHeight w:val="397"/>
          <w:jc w:val="center"/>
        </w:trPr>
        <w:tc>
          <w:tcPr>
            <w:tcW w:w="1235" w:type="pct"/>
            <w:tcBorders>
              <w:top w:val="single" w:sz="4" w:space="0" w:color="auto"/>
              <w:left w:val="nil"/>
              <w:bottom w:val="single" w:sz="4" w:space="0" w:color="auto"/>
              <w:right w:val="single" w:sz="4" w:space="0" w:color="auto"/>
            </w:tcBorders>
            <w:vAlign w:val="center"/>
          </w:tcPr>
          <w:p w14:paraId="73BBB696"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智能制造装备</w:t>
            </w:r>
          </w:p>
        </w:tc>
        <w:tc>
          <w:tcPr>
            <w:tcW w:w="627" w:type="pct"/>
            <w:tcBorders>
              <w:top w:val="single" w:sz="4" w:space="0" w:color="auto"/>
              <w:left w:val="single" w:sz="4" w:space="0" w:color="auto"/>
              <w:bottom w:val="single" w:sz="4" w:space="0" w:color="auto"/>
              <w:right w:val="single" w:sz="4" w:space="0" w:color="auto"/>
            </w:tcBorders>
            <w:vAlign w:val="center"/>
          </w:tcPr>
          <w:p w14:paraId="03588B83"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770.75</w:t>
            </w:r>
          </w:p>
        </w:tc>
        <w:tc>
          <w:tcPr>
            <w:tcW w:w="628" w:type="pct"/>
            <w:tcBorders>
              <w:top w:val="single" w:sz="4" w:space="0" w:color="auto"/>
              <w:left w:val="single" w:sz="4" w:space="0" w:color="auto"/>
              <w:bottom w:val="single" w:sz="4" w:space="0" w:color="auto"/>
              <w:right w:val="single" w:sz="4" w:space="0" w:color="auto"/>
            </w:tcBorders>
            <w:vAlign w:val="center"/>
          </w:tcPr>
          <w:p w14:paraId="76ECCD2B"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楷体" w:hAnsi="Times New Roman" w:cs="Times New Roman"/>
                <w:color w:val="000000"/>
                <w:sz w:val="21"/>
                <w:szCs w:val="21"/>
              </w:rPr>
              <w:t>32.74%</w:t>
            </w:r>
          </w:p>
        </w:tc>
        <w:tc>
          <w:tcPr>
            <w:tcW w:w="627" w:type="pct"/>
            <w:tcBorders>
              <w:top w:val="single" w:sz="4" w:space="0" w:color="auto"/>
              <w:left w:val="single" w:sz="4" w:space="0" w:color="auto"/>
              <w:bottom w:val="single" w:sz="4" w:space="0" w:color="auto"/>
              <w:right w:val="single" w:sz="4" w:space="0" w:color="auto"/>
            </w:tcBorders>
            <w:vAlign w:val="center"/>
          </w:tcPr>
          <w:p w14:paraId="7587EDBE"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2,536.82</w:t>
            </w:r>
          </w:p>
        </w:tc>
        <w:tc>
          <w:tcPr>
            <w:tcW w:w="628" w:type="pct"/>
            <w:tcBorders>
              <w:top w:val="single" w:sz="4" w:space="0" w:color="auto"/>
              <w:left w:val="single" w:sz="4" w:space="0" w:color="auto"/>
              <w:bottom w:val="single" w:sz="4" w:space="0" w:color="auto"/>
              <w:right w:val="single" w:sz="4" w:space="0" w:color="auto"/>
            </w:tcBorders>
            <w:vAlign w:val="center"/>
          </w:tcPr>
          <w:p w14:paraId="7AB88D6D"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34.17%</w:t>
            </w:r>
          </w:p>
        </w:tc>
        <w:tc>
          <w:tcPr>
            <w:tcW w:w="627" w:type="pct"/>
            <w:tcBorders>
              <w:top w:val="single" w:sz="4" w:space="0" w:color="auto"/>
              <w:left w:val="single" w:sz="4" w:space="0" w:color="auto"/>
              <w:bottom w:val="single" w:sz="4" w:space="0" w:color="auto"/>
              <w:right w:val="single" w:sz="4" w:space="0" w:color="auto"/>
            </w:tcBorders>
            <w:vAlign w:val="center"/>
          </w:tcPr>
          <w:p w14:paraId="15169519"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251.77</w:t>
            </w:r>
          </w:p>
        </w:tc>
        <w:tc>
          <w:tcPr>
            <w:tcW w:w="628" w:type="pct"/>
            <w:tcBorders>
              <w:top w:val="single" w:sz="4" w:space="0" w:color="auto"/>
              <w:left w:val="single" w:sz="4" w:space="0" w:color="auto"/>
              <w:bottom w:val="single" w:sz="4" w:space="0" w:color="auto"/>
              <w:right w:val="nil"/>
            </w:tcBorders>
            <w:noWrap/>
            <w:vAlign w:val="center"/>
          </w:tcPr>
          <w:p w14:paraId="1E62955C"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37.65%</w:t>
            </w:r>
          </w:p>
        </w:tc>
      </w:tr>
      <w:tr w:rsidR="00C02929" w14:paraId="41DD74FC" w14:textId="77777777">
        <w:trPr>
          <w:trHeight w:val="397"/>
          <w:jc w:val="center"/>
        </w:trPr>
        <w:tc>
          <w:tcPr>
            <w:tcW w:w="1235" w:type="pct"/>
            <w:tcBorders>
              <w:top w:val="single" w:sz="4" w:space="0" w:color="auto"/>
              <w:left w:val="nil"/>
              <w:bottom w:val="single" w:sz="12" w:space="0" w:color="auto"/>
              <w:right w:val="single" w:sz="4" w:space="0" w:color="auto"/>
            </w:tcBorders>
            <w:vAlign w:val="center"/>
          </w:tcPr>
          <w:p w14:paraId="3175E88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27" w:type="pct"/>
            <w:tcBorders>
              <w:top w:val="single" w:sz="4" w:space="0" w:color="auto"/>
              <w:left w:val="single" w:sz="4" w:space="0" w:color="auto"/>
              <w:bottom w:val="single" w:sz="12" w:space="0" w:color="auto"/>
              <w:right w:val="single" w:sz="4" w:space="0" w:color="auto"/>
            </w:tcBorders>
            <w:vAlign w:val="center"/>
          </w:tcPr>
          <w:p w14:paraId="13665A43" w14:textId="77777777" w:rsidR="00C02929" w:rsidRDefault="006116D1">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4,139.66</w:t>
            </w:r>
          </w:p>
        </w:tc>
        <w:tc>
          <w:tcPr>
            <w:tcW w:w="628" w:type="pct"/>
            <w:tcBorders>
              <w:top w:val="single" w:sz="4" w:space="0" w:color="auto"/>
              <w:left w:val="single" w:sz="4" w:space="0" w:color="auto"/>
              <w:bottom w:val="single" w:sz="12" w:space="0" w:color="auto"/>
              <w:right w:val="single" w:sz="4" w:space="0" w:color="auto"/>
            </w:tcBorders>
            <w:vAlign w:val="center"/>
          </w:tcPr>
          <w:p w14:paraId="58A1804C" w14:textId="77777777" w:rsidR="00C02929" w:rsidRDefault="006116D1">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49.73%</w:t>
            </w:r>
          </w:p>
        </w:tc>
        <w:tc>
          <w:tcPr>
            <w:tcW w:w="627" w:type="pct"/>
            <w:tcBorders>
              <w:top w:val="single" w:sz="4" w:space="0" w:color="auto"/>
              <w:left w:val="single" w:sz="4" w:space="0" w:color="auto"/>
              <w:bottom w:val="single" w:sz="12" w:space="0" w:color="auto"/>
              <w:right w:val="single" w:sz="4" w:space="0" w:color="auto"/>
            </w:tcBorders>
            <w:vAlign w:val="center"/>
          </w:tcPr>
          <w:p w14:paraId="46C3DA25"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2924.22</w:t>
            </w:r>
          </w:p>
        </w:tc>
        <w:tc>
          <w:tcPr>
            <w:tcW w:w="628" w:type="pct"/>
            <w:tcBorders>
              <w:top w:val="single" w:sz="4" w:space="0" w:color="auto"/>
              <w:left w:val="single" w:sz="4" w:space="0" w:color="auto"/>
              <w:bottom w:val="single" w:sz="12" w:space="0" w:color="auto"/>
              <w:right w:val="single" w:sz="4" w:space="0" w:color="auto"/>
            </w:tcBorders>
            <w:vAlign w:val="center"/>
          </w:tcPr>
          <w:p w14:paraId="6294A4EA"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34.22%</w:t>
            </w:r>
          </w:p>
        </w:tc>
        <w:tc>
          <w:tcPr>
            <w:tcW w:w="627" w:type="pct"/>
            <w:tcBorders>
              <w:top w:val="single" w:sz="4" w:space="0" w:color="auto"/>
              <w:left w:val="single" w:sz="4" w:space="0" w:color="auto"/>
              <w:bottom w:val="single" w:sz="12" w:space="0" w:color="auto"/>
              <w:right w:val="single" w:sz="4" w:space="0" w:color="auto"/>
            </w:tcBorders>
            <w:vAlign w:val="center"/>
          </w:tcPr>
          <w:p w14:paraId="7B879F4A"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453.37</w:t>
            </w:r>
          </w:p>
        </w:tc>
        <w:tc>
          <w:tcPr>
            <w:tcW w:w="628" w:type="pct"/>
            <w:tcBorders>
              <w:top w:val="single" w:sz="4" w:space="0" w:color="auto"/>
              <w:left w:val="single" w:sz="4" w:space="0" w:color="auto"/>
              <w:bottom w:val="single" w:sz="12" w:space="0" w:color="auto"/>
              <w:right w:val="nil"/>
            </w:tcBorders>
            <w:noWrap/>
            <w:vAlign w:val="center"/>
          </w:tcPr>
          <w:p w14:paraId="1CF6C482"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50.90%</w:t>
            </w:r>
          </w:p>
        </w:tc>
      </w:tr>
    </w:tbl>
    <w:p w14:paraId="67DDC581"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2019</w:t>
      </w:r>
      <w:r>
        <w:rPr>
          <w:rFonts w:ascii="Times New Roman" w:hAnsi="Times New Roman" w:cs="Times New Roman" w:hint="eastAsia"/>
          <w:color w:val="000000"/>
          <w:lang w:val="en-GB"/>
        </w:rPr>
        <w:t>年，标的公司定制化集成业务毛利率为</w:t>
      </w:r>
      <w:r>
        <w:rPr>
          <w:rFonts w:ascii="Times New Roman" w:hAnsi="Times New Roman" w:cs="Times New Roman"/>
          <w:color w:val="000000"/>
          <w:lang w:val="en-GB"/>
        </w:rPr>
        <w:t>34.22%</w:t>
      </w:r>
      <w:r>
        <w:rPr>
          <w:rFonts w:ascii="Times New Roman" w:hAnsi="Times New Roman" w:cs="Times New Roman" w:hint="eastAsia"/>
          <w:color w:val="000000"/>
          <w:lang w:val="en-GB"/>
        </w:rPr>
        <w:t>，较</w:t>
      </w:r>
      <w:r>
        <w:rPr>
          <w:rFonts w:ascii="Times New Roman" w:hAnsi="Times New Roman" w:cs="Times New Roman"/>
          <w:color w:val="000000"/>
          <w:lang w:val="en-GB"/>
        </w:rPr>
        <w:t>2018</w:t>
      </w:r>
      <w:r>
        <w:rPr>
          <w:rFonts w:ascii="Times New Roman" w:hAnsi="Times New Roman" w:cs="Times New Roman" w:hint="eastAsia"/>
          <w:color w:val="000000"/>
          <w:lang w:val="en-GB"/>
        </w:rPr>
        <w:t>年的</w:t>
      </w:r>
      <w:r>
        <w:rPr>
          <w:rFonts w:ascii="Times New Roman" w:hAnsi="Times New Roman" w:cs="Times New Roman"/>
          <w:color w:val="000000"/>
          <w:lang w:val="en-GB"/>
        </w:rPr>
        <w:t>50.90%</w:t>
      </w:r>
      <w:r>
        <w:rPr>
          <w:rFonts w:ascii="Times New Roman" w:hAnsi="Times New Roman" w:cs="Times New Roman" w:hint="eastAsia"/>
          <w:color w:val="000000"/>
          <w:lang w:val="en-GB"/>
        </w:rPr>
        <w:t>下降了</w:t>
      </w:r>
      <w:r>
        <w:rPr>
          <w:rFonts w:ascii="Times New Roman" w:hAnsi="Times New Roman" w:cs="Times New Roman"/>
          <w:color w:val="000000"/>
          <w:lang w:val="en-GB"/>
        </w:rPr>
        <w:t>16.68%</w:t>
      </w:r>
      <w:r>
        <w:rPr>
          <w:rFonts w:ascii="Times New Roman" w:hAnsi="Times New Roman" w:cs="Times New Roman" w:hint="eastAsia"/>
          <w:color w:val="000000"/>
          <w:lang w:val="en-GB"/>
        </w:rPr>
        <w:t>，主要系</w:t>
      </w:r>
      <w:r>
        <w:rPr>
          <w:rFonts w:ascii="Times New Roman" w:hAnsi="Times New Roman" w:cs="Times New Roman"/>
          <w:color w:val="000000"/>
          <w:lang w:val="en-GB"/>
        </w:rPr>
        <w:t>2018</w:t>
      </w:r>
      <w:r>
        <w:rPr>
          <w:rFonts w:ascii="Times New Roman" w:hAnsi="Times New Roman" w:cs="Times New Roman" w:hint="eastAsia"/>
          <w:color w:val="000000"/>
          <w:lang w:val="en-GB"/>
        </w:rPr>
        <w:t>年企业信息化业务毛利率为</w:t>
      </w:r>
      <w:r>
        <w:rPr>
          <w:rFonts w:ascii="Times New Roman" w:hAnsi="Times New Roman" w:cs="Times New Roman"/>
          <w:color w:val="000000"/>
          <w:lang w:val="en-GB"/>
        </w:rPr>
        <w:t>93.89%</w:t>
      </w:r>
      <w:r>
        <w:rPr>
          <w:rFonts w:ascii="Times New Roman" w:hAnsi="Times New Roman" w:cs="Times New Roman" w:hint="eastAsia"/>
          <w:color w:val="000000"/>
          <w:lang w:val="en-GB"/>
        </w:rPr>
        <w:t>，收入为</w:t>
      </w:r>
      <w:r>
        <w:rPr>
          <w:rFonts w:ascii="Times New Roman" w:hAnsi="Times New Roman" w:cs="Times New Roman"/>
          <w:color w:val="000000"/>
          <w:lang w:val="en-GB"/>
        </w:rPr>
        <w:t>175.86</w:t>
      </w:r>
      <w:r>
        <w:rPr>
          <w:rFonts w:ascii="Times New Roman" w:hAnsi="Times New Roman" w:cs="Times New Roman" w:hint="eastAsia"/>
          <w:color w:val="000000"/>
          <w:lang w:val="en-GB"/>
        </w:rPr>
        <w:t>万元，占总定制化集成业务</w:t>
      </w:r>
      <w:r>
        <w:rPr>
          <w:rFonts w:ascii="Times New Roman" w:hAnsi="Times New Roman" w:cs="Times New Roman"/>
          <w:color w:val="000000"/>
          <w:lang w:val="en-GB"/>
        </w:rPr>
        <w:t>890.75</w:t>
      </w:r>
      <w:r>
        <w:rPr>
          <w:rFonts w:ascii="Times New Roman" w:hAnsi="Times New Roman" w:cs="Times New Roman" w:hint="eastAsia"/>
          <w:color w:val="000000"/>
          <w:lang w:val="en-GB"/>
        </w:rPr>
        <w:t>万元的</w:t>
      </w:r>
      <w:r>
        <w:rPr>
          <w:rFonts w:ascii="Times New Roman" w:hAnsi="Times New Roman" w:cs="Times New Roman"/>
          <w:color w:val="000000"/>
          <w:lang w:val="en-GB"/>
        </w:rPr>
        <w:t>19.74%</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年，标的公司企业信息化业务毛利率为</w:t>
      </w:r>
      <w:r>
        <w:rPr>
          <w:rFonts w:ascii="Times New Roman" w:hAnsi="Times New Roman" w:cs="Times New Roman"/>
          <w:color w:val="000000"/>
          <w:lang w:val="en-GB"/>
        </w:rPr>
        <w:t>87.70%</w:t>
      </w:r>
      <w:r>
        <w:rPr>
          <w:rFonts w:ascii="Times New Roman" w:hAnsi="Times New Roman" w:cs="Times New Roman" w:hint="eastAsia"/>
          <w:color w:val="000000"/>
          <w:lang w:val="en-GB"/>
        </w:rPr>
        <w:t>，相应收入为</w:t>
      </w:r>
      <w:r>
        <w:rPr>
          <w:rFonts w:ascii="Times New Roman" w:hAnsi="Times New Roman" w:cs="Times New Roman"/>
          <w:color w:val="000000"/>
          <w:lang w:val="en-GB"/>
        </w:rPr>
        <w:t>33.61</w:t>
      </w:r>
      <w:r>
        <w:rPr>
          <w:rFonts w:ascii="Times New Roman" w:hAnsi="Times New Roman" w:cs="Times New Roman" w:hint="eastAsia"/>
          <w:color w:val="000000"/>
          <w:lang w:val="en-GB"/>
        </w:rPr>
        <w:t>万元，占定制化集成业务</w:t>
      </w:r>
      <w:r>
        <w:rPr>
          <w:rFonts w:ascii="Times New Roman" w:hAnsi="Times New Roman" w:cs="Times New Roman"/>
          <w:color w:val="000000"/>
          <w:lang w:val="en-GB"/>
        </w:rPr>
        <w:t>8,544.53</w:t>
      </w:r>
      <w:r>
        <w:rPr>
          <w:rFonts w:ascii="Times New Roman" w:hAnsi="Times New Roman" w:cs="Times New Roman" w:hint="eastAsia"/>
          <w:color w:val="000000"/>
          <w:lang w:val="en-GB"/>
        </w:rPr>
        <w:t>万元的</w:t>
      </w:r>
      <w:r>
        <w:rPr>
          <w:rFonts w:ascii="Times New Roman" w:hAnsi="Times New Roman" w:cs="Times New Roman"/>
          <w:color w:val="000000"/>
          <w:lang w:val="en-GB"/>
        </w:rPr>
        <w:t>0.39%</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年定制化集成业务中高毛利率的企业信息化业务收入占比较</w:t>
      </w:r>
      <w:r>
        <w:rPr>
          <w:rFonts w:ascii="Times New Roman" w:hAnsi="Times New Roman" w:cs="Times New Roman"/>
          <w:color w:val="000000"/>
          <w:lang w:val="en-GB"/>
        </w:rPr>
        <w:t>2018</w:t>
      </w:r>
      <w:r>
        <w:rPr>
          <w:rFonts w:ascii="Times New Roman" w:hAnsi="Times New Roman" w:cs="Times New Roman" w:hint="eastAsia"/>
          <w:color w:val="000000"/>
          <w:lang w:val="en-GB"/>
        </w:rPr>
        <w:t>年大幅下降，导致</w:t>
      </w:r>
      <w:r>
        <w:rPr>
          <w:rFonts w:ascii="Times New Roman" w:hAnsi="Times New Roman" w:cs="Times New Roman"/>
          <w:color w:val="000000"/>
          <w:lang w:val="en-GB"/>
        </w:rPr>
        <w:t>2019</w:t>
      </w:r>
      <w:r>
        <w:rPr>
          <w:rFonts w:ascii="Times New Roman" w:hAnsi="Times New Roman" w:cs="Times New Roman" w:hint="eastAsia"/>
          <w:color w:val="000000"/>
          <w:lang w:val="en-GB"/>
        </w:rPr>
        <w:t>年定制化集成业务毛利率有所下降。</w:t>
      </w:r>
    </w:p>
    <w:p w14:paraId="41EEDD86"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年，标的公司定制化集成业务毛利率为</w:t>
      </w:r>
      <w:r>
        <w:rPr>
          <w:rFonts w:ascii="Times New Roman" w:hAnsi="Times New Roman" w:cs="Times New Roman"/>
          <w:color w:val="000000"/>
          <w:lang w:val="en-GB"/>
        </w:rPr>
        <w:t>49.73%</w:t>
      </w:r>
      <w:r>
        <w:rPr>
          <w:rFonts w:ascii="Times New Roman" w:hAnsi="Times New Roman" w:cs="Times New Roman" w:hint="eastAsia"/>
          <w:color w:val="000000"/>
          <w:lang w:val="en-GB"/>
        </w:rPr>
        <w:t>，较</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34.22%</w:t>
      </w:r>
      <w:r>
        <w:rPr>
          <w:rFonts w:ascii="Times New Roman" w:hAnsi="Times New Roman" w:cs="Times New Roman" w:hint="eastAsia"/>
          <w:color w:val="000000"/>
          <w:lang w:val="en-GB"/>
        </w:rPr>
        <w:t>增长了</w:t>
      </w:r>
      <w:r>
        <w:rPr>
          <w:rFonts w:ascii="Times New Roman" w:hAnsi="Times New Roman" w:cs="Times New Roman"/>
          <w:color w:val="000000"/>
          <w:lang w:val="en-GB"/>
        </w:rPr>
        <w:t>15.51%</w:t>
      </w:r>
      <w:r>
        <w:rPr>
          <w:rFonts w:ascii="Times New Roman" w:hAnsi="Times New Roman" w:cs="Times New Roman" w:hint="eastAsia"/>
          <w:color w:val="000000"/>
          <w:lang w:val="en-GB"/>
        </w:rPr>
        <w:t>，主要系高毛利率的企业信息化业务规模大幅增长所致。</w:t>
      </w:r>
    </w:p>
    <w:p w14:paraId="03B53A98" w14:textId="77777777" w:rsidR="00C02929" w:rsidRDefault="006116D1">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lastRenderedPageBreak/>
        <w:t>1</w:t>
      </w:r>
      <w:r>
        <w:rPr>
          <w:rFonts w:ascii="Times New Roman" w:hAnsi="Times New Roman" w:cs="Times New Roman" w:hint="eastAsia"/>
          <w:b/>
          <w:color w:val="000000"/>
          <w:lang w:val="en-GB"/>
        </w:rPr>
        <w:t>、企业信息化业务</w:t>
      </w:r>
    </w:p>
    <w:p w14:paraId="5A9595AF"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报告期内，标的公司企业信息化业务情况如下：</w:t>
      </w:r>
    </w:p>
    <w:p w14:paraId="379C4AD1"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90"/>
        <w:gridCol w:w="1307"/>
        <w:gridCol w:w="1311"/>
        <w:gridCol w:w="1307"/>
        <w:gridCol w:w="1454"/>
        <w:gridCol w:w="1253"/>
      </w:tblGrid>
      <w:tr w:rsidR="00C02929" w14:paraId="5B06C03F" w14:textId="77777777">
        <w:trPr>
          <w:trHeight w:val="397"/>
          <w:tblHeader/>
          <w:jc w:val="center"/>
        </w:trPr>
        <w:tc>
          <w:tcPr>
            <w:tcW w:w="1109" w:type="pct"/>
            <w:vAlign w:val="center"/>
          </w:tcPr>
          <w:p w14:paraId="01EF1184"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企业信息化业务</w:t>
            </w:r>
          </w:p>
        </w:tc>
        <w:tc>
          <w:tcPr>
            <w:tcW w:w="767" w:type="pct"/>
            <w:vAlign w:val="center"/>
          </w:tcPr>
          <w:p w14:paraId="4B7FA369"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2020</w:t>
            </w:r>
            <w:r>
              <w:rPr>
                <w:rFonts w:ascii="Times New Roman" w:hAnsi="Times New Roman" w:cs="Times New Roman"/>
                <w:b/>
                <w:bCs/>
                <w:color w:val="000000"/>
                <w:sz w:val="21"/>
                <w:szCs w:val="21"/>
                <w:lang w:val="en-GB"/>
              </w:rPr>
              <w:t>年度</w:t>
            </w:r>
          </w:p>
        </w:tc>
        <w:tc>
          <w:tcPr>
            <w:tcW w:w="769" w:type="pct"/>
            <w:vAlign w:val="center"/>
          </w:tcPr>
          <w:p w14:paraId="7AACBE4C"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020</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67" w:type="pct"/>
            <w:vAlign w:val="center"/>
          </w:tcPr>
          <w:p w14:paraId="500D6192"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年度</w:t>
            </w:r>
          </w:p>
        </w:tc>
        <w:tc>
          <w:tcPr>
            <w:tcW w:w="853" w:type="pct"/>
            <w:vAlign w:val="center"/>
          </w:tcPr>
          <w:p w14:paraId="2C64F089"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年较</w:t>
            </w: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年增长</w:t>
            </w:r>
          </w:p>
        </w:tc>
        <w:tc>
          <w:tcPr>
            <w:tcW w:w="735" w:type="pct"/>
            <w:vAlign w:val="center"/>
          </w:tcPr>
          <w:p w14:paraId="376C9116"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年度</w:t>
            </w:r>
          </w:p>
        </w:tc>
      </w:tr>
      <w:tr w:rsidR="00C02929" w14:paraId="3E98D422" w14:textId="77777777">
        <w:trPr>
          <w:trHeight w:val="397"/>
          <w:jc w:val="center"/>
        </w:trPr>
        <w:tc>
          <w:tcPr>
            <w:tcW w:w="1109" w:type="pct"/>
            <w:vAlign w:val="center"/>
          </w:tcPr>
          <w:p w14:paraId="2D0A2720"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767" w:type="pct"/>
            <w:vAlign w:val="center"/>
          </w:tcPr>
          <w:p w14:paraId="798BC239"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3,992.73</w:t>
            </w:r>
          </w:p>
        </w:tc>
        <w:tc>
          <w:tcPr>
            <w:tcW w:w="769" w:type="pct"/>
            <w:vAlign w:val="center"/>
          </w:tcPr>
          <w:p w14:paraId="01A70F7A"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3,959.13</w:t>
            </w:r>
          </w:p>
        </w:tc>
        <w:tc>
          <w:tcPr>
            <w:tcW w:w="767" w:type="pct"/>
            <w:vAlign w:val="center"/>
          </w:tcPr>
          <w:p w14:paraId="01097E1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33.61</w:t>
            </w:r>
          </w:p>
        </w:tc>
        <w:tc>
          <w:tcPr>
            <w:tcW w:w="853" w:type="pct"/>
            <w:vAlign w:val="center"/>
          </w:tcPr>
          <w:p w14:paraId="6436BF66"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-142.25</w:t>
            </w:r>
          </w:p>
        </w:tc>
        <w:tc>
          <w:tcPr>
            <w:tcW w:w="735" w:type="pct"/>
            <w:vAlign w:val="center"/>
          </w:tcPr>
          <w:p w14:paraId="2359943E"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175.86</w:t>
            </w:r>
          </w:p>
        </w:tc>
      </w:tr>
      <w:tr w:rsidR="00C02929" w14:paraId="036DF8B1" w14:textId="77777777">
        <w:trPr>
          <w:trHeight w:val="397"/>
          <w:jc w:val="center"/>
        </w:trPr>
        <w:tc>
          <w:tcPr>
            <w:tcW w:w="1109" w:type="pct"/>
            <w:vAlign w:val="center"/>
          </w:tcPr>
          <w:p w14:paraId="080EEC61"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767" w:type="pct"/>
            <w:vAlign w:val="center"/>
          </w:tcPr>
          <w:p w14:paraId="3F8EF86A"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1,269.94</w:t>
            </w:r>
          </w:p>
        </w:tc>
        <w:tc>
          <w:tcPr>
            <w:tcW w:w="769" w:type="pct"/>
            <w:vAlign w:val="center"/>
          </w:tcPr>
          <w:p w14:paraId="6ADCD6AB"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1,265.81</w:t>
            </w:r>
          </w:p>
        </w:tc>
        <w:tc>
          <w:tcPr>
            <w:tcW w:w="767" w:type="pct"/>
            <w:vAlign w:val="center"/>
          </w:tcPr>
          <w:p w14:paraId="352447FF"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4.14</w:t>
            </w:r>
          </w:p>
        </w:tc>
        <w:tc>
          <w:tcPr>
            <w:tcW w:w="853" w:type="pct"/>
            <w:vAlign w:val="center"/>
          </w:tcPr>
          <w:p w14:paraId="4BEACE70"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-6.6</w:t>
            </w:r>
            <w:r>
              <w:rPr>
                <w:rFonts w:ascii="Times New Roman" w:eastAsia="等线" w:hAnsi="Times New Roman" w:cs="Times New Roman" w:hint="eastAsia"/>
                <w:color w:val="000000"/>
                <w:kern w:val="2"/>
                <w:sz w:val="21"/>
                <w:szCs w:val="21"/>
              </w:rPr>
              <w:t>1</w:t>
            </w:r>
          </w:p>
        </w:tc>
        <w:tc>
          <w:tcPr>
            <w:tcW w:w="735" w:type="pct"/>
            <w:vAlign w:val="center"/>
          </w:tcPr>
          <w:p w14:paraId="09FE7F80"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10.74</w:t>
            </w:r>
          </w:p>
        </w:tc>
      </w:tr>
      <w:tr w:rsidR="00C02929" w14:paraId="067AB445" w14:textId="77777777">
        <w:trPr>
          <w:trHeight w:val="397"/>
          <w:jc w:val="center"/>
        </w:trPr>
        <w:tc>
          <w:tcPr>
            <w:tcW w:w="1109" w:type="pct"/>
            <w:vAlign w:val="center"/>
          </w:tcPr>
          <w:p w14:paraId="2CEA51B4"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767" w:type="pct"/>
            <w:vAlign w:val="center"/>
          </w:tcPr>
          <w:p w14:paraId="344D3118"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2,722.79</w:t>
            </w:r>
          </w:p>
        </w:tc>
        <w:tc>
          <w:tcPr>
            <w:tcW w:w="769" w:type="pct"/>
            <w:vAlign w:val="center"/>
          </w:tcPr>
          <w:p w14:paraId="1061433C"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2,693.32</w:t>
            </w:r>
          </w:p>
        </w:tc>
        <w:tc>
          <w:tcPr>
            <w:tcW w:w="767" w:type="pct"/>
            <w:vAlign w:val="center"/>
          </w:tcPr>
          <w:p w14:paraId="7E5CFC48"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29.47</w:t>
            </w:r>
          </w:p>
        </w:tc>
        <w:tc>
          <w:tcPr>
            <w:tcW w:w="853" w:type="pct"/>
            <w:vAlign w:val="center"/>
          </w:tcPr>
          <w:p w14:paraId="50474BCB"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-135.65</w:t>
            </w:r>
          </w:p>
        </w:tc>
        <w:tc>
          <w:tcPr>
            <w:tcW w:w="735" w:type="pct"/>
            <w:vAlign w:val="center"/>
          </w:tcPr>
          <w:p w14:paraId="5A338B7A"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165.12</w:t>
            </w:r>
          </w:p>
        </w:tc>
      </w:tr>
      <w:tr w:rsidR="00C02929" w14:paraId="23DB2C1C" w14:textId="77777777">
        <w:trPr>
          <w:trHeight w:val="397"/>
          <w:jc w:val="center"/>
        </w:trPr>
        <w:tc>
          <w:tcPr>
            <w:tcW w:w="1109" w:type="pct"/>
            <w:vAlign w:val="center"/>
          </w:tcPr>
          <w:p w14:paraId="2C627297"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767" w:type="pct"/>
            <w:vAlign w:val="center"/>
          </w:tcPr>
          <w:p w14:paraId="57D2D52F"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68.19%</w:t>
            </w:r>
          </w:p>
        </w:tc>
        <w:tc>
          <w:tcPr>
            <w:tcW w:w="769" w:type="pct"/>
            <w:vAlign w:val="center"/>
          </w:tcPr>
          <w:p w14:paraId="4E494D1B"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-19.50%</w:t>
            </w:r>
          </w:p>
        </w:tc>
        <w:tc>
          <w:tcPr>
            <w:tcW w:w="767" w:type="pct"/>
            <w:vAlign w:val="center"/>
          </w:tcPr>
          <w:p w14:paraId="6D1FE743"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87.70%</w:t>
            </w:r>
          </w:p>
        </w:tc>
        <w:tc>
          <w:tcPr>
            <w:tcW w:w="853" w:type="pct"/>
            <w:vAlign w:val="center"/>
          </w:tcPr>
          <w:p w14:paraId="7BF7E91A"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w:t>
            </w:r>
            <w:r>
              <w:rPr>
                <w:rFonts w:ascii="Times New Roman" w:eastAsia="等线" w:hAnsi="Times New Roman" w:cs="Times New Roman" w:hint="eastAsia"/>
                <w:color w:val="000000"/>
                <w:kern w:val="2"/>
                <w:sz w:val="21"/>
                <w:szCs w:val="21"/>
              </w:rPr>
              <w:t>20</w:t>
            </w:r>
            <w:r>
              <w:rPr>
                <w:rFonts w:ascii="Times New Roman" w:eastAsia="等线" w:hAnsi="Times New Roman" w:cs="Times New Roman"/>
                <w:color w:val="000000"/>
                <w:kern w:val="2"/>
                <w:sz w:val="21"/>
                <w:szCs w:val="21"/>
              </w:rPr>
              <w:t>%</w:t>
            </w:r>
          </w:p>
        </w:tc>
        <w:tc>
          <w:tcPr>
            <w:tcW w:w="735" w:type="pct"/>
            <w:vAlign w:val="center"/>
          </w:tcPr>
          <w:p w14:paraId="70B67CB5"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93.89%</w:t>
            </w:r>
          </w:p>
        </w:tc>
      </w:tr>
      <w:tr w:rsidR="00C02929" w14:paraId="12BC514A" w14:textId="77777777">
        <w:trPr>
          <w:trHeight w:val="397"/>
          <w:jc w:val="center"/>
        </w:trPr>
        <w:tc>
          <w:tcPr>
            <w:tcW w:w="1109" w:type="pct"/>
            <w:vAlign w:val="center"/>
          </w:tcPr>
          <w:p w14:paraId="2A37E77E"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对定制化集成业务的毛利贡献率</w:t>
            </w:r>
          </w:p>
        </w:tc>
        <w:tc>
          <w:tcPr>
            <w:tcW w:w="767" w:type="pct"/>
            <w:vAlign w:val="center"/>
          </w:tcPr>
          <w:p w14:paraId="3DB8A4E4"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65.77%</w:t>
            </w:r>
          </w:p>
        </w:tc>
        <w:tc>
          <w:tcPr>
            <w:tcW w:w="769" w:type="pct"/>
            <w:vAlign w:val="center"/>
          </w:tcPr>
          <w:p w14:paraId="6F9A89AE"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64.77%</w:t>
            </w:r>
          </w:p>
        </w:tc>
        <w:tc>
          <w:tcPr>
            <w:tcW w:w="767" w:type="pct"/>
            <w:vAlign w:val="center"/>
          </w:tcPr>
          <w:p w14:paraId="16A0C3A9"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1.01%</w:t>
            </w:r>
          </w:p>
        </w:tc>
        <w:tc>
          <w:tcPr>
            <w:tcW w:w="853" w:type="pct"/>
            <w:vAlign w:val="center"/>
          </w:tcPr>
          <w:p w14:paraId="307EF027"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-35.41%</w:t>
            </w:r>
          </w:p>
        </w:tc>
        <w:tc>
          <w:tcPr>
            <w:tcW w:w="735" w:type="pct"/>
            <w:vAlign w:val="center"/>
          </w:tcPr>
          <w:p w14:paraId="10CFE622"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36.42%</w:t>
            </w:r>
          </w:p>
        </w:tc>
      </w:tr>
    </w:tbl>
    <w:p w14:paraId="5D873A6E"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注：对定制化集成业务的毛利贡献率</w:t>
      </w:r>
      <w:r>
        <w:rPr>
          <w:rFonts w:ascii="Times New Roman" w:hAnsi="Times New Roman" w:cs="Times New Roman" w:hint="eastAsia"/>
          <w:bCs/>
          <w:color w:val="000000"/>
          <w:sz w:val="21"/>
          <w:szCs w:val="21"/>
          <w:lang w:val="en-GB"/>
        </w:rPr>
        <w:t>=</w:t>
      </w:r>
      <w:r>
        <w:rPr>
          <w:rFonts w:ascii="Times New Roman" w:hAnsi="Times New Roman" w:cs="Times New Roman"/>
          <w:bCs/>
          <w:color w:val="000000"/>
          <w:sz w:val="21"/>
          <w:szCs w:val="21"/>
          <w:lang w:val="en-GB"/>
        </w:rPr>
        <w:t>企业信息化</w:t>
      </w:r>
      <w:r>
        <w:rPr>
          <w:rFonts w:ascii="Times New Roman" w:hAnsi="Times New Roman" w:cs="Times New Roman" w:hint="eastAsia"/>
          <w:bCs/>
          <w:color w:val="000000"/>
          <w:sz w:val="21"/>
          <w:szCs w:val="21"/>
          <w:lang w:val="en-GB"/>
        </w:rPr>
        <w:t>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定制化集成业务总毛利。</w:t>
      </w:r>
    </w:p>
    <w:p w14:paraId="27D970CB"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年，标的公司企业信息化业务产生的毛利为</w:t>
      </w:r>
      <w:r>
        <w:rPr>
          <w:rFonts w:ascii="Times New Roman" w:hAnsi="Times New Roman" w:cs="Times New Roman"/>
          <w:color w:val="000000"/>
          <w:lang w:val="en-GB"/>
        </w:rPr>
        <w:t>2,722.79</w:t>
      </w:r>
      <w:r>
        <w:rPr>
          <w:rFonts w:ascii="Times New Roman" w:hAnsi="Times New Roman" w:cs="Times New Roman" w:hint="eastAsia"/>
          <w:color w:val="000000"/>
          <w:lang w:val="en-GB"/>
        </w:rPr>
        <w:t>万元，相比于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29.47</w:t>
      </w:r>
      <w:r>
        <w:rPr>
          <w:rFonts w:ascii="Times New Roman" w:hAnsi="Times New Roman" w:cs="Times New Roman" w:hint="eastAsia"/>
          <w:color w:val="000000"/>
          <w:lang w:val="en-GB"/>
        </w:rPr>
        <w:t>万元增加了</w:t>
      </w:r>
      <w:r>
        <w:rPr>
          <w:rFonts w:ascii="Times New Roman" w:hAnsi="Times New Roman" w:cs="Times New Roman"/>
          <w:color w:val="000000"/>
          <w:lang w:val="en-GB"/>
        </w:rPr>
        <w:t>2,693.32</w:t>
      </w:r>
      <w:r>
        <w:rPr>
          <w:rFonts w:ascii="Times New Roman" w:hAnsi="Times New Roman" w:cs="Times New Roman" w:hint="eastAsia"/>
          <w:color w:val="000000"/>
          <w:lang w:val="en-GB"/>
        </w:rPr>
        <w:t>万元，其对定制化集成业务的毛利贡献率为</w:t>
      </w:r>
      <w:r>
        <w:rPr>
          <w:rFonts w:ascii="Times New Roman" w:hAnsi="Times New Roman" w:cs="Times New Roman"/>
          <w:color w:val="000000"/>
          <w:lang w:val="en-GB"/>
        </w:rPr>
        <w:t>65.77%</w:t>
      </w:r>
      <w:r>
        <w:rPr>
          <w:rFonts w:ascii="Times New Roman" w:hAnsi="Times New Roman" w:cs="Times New Roman" w:hint="eastAsia"/>
          <w:color w:val="000000"/>
          <w:lang w:val="en-GB"/>
        </w:rPr>
        <w:t>，相比于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1.01%</w:t>
      </w:r>
      <w:r>
        <w:rPr>
          <w:rFonts w:ascii="Times New Roman" w:hAnsi="Times New Roman" w:cs="Times New Roman" w:hint="eastAsia"/>
          <w:color w:val="000000"/>
          <w:lang w:val="en-GB"/>
        </w:rPr>
        <w:t>增加了</w:t>
      </w:r>
      <w:r>
        <w:rPr>
          <w:rFonts w:ascii="Times New Roman" w:hAnsi="Times New Roman" w:cs="Times New Roman"/>
          <w:color w:val="000000"/>
          <w:lang w:val="en-GB"/>
        </w:rPr>
        <w:t>64.77%</w:t>
      </w:r>
      <w:r>
        <w:rPr>
          <w:rFonts w:ascii="Times New Roman" w:hAnsi="Times New Roman" w:cs="Times New Roman" w:hint="eastAsia"/>
          <w:color w:val="000000"/>
          <w:lang w:val="en-GB"/>
        </w:rPr>
        <w:t>，主要系</w:t>
      </w:r>
      <w:r>
        <w:rPr>
          <w:rFonts w:ascii="Times New Roman" w:hAnsi="Times New Roman" w:cs="Times New Roman"/>
          <w:color w:val="000000"/>
          <w:lang w:val="en-GB"/>
        </w:rPr>
        <w:t>2020</w:t>
      </w:r>
      <w:r>
        <w:rPr>
          <w:rFonts w:ascii="Times New Roman" w:hAnsi="Times New Roman" w:cs="Times New Roman" w:hint="eastAsia"/>
          <w:color w:val="000000"/>
          <w:lang w:val="en-GB"/>
        </w:rPr>
        <w:t>年度，北洋天青与澳柯玛签订了《工业互联网平台、信息化系统及自动化物流线等设备采购合同》及其补充协议，其中工业互联网平台、</w:t>
      </w:r>
      <w:r>
        <w:rPr>
          <w:rFonts w:ascii="Times New Roman" w:hAnsi="Times New Roman" w:cs="Times New Roman"/>
          <w:color w:val="000000"/>
          <w:lang w:val="en-GB"/>
        </w:rPr>
        <w:t>MES</w:t>
      </w:r>
      <w:r>
        <w:rPr>
          <w:rFonts w:ascii="Times New Roman" w:hAnsi="Times New Roman" w:cs="Times New Roman" w:hint="eastAsia"/>
          <w:color w:val="000000"/>
          <w:lang w:val="en-GB"/>
        </w:rPr>
        <w:t>系统、</w:t>
      </w:r>
      <w:r>
        <w:rPr>
          <w:rFonts w:ascii="Times New Roman" w:hAnsi="Times New Roman" w:cs="Times New Roman"/>
          <w:color w:val="000000"/>
          <w:lang w:val="en-GB"/>
        </w:rPr>
        <w:t>SCADA</w:t>
      </w:r>
      <w:r>
        <w:rPr>
          <w:rFonts w:ascii="Times New Roman" w:hAnsi="Times New Roman" w:cs="Times New Roman" w:hint="eastAsia"/>
          <w:color w:val="000000"/>
          <w:lang w:val="en-GB"/>
        </w:rPr>
        <w:t>系统、</w:t>
      </w:r>
      <w:r>
        <w:rPr>
          <w:rFonts w:ascii="Times New Roman" w:hAnsi="Times New Roman" w:cs="Times New Roman"/>
          <w:color w:val="000000"/>
          <w:lang w:val="en-GB"/>
        </w:rPr>
        <w:t>PLM</w:t>
      </w:r>
      <w:r>
        <w:rPr>
          <w:rFonts w:ascii="Times New Roman" w:hAnsi="Times New Roman" w:cs="Times New Roman" w:hint="eastAsia"/>
          <w:color w:val="000000"/>
          <w:lang w:val="en-GB"/>
        </w:rPr>
        <w:t>及仿真系统及信息化硬件等企业信息化领域的定制化集成项目于</w:t>
      </w:r>
      <w:r>
        <w:rPr>
          <w:rFonts w:ascii="Times New Roman" w:hAnsi="Times New Roman" w:cs="Times New Roman"/>
          <w:color w:val="000000"/>
          <w:lang w:val="en-GB"/>
        </w:rPr>
        <w:t>2020</w:t>
      </w:r>
      <w:r>
        <w:rPr>
          <w:rFonts w:ascii="Times New Roman" w:hAnsi="Times New Roman" w:cs="Times New Roman" w:hint="eastAsia"/>
          <w:color w:val="000000"/>
          <w:lang w:val="en-GB"/>
        </w:rPr>
        <w:t>年</w:t>
      </w:r>
      <w:r>
        <w:rPr>
          <w:rFonts w:ascii="Times New Roman" w:hAnsi="Times New Roman" w:cs="Times New Roman"/>
          <w:color w:val="000000"/>
          <w:lang w:val="en-GB"/>
        </w:rPr>
        <w:t>12</w:t>
      </w:r>
      <w:r>
        <w:rPr>
          <w:rFonts w:ascii="Times New Roman" w:hAnsi="Times New Roman" w:cs="Times New Roman" w:hint="eastAsia"/>
          <w:color w:val="000000"/>
          <w:lang w:val="en-GB"/>
        </w:rPr>
        <w:t>月完成验收并确认收入所致。</w:t>
      </w:r>
    </w:p>
    <w:p w14:paraId="5BC8E5A0"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年，标的公司企业信息化业务的毛利率为</w:t>
      </w:r>
      <w:r>
        <w:rPr>
          <w:rFonts w:ascii="Times New Roman" w:hAnsi="Times New Roman" w:cs="Times New Roman"/>
          <w:color w:val="000000"/>
          <w:lang w:val="en-GB"/>
        </w:rPr>
        <w:t>68.19%</w:t>
      </w:r>
      <w:r>
        <w:rPr>
          <w:rFonts w:ascii="Times New Roman" w:hAnsi="Times New Roman" w:cs="Times New Roman" w:hint="eastAsia"/>
          <w:color w:val="000000"/>
          <w:lang w:val="en-GB"/>
        </w:rPr>
        <w:t>，相较于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87.70%</w:t>
      </w:r>
      <w:r>
        <w:rPr>
          <w:rFonts w:ascii="Times New Roman" w:hAnsi="Times New Roman" w:cs="Times New Roman" w:hint="eastAsia"/>
          <w:color w:val="000000"/>
          <w:lang w:val="en-GB"/>
        </w:rPr>
        <w:t>下降了</w:t>
      </w:r>
      <w:r>
        <w:rPr>
          <w:rFonts w:ascii="Times New Roman" w:hAnsi="Times New Roman" w:cs="Times New Roman"/>
          <w:color w:val="000000"/>
          <w:lang w:val="en-GB"/>
        </w:rPr>
        <w:t>19.50%</w:t>
      </w:r>
      <w:r>
        <w:rPr>
          <w:rFonts w:ascii="Times New Roman" w:hAnsi="Times New Roman" w:cs="Times New Roman" w:hint="eastAsia"/>
          <w:color w:val="000000"/>
          <w:lang w:val="en-GB"/>
        </w:rPr>
        <w:t>，主要系工业互联网平台项目、</w:t>
      </w:r>
      <w:r>
        <w:rPr>
          <w:rFonts w:ascii="Times New Roman" w:hAnsi="Times New Roman" w:cs="Times New Roman"/>
          <w:color w:val="000000"/>
          <w:lang w:val="en-GB"/>
        </w:rPr>
        <w:t>PLM</w:t>
      </w:r>
      <w:r>
        <w:rPr>
          <w:rFonts w:ascii="Times New Roman" w:hAnsi="Times New Roman" w:cs="Times New Roman" w:hint="eastAsia"/>
          <w:color w:val="000000"/>
          <w:lang w:val="en-GB"/>
        </w:rPr>
        <w:t>及仿真系统为标的公司对外采购所致。</w:t>
      </w:r>
      <w:r>
        <w:rPr>
          <w:rFonts w:ascii="Times New Roman" w:hAnsi="Times New Roman" w:cs="Times New Roman"/>
          <w:color w:val="000000"/>
          <w:lang w:val="en-GB"/>
        </w:rPr>
        <w:t>PLM</w:t>
      </w:r>
      <w:r>
        <w:rPr>
          <w:rFonts w:ascii="Times New Roman" w:hAnsi="Times New Roman" w:cs="Times New Roman" w:hint="eastAsia"/>
          <w:color w:val="000000"/>
          <w:lang w:val="en-GB"/>
        </w:rPr>
        <w:t>及仿真系统合同金额较小，工业互联网平台需要庞大的软件开发团队进行系统性开发，成本较高。且其他客户各自拥有不同的工业互联网平台，如海尔集团公司统一使用“卡奥斯”工业互联网平台，标的公司预计自主研发的工业互联网平台未来应用空间较小。北洋天青综合考虑人员安排、利润水平、未来市场空间等因素，未自主研发上述系统。</w:t>
      </w:r>
    </w:p>
    <w:p w14:paraId="451E08B6" w14:textId="77777777" w:rsidR="00C02929" w:rsidRDefault="006116D1">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2</w:t>
      </w:r>
      <w:r>
        <w:rPr>
          <w:rFonts w:ascii="Times New Roman" w:hAnsi="Times New Roman" w:cs="Times New Roman" w:hint="eastAsia"/>
          <w:b/>
          <w:color w:val="000000"/>
          <w:lang w:val="en-GB"/>
        </w:rPr>
        <w:t>、智能制造装备业务</w:t>
      </w:r>
    </w:p>
    <w:p w14:paraId="2C4102F0"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2019</w:t>
      </w:r>
      <w:r>
        <w:rPr>
          <w:rFonts w:ascii="Times New Roman" w:hAnsi="Times New Roman" w:cs="Times New Roman" w:hint="eastAsia"/>
          <w:color w:val="000000"/>
          <w:lang w:val="en-GB"/>
        </w:rPr>
        <w:t>年，标的公司智能制造装备业务产生的毛利为</w:t>
      </w:r>
      <w:r>
        <w:rPr>
          <w:rFonts w:ascii="Times New Roman" w:hAnsi="Times New Roman" w:cs="Times New Roman"/>
          <w:color w:val="000000"/>
          <w:lang w:val="en-GB"/>
        </w:rPr>
        <w:t>2,536.82</w:t>
      </w:r>
      <w:r>
        <w:rPr>
          <w:rFonts w:ascii="Times New Roman" w:hAnsi="Times New Roman" w:cs="Times New Roman" w:hint="eastAsia"/>
          <w:color w:val="000000"/>
          <w:lang w:val="en-GB"/>
        </w:rPr>
        <w:t>万元，相比于</w:t>
      </w:r>
      <w:r>
        <w:rPr>
          <w:rFonts w:ascii="Times New Roman" w:hAnsi="Times New Roman" w:cs="Times New Roman"/>
          <w:color w:val="000000"/>
          <w:lang w:val="en-GB"/>
        </w:rPr>
        <w:t>2018</w:t>
      </w:r>
      <w:r>
        <w:rPr>
          <w:rFonts w:ascii="Times New Roman" w:hAnsi="Times New Roman" w:cs="Times New Roman" w:hint="eastAsia"/>
          <w:color w:val="000000"/>
          <w:lang w:val="en-GB"/>
        </w:rPr>
        <w:t>年的</w:t>
      </w:r>
      <w:r>
        <w:rPr>
          <w:rFonts w:ascii="Times New Roman" w:hAnsi="Times New Roman" w:cs="Times New Roman"/>
          <w:color w:val="000000"/>
          <w:lang w:val="en-GB"/>
        </w:rPr>
        <w:t>251.77</w:t>
      </w:r>
      <w:r>
        <w:rPr>
          <w:rFonts w:ascii="Times New Roman" w:hAnsi="Times New Roman" w:cs="Times New Roman" w:hint="eastAsia"/>
          <w:color w:val="000000"/>
          <w:lang w:val="en-GB"/>
        </w:rPr>
        <w:t>万元增加了</w:t>
      </w:r>
      <w:r>
        <w:rPr>
          <w:rFonts w:ascii="Times New Roman" w:hAnsi="Times New Roman" w:cs="Times New Roman"/>
          <w:color w:val="000000"/>
          <w:lang w:val="en-GB"/>
        </w:rPr>
        <w:t>2,285.05</w:t>
      </w:r>
      <w:r>
        <w:rPr>
          <w:rFonts w:ascii="Times New Roman" w:hAnsi="Times New Roman" w:cs="Times New Roman" w:hint="eastAsia"/>
          <w:color w:val="000000"/>
          <w:lang w:val="en-GB"/>
        </w:rPr>
        <w:t>万元，其对定制化集成业务的毛利贡献率为</w:t>
      </w:r>
      <w:r>
        <w:rPr>
          <w:rFonts w:ascii="Times New Roman" w:hAnsi="Times New Roman" w:cs="Times New Roman"/>
          <w:color w:val="000000"/>
          <w:lang w:val="en-GB"/>
        </w:rPr>
        <w:t>86.75%</w:t>
      </w:r>
      <w:r>
        <w:rPr>
          <w:rFonts w:ascii="Times New Roman" w:hAnsi="Times New Roman" w:cs="Times New Roman" w:hint="eastAsia"/>
          <w:color w:val="000000"/>
          <w:lang w:val="en-GB"/>
        </w:rPr>
        <w:t>，相比于</w:t>
      </w:r>
      <w:r>
        <w:rPr>
          <w:rFonts w:ascii="Times New Roman" w:hAnsi="Times New Roman" w:cs="Times New Roman"/>
          <w:color w:val="000000"/>
          <w:lang w:val="en-GB"/>
        </w:rPr>
        <w:t>2018</w:t>
      </w:r>
      <w:r>
        <w:rPr>
          <w:rFonts w:ascii="Times New Roman" w:hAnsi="Times New Roman" w:cs="Times New Roman" w:hint="eastAsia"/>
          <w:color w:val="000000"/>
          <w:lang w:val="en-GB"/>
        </w:rPr>
        <w:t>年的</w:t>
      </w:r>
      <w:r>
        <w:rPr>
          <w:rFonts w:ascii="Times New Roman" w:hAnsi="Times New Roman" w:cs="Times New Roman"/>
          <w:color w:val="000000"/>
          <w:lang w:val="en-GB"/>
        </w:rPr>
        <w:t>55.53%</w:t>
      </w:r>
      <w:r>
        <w:rPr>
          <w:rFonts w:ascii="Times New Roman" w:hAnsi="Times New Roman" w:cs="Times New Roman" w:hint="eastAsia"/>
          <w:color w:val="000000"/>
          <w:lang w:val="en-GB"/>
        </w:rPr>
        <w:t>增加了</w:t>
      </w:r>
      <w:r>
        <w:rPr>
          <w:rFonts w:ascii="Times New Roman" w:hAnsi="Times New Roman" w:cs="Times New Roman"/>
          <w:color w:val="000000"/>
          <w:lang w:val="en-GB"/>
        </w:rPr>
        <w:t>31.22%</w:t>
      </w:r>
      <w:r>
        <w:rPr>
          <w:rFonts w:ascii="Times New Roman" w:hAnsi="Times New Roman" w:cs="Times New Roman" w:hint="eastAsia"/>
          <w:color w:val="000000"/>
          <w:lang w:val="en-GB"/>
        </w:rPr>
        <w:t>，主要系标的公司凭借过硬</w:t>
      </w:r>
      <w:r>
        <w:rPr>
          <w:rFonts w:ascii="Times New Roman" w:hAnsi="Times New Roman" w:cs="Times New Roman" w:hint="eastAsia"/>
          <w:color w:val="000000"/>
          <w:lang w:val="en-GB"/>
        </w:rPr>
        <w:lastRenderedPageBreak/>
        <w:t>的产品质量和健全的售后服务体系，加强了与主要客户的合作关系，并且标的公司</w:t>
      </w:r>
      <w:r>
        <w:rPr>
          <w:rFonts w:ascii="Times New Roman" w:hAnsi="Times New Roman" w:cs="Times New Roman"/>
          <w:color w:val="000000"/>
          <w:lang w:val="en-GB"/>
        </w:rPr>
        <w:t>2019</w:t>
      </w:r>
      <w:r>
        <w:rPr>
          <w:rFonts w:ascii="Times New Roman" w:hAnsi="Times New Roman" w:cs="Times New Roman" w:hint="eastAsia"/>
          <w:color w:val="000000"/>
          <w:lang w:val="en-GB"/>
        </w:rPr>
        <w:t>年开始转型以智能制造装备业务为发展重点，使得其业务规模迅速增长所致。</w:t>
      </w:r>
    </w:p>
    <w:p w14:paraId="551A7C57"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2020</w:t>
      </w:r>
      <w:r>
        <w:rPr>
          <w:rFonts w:ascii="Times New Roman" w:hAnsi="Times New Roman" w:cs="Times New Roman" w:hint="eastAsia"/>
          <w:color w:val="000000"/>
          <w:lang w:val="en-GB"/>
        </w:rPr>
        <w:t>年，标的公司智能制造装备业务产生的毛利为</w:t>
      </w:r>
      <w:r>
        <w:rPr>
          <w:rFonts w:ascii="Times New Roman" w:hAnsi="Times New Roman" w:cs="Times New Roman"/>
          <w:color w:val="000000"/>
          <w:lang w:val="en-GB"/>
        </w:rPr>
        <w:t>770.75</w:t>
      </w:r>
      <w:r>
        <w:rPr>
          <w:rFonts w:ascii="Times New Roman" w:hAnsi="Times New Roman" w:cs="Times New Roman" w:hint="eastAsia"/>
          <w:color w:val="000000"/>
          <w:lang w:val="en-GB"/>
        </w:rPr>
        <w:t>万元，相比于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2,536.82</w:t>
      </w:r>
      <w:r>
        <w:rPr>
          <w:rFonts w:ascii="Times New Roman" w:hAnsi="Times New Roman" w:cs="Times New Roman" w:hint="eastAsia"/>
          <w:color w:val="000000"/>
          <w:lang w:val="en-GB"/>
        </w:rPr>
        <w:t>万元下降了</w:t>
      </w:r>
      <w:r>
        <w:rPr>
          <w:rFonts w:ascii="Times New Roman" w:hAnsi="Times New Roman" w:cs="Times New Roman"/>
          <w:color w:val="000000"/>
          <w:lang w:val="en-GB"/>
        </w:rPr>
        <w:t>1,766.07</w:t>
      </w:r>
      <w:r>
        <w:rPr>
          <w:rFonts w:ascii="Times New Roman" w:hAnsi="Times New Roman" w:cs="Times New Roman" w:hint="eastAsia"/>
          <w:color w:val="000000"/>
          <w:lang w:val="en-GB"/>
        </w:rPr>
        <w:t>万元，其对定制化集成业务的毛利贡献率为</w:t>
      </w:r>
      <w:r>
        <w:rPr>
          <w:rFonts w:ascii="Times New Roman" w:hAnsi="Times New Roman" w:cs="Times New Roman"/>
          <w:color w:val="000000"/>
          <w:lang w:val="en-GB"/>
        </w:rPr>
        <w:t>18.62%</w:t>
      </w:r>
      <w:r>
        <w:rPr>
          <w:rFonts w:ascii="Times New Roman" w:hAnsi="Times New Roman" w:cs="Times New Roman" w:hint="eastAsia"/>
          <w:color w:val="000000"/>
          <w:lang w:val="en-GB"/>
        </w:rPr>
        <w:t>，相比于</w:t>
      </w:r>
      <w:r>
        <w:rPr>
          <w:rFonts w:ascii="Times New Roman" w:hAnsi="Times New Roman" w:cs="Times New Roman"/>
          <w:color w:val="000000"/>
          <w:lang w:val="en-GB"/>
        </w:rPr>
        <w:t>2019</w:t>
      </w:r>
      <w:r>
        <w:rPr>
          <w:rFonts w:ascii="Times New Roman" w:hAnsi="Times New Roman" w:cs="Times New Roman" w:hint="eastAsia"/>
          <w:color w:val="000000"/>
          <w:lang w:val="en-GB"/>
        </w:rPr>
        <w:t>年的</w:t>
      </w:r>
      <w:r>
        <w:rPr>
          <w:rFonts w:ascii="Times New Roman" w:hAnsi="Times New Roman" w:cs="Times New Roman"/>
          <w:color w:val="000000"/>
          <w:lang w:val="en-GB"/>
        </w:rPr>
        <w:t>86.75%</w:t>
      </w:r>
      <w:r>
        <w:rPr>
          <w:rFonts w:ascii="Times New Roman" w:hAnsi="Times New Roman" w:cs="Times New Roman" w:hint="eastAsia"/>
          <w:color w:val="000000"/>
          <w:lang w:val="en-GB"/>
        </w:rPr>
        <w:t>下降了</w:t>
      </w:r>
      <w:r>
        <w:rPr>
          <w:rFonts w:ascii="Times New Roman" w:hAnsi="Times New Roman" w:cs="Times New Roman"/>
          <w:color w:val="000000"/>
          <w:lang w:val="en-GB"/>
        </w:rPr>
        <w:t>68.13%</w:t>
      </w:r>
      <w:r>
        <w:rPr>
          <w:rFonts w:ascii="Times New Roman" w:hAnsi="Times New Roman" w:cs="Times New Roman" w:hint="eastAsia"/>
          <w:color w:val="000000"/>
          <w:lang w:val="en-GB"/>
        </w:rPr>
        <w:t>，主要由于智能制造装备业务工期较长，受疫情影响，标的公司部分项目延期，无法确认收入所致。</w:t>
      </w:r>
    </w:p>
    <w:p w14:paraId="7420F68F"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9"/>
        <w:gridCol w:w="1147"/>
        <w:gridCol w:w="1467"/>
        <w:gridCol w:w="1367"/>
        <w:gridCol w:w="1549"/>
        <w:gridCol w:w="1183"/>
      </w:tblGrid>
      <w:tr w:rsidR="00C02929" w14:paraId="28C52E1A" w14:textId="77777777">
        <w:trPr>
          <w:trHeight w:val="397"/>
          <w:tblHeader/>
          <w:jc w:val="center"/>
        </w:trPr>
        <w:tc>
          <w:tcPr>
            <w:tcW w:w="1061" w:type="pct"/>
            <w:vAlign w:val="center"/>
          </w:tcPr>
          <w:p w14:paraId="2F9FCDCD"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智能制造装备业务</w:t>
            </w:r>
          </w:p>
        </w:tc>
        <w:tc>
          <w:tcPr>
            <w:tcW w:w="673" w:type="pct"/>
            <w:vAlign w:val="center"/>
          </w:tcPr>
          <w:p w14:paraId="20A70312"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2020</w:t>
            </w:r>
            <w:r>
              <w:rPr>
                <w:rFonts w:ascii="Times New Roman" w:hAnsi="Times New Roman" w:cs="Times New Roman"/>
                <w:b/>
                <w:bCs/>
                <w:color w:val="000000"/>
                <w:sz w:val="21"/>
                <w:szCs w:val="21"/>
                <w:lang w:val="en-GB"/>
              </w:rPr>
              <w:t>年度</w:t>
            </w:r>
          </w:p>
        </w:tc>
        <w:tc>
          <w:tcPr>
            <w:tcW w:w="861" w:type="pct"/>
            <w:vAlign w:val="center"/>
          </w:tcPr>
          <w:p w14:paraId="422D9BF6"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020</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802" w:type="pct"/>
            <w:vAlign w:val="center"/>
          </w:tcPr>
          <w:p w14:paraId="6AC4FEB6"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年度</w:t>
            </w:r>
          </w:p>
        </w:tc>
        <w:tc>
          <w:tcPr>
            <w:tcW w:w="909" w:type="pct"/>
            <w:vAlign w:val="center"/>
          </w:tcPr>
          <w:p w14:paraId="226C7DDC"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年较</w:t>
            </w: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年增长</w:t>
            </w:r>
          </w:p>
        </w:tc>
        <w:tc>
          <w:tcPr>
            <w:tcW w:w="694" w:type="pct"/>
            <w:vAlign w:val="center"/>
          </w:tcPr>
          <w:p w14:paraId="37253092"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年度</w:t>
            </w:r>
          </w:p>
        </w:tc>
      </w:tr>
      <w:tr w:rsidR="00C02929" w14:paraId="1F7A2C8F" w14:textId="77777777">
        <w:trPr>
          <w:trHeight w:val="397"/>
          <w:jc w:val="center"/>
        </w:trPr>
        <w:tc>
          <w:tcPr>
            <w:tcW w:w="1061" w:type="pct"/>
            <w:vAlign w:val="center"/>
          </w:tcPr>
          <w:p w14:paraId="2F8665DA"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673" w:type="pct"/>
            <w:vAlign w:val="center"/>
          </w:tcPr>
          <w:p w14:paraId="51FE1DD5"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2,354.05</w:t>
            </w:r>
          </w:p>
        </w:tc>
        <w:tc>
          <w:tcPr>
            <w:tcW w:w="861" w:type="pct"/>
            <w:vAlign w:val="center"/>
          </w:tcPr>
          <w:p w14:paraId="1CCB52B7"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-5,070.66</w:t>
            </w:r>
          </w:p>
        </w:tc>
        <w:tc>
          <w:tcPr>
            <w:tcW w:w="802" w:type="pct"/>
            <w:vAlign w:val="center"/>
          </w:tcPr>
          <w:p w14:paraId="3F310442"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7,424.71</w:t>
            </w:r>
          </w:p>
        </w:tc>
        <w:tc>
          <w:tcPr>
            <w:tcW w:w="909" w:type="pct"/>
            <w:vAlign w:val="center"/>
          </w:tcPr>
          <w:p w14:paraId="567D2048"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6,755.9</w:t>
            </w:r>
            <w:r>
              <w:rPr>
                <w:rFonts w:ascii="Times New Roman" w:eastAsia="等线" w:hAnsi="Times New Roman" w:cs="Times New Roman" w:hint="eastAsia"/>
                <w:color w:val="000000"/>
                <w:kern w:val="2"/>
                <w:sz w:val="21"/>
                <w:szCs w:val="21"/>
              </w:rPr>
              <w:t>8</w:t>
            </w:r>
          </w:p>
        </w:tc>
        <w:tc>
          <w:tcPr>
            <w:tcW w:w="694" w:type="pct"/>
            <w:vAlign w:val="center"/>
          </w:tcPr>
          <w:p w14:paraId="194C4EDD"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668.74</w:t>
            </w:r>
          </w:p>
        </w:tc>
      </w:tr>
      <w:tr w:rsidR="00C02929" w14:paraId="01A5D87C" w14:textId="77777777">
        <w:trPr>
          <w:trHeight w:val="397"/>
          <w:jc w:val="center"/>
        </w:trPr>
        <w:tc>
          <w:tcPr>
            <w:tcW w:w="1061" w:type="pct"/>
            <w:vAlign w:val="center"/>
          </w:tcPr>
          <w:p w14:paraId="2D0C2D3C"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673" w:type="pct"/>
            <w:vAlign w:val="center"/>
          </w:tcPr>
          <w:p w14:paraId="473034FB"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bCs/>
                <w:color w:val="000000"/>
                <w:kern w:val="2"/>
                <w:sz w:val="21"/>
                <w:szCs w:val="21"/>
              </w:rPr>
              <w:t>1,583.31</w:t>
            </w:r>
          </w:p>
        </w:tc>
        <w:tc>
          <w:tcPr>
            <w:tcW w:w="861" w:type="pct"/>
            <w:vAlign w:val="center"/>
          </w:tcPr>
          <w:p w14:paraId="1F6D6763"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bCs/>
                <w:color w:val="000000"/>
                <w:kern w:val="2"/>
                <w:sz w:val="21"/>
                <w:szCs w:val="21"/>
              </w:rPr>
              <w:t>-3,304.59</w:t>
            </w:r>
          </w:p>
        </w:tc>
        <w:tc>
          <w:tcPr>
            <w:tcW w:w="802" w:type="pct"/>
            <w:vAlign w:val="center"/>
          </w:tcPr>
          <w:p w14:paraId="43241183"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4,887.90</w:t>
            </w:r>
          </w:p>
        </w:tc>
        <w:tc>
          <w:tcPr>
            <w:tcW w:w="909" w:type="pct"/>
            <w:vAlign w:val="center"/>
          </w:tcPr>
          <w:p w14:paraId="59C0B28B"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4,470.93</w:t>
            </w:r>
          </w:p>
        </w:tc>
        <w:tc>
          <w:tcPr>
            <w:tcW w:w="694" w:type="pct"/>
            <w:vAlign w:val="center"/>
          </w:tcPr>
          <w:p w14:paraId="508E642C" w14:textId="77777777" w:rsidR="00C02929" w:rsidRDefault="006116D1">
            <w:pPr>
              <w:snapToGrid w:val="0"/>
              <w:jc w:val="right"/>
              <w:rPr>
                <w:rFonts w:ascii="Times New Roman" w:eastAsia="等线" w:hAnsi="Times New Roman" w:cs="Times New Roman"/>
                <w:bCs/>
                <w:color w:val="000000"/>
                <w:kern w:val="2"/>
                <w:sz w:val="21"/>
                <w:szCs w:val="21"/>
              </w:rPr>
            </w:pPr>
            <w:r>
              <w:rPr>
                <w:rFonts w:ascii="Times New Roman" w:hAnsi="Times New Roman" w:cs="Times New Roman"/>
                <w:color w:val="000000"/>
                <w:sz w:val="21"/>
                <w:szCs w:val="21"/>
              </w:rPr>
              <w:t>416.97</w:t>
            </w:r>
          </w:p>
        </w:tc>
      </w:tr>
      <w:tr w:rsidR="00C02929" w14:paraId="580E0E81" w14:textId="77777777">
        <w:trPr>
          <w:trHeight w:val="397"/>
          <w:jc w:val="center"/>
        </w:trPr>
        <w:tc>
          <w:tcPr>
            <w:tcW w:w="1061" w:type="pct"/>
            <w:vAlign w:val="center"/>
          </w:tcPr>
          <w:p w14:paraId="526EC11F"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673" w:type="pct"/>
            <w:vAlign w:val="center"/>
          </w:tcPr>
          <w:p w14:paraId="7DF3A551"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770.75</w:t>
            </w:r>
          </w:p>
        </w:tc>
        <w:tc>
          <w:tcPr>
            <w:tcW w:w="861" w:type="pct"/>
            <w:vAlign w:val="center"/>
          </w:tcPr>
          <w:p w14:paraId="0719FEAE"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-1,766.07</w:t>
            </w:r>
          </w:p>
        </w:tc>
        <w:tc>
          <w:tcPr>
            <w:tcW w:w="802" w:type="pct"/>
            <w:vAlign w:val="center"/>
          </w:tcPr>
          <w:p w14:paraId="0B4BFC35"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2,536.82</w:t>
            </w:r>
          </w:p>
        </w:tc>
        <w:tc>
          <w:tcPr>
            <w:tcW w:w="909" w:type="pct"/>
            <w:vAlign w:val="center"/>
          </w:tcPr>
          <w:p w14:paraId="7D172A0F"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2,285.05</w:t>
            </w:r>
          </w:p>
        </w:tc>
        <w:tc>
          <w:tcPr>
            <w:tcW w:w="694" w:type="pct"/>
            <w:vAlign w:val="center"/>
          </w:tcPr>
          <w:p w14:paraId="7CB5731D"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251.77</w:t>
            </w:r>
          </w:p>
        </w:tc>
      </w:tr>
      <w:tr w:rsidR="00C02929" w14:paraId="1D637EC1" w14:textId="77777777">
        <w:trPr>
          <w:trHeight w:val="397"/>
          <w:jc w:val="center"/>
        </w:trPr>
        <w:tc>
          <w:tcPr>
            <w:tcW w:w="1061" w:type="pct"/>
            <w:vAlign w:val="center"/>
          </w:tcPr>
          <w:p w14:paraId="2E4F4527"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673" w:type="pct"/>
            <w:vAlign w:val="center"/>
          </w:tcPr>
          <w:p w14:paraId="321CBE4A"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32.74%</w:t>
            </w:r>
          </w:p>
        </w:tc>
        <w:tc>
          <w:tcPr>
            <w:tcW w:w="861" w:type="pct"/>
            <w:vAlign w:val="center"/>
          </w:tcPr>
          <w:p w14:paraId="13BCDD8D"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-1.43%</w:t>
            </w:r>
          </w:p>
        </w:tc>
        <w:tc>
          <w:tcPr>
            <w:tcW w:w="802" w:type="pct"/>
            <w:vAlign w:val="center"/>
          </w:tcPr>
          <w:p w14:paraId="4F8C1455"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34.17%</w:t>
            </w:r>
          </w:p>
        </w:tc>
        <w:tc>
          <w:tcPr>
            <w:tcW w:w="909" w:type="pct"/>
            <w:vAlign w:val="center"/>
          </w:tcPr>
          <w:p w14:paraId="4BF4DDDD"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-3.48%</w:t>
            </w:r>
          </w:p>
        </w:tc>
        <w:tc>
          <w:tcPr>
            <w:tcW w:w="694" w:type="pct"/>
            <w:vAlign w:val="center"/>
          </w:tcPr>
          <w:p w14:paraId="0BF05116"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37.65%</w:t>
            </w:r>
          </w:p>
        </w:tc>
      </w:tr>
      <w:tr w:rsidR="00C02929" w14:paraId="7087AC3A" w14:textId="77777777">
        <w:trPr>
          <w:trHeight w:val="397"/>
          <w:jc w:val="center"/>
        </w:trPr>
        <w:tc>
          <w:tcPr>
            <w:tcW w:w="1061" w:type="pct"/>
            <w:vAlign w:val="center"/>
          </w:tcPr>
          <w:p w14:paraId="0D0269B7"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对定制化集成业务的毛利贡献率</w:t>
            </w:r>
          </w:p>
        </w:tc>
        <w:tc>
          <w:tcPr>
            <w:tcW w:w="673" w:type="pct"/>
            <w:vAlign w:val="center"/>
          </w:tcPr>
          <w:p w14:paraId="309E3C6A"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18.62%</w:t>
            </w:r>
          </w:p>
        </w:tc>
        <w:tc>
          <w:tcPr>
            <w:tcW w:w="861" w:type="pct"/>
            <w:vAlign w:val="center"/>
          </w:tcPr>
          <w:p w14:paraId="41808B6B"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-68.13%</w:t>
            </w:r>
          </w:p>
        </w:tc>
        <w:tc>
          <w:tcPr>
            <w:tcW w:w="802" w:type="pct"/>
            <w:vAlign w:val="center"/>
          </w:tcPr>
          <w:p w14:paraId="7B716AB3"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86.75%</w:t>
            </w:r>
          </w:p>
        </w:tc>
        <w:tc>
          <w:tcPr>
            <w:tcW w:w="909" w:type="pct"/>
            <w:vAlign w:val="center"/>
          </w:tcPr>
          <w:p w14:paraId="49174545" w14:textId="77777777" w:rsidR="00C02929" w:rsidRDefault="006116D1">
            <w:pPr>
              <w:snapToGrid w:val="0"/>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31.22%</w:t>
            </w:r>
          </w:p>
        </w:tc>
        <w:tc>
          <w:tcPr>
            <w:tcW w:w="694" w:type="pct"/>
            <w:vAlign w:val="center"/>
          </w:tcPr>
          <w:p w14:paraId="1CC945CE"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55.53%</w:t>
            </w:r>
          </w:p>
        </w:tc>
      </w:tr>
    </w:tbl>
    <w:p w14:paraId="1FE71659"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注：对定制化集成业务的毛利贡献率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智能制造装备业务的毛利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定制化集成业务总毛利。</w:t>
      </w:r>
    </w:p>
    <w:p w14:paraId="7F510FBF"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截至本核查意见出具日，北洋天青预计</w:t>
      </w:r>
      <w:r>
        <w:rPr>
          <w:rFonts w:ascii="Times New Roman" w:hAnsi="Times New Roman" w:cs="Times New Roman"/>
          <w:color w:val="000000"/>
          <w:lang w:val="en-GB"/>
        </w:rPr>
        <w:t>2021</w:t>
      </w:r>
      <w:r>
        <w:rPr>
          <w:rFonts w:ascii="Times New Roman" w:hAnsi="Times New Roman" w:cs="Times New Roman" w:hint="eastAsia"/>
          <w:color w:val="000000"/>
          <w:lang w:val="en-GB"/>
        </w:rPr>
        <w:t>年可确认在手订单收入规模达到</w:t>
      </w:r>
      <w:r>
        <w:rPr>
          <w:rFonts w:ascii="Times New Roman" w:hAnsi="Times New Roman" w:cs="Times New Roman"/>
          <w:color w:val="000000"/>
          <w:lang w:val="en-GB"/>
        </w:rPr>
        <w:t>3.13</w:t>
      </w:r>
      <w:r>
        <w:rPr>
          <w:rFonts w:ascii="Times New Roman" w:hAnsi="Times New Roman" w:cs="Times New Roman" w:hint="eastAsia"/>
          <w:color w:val="000000"/>
          <w:lang w:val="en-GB"/>
        </w:rPr>
        <w:t>亿元，其中智能制造装备业务贡献的预计可确认在手订单收入规模达到</w:t>
      </w:r>
      <w:r>
        <w:rPr>
          <w:rFonts w:ascii="Times New Roman" w:hAnsi="Times New Roman" w:cs="Times New Roman"/>
          <w:color w:val="000000"/>
          <w:lang w:val="en-GB"/>
        </w:rPr>
        <w:t>1.47</w:t>
      </w:r>
      <w:r>
        <w:rPr>
          <w:rFonts w:ascii="Times New Roman" w:hAnsi="Times New Roman" w:cs="Times New Roman" w:hint="eastAsia"/>
          <w:color w:val="000000"/>
          <w:lang w:val="en-GB"/>
        </w:rPr>
        <w:t>亿元。随着疫情影响的逐渐减小，标的公司智能制造装备业务的营业收入将会逐渐增长。</w:t>
      </w:r>
    </w:p>
    <w:p w14:paraId="63D61429"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报告期内各期，标的公司智能制造装备业务的毛利率分别为</w:t>
      </w:r>
      <w:r>
        <w:rPr>
          <w:rFonts w:ascii="Times New Roman" w:hAnsi="Times New Roman" w:cs="Times New Roman"/>
          <w:color w:val="000000"/>
          <w:lang w:val="en-GB"/>
        </w:rPr>
        <w:t>37.65%</w:t>
      </w:r>
      <w:r>
        <w:rPr>
          <w:rFonts w:ascii="Times New Roman" w:hAnsi="Times New Roman" w:cs="Times New Roman" w:hint="eastAsia"/>
          <w:color w:val="000000"/>
          <w:lang w:val="en-GB"/>
        </w:rPr>
        <w:t>、</w:t>
      </w:r>
      <w:r>
        <w:rPr>
          <w:rFonts w:ascii="Times New Roman" w:hAnsi="Times New Roman" w:cs="Times New Roman"/>
          <w:color w:val="000000"/>
          <w:lang w:val="en-GB"/>
        </w:rPr>
        <w:t>34.17%</w:t>
      </w:r>
      <w:r>
        <w:rPr>
          <w:rFonts w:ascii="Times New Roman" w:hAnsi="Times New Roman" w:cs="Times New Roman" w:hint="eastAsia"/>
          <w:color w:val="000000"/>
          <w:lang w:val="en-GB"/>
        </w:rPr>
        <w:t>和</w:t>
      </w:r>
      <w:r>
        <w:rPr>
          <w:rFonts w:ascii="Times New Roman" w:hAnsi="Times New Roman" w:cs="Times New Roman"/>
          <w:color w:val="000000"/>
          <w:lang w:val="en-GB"/>
        </w:rPr>
        <w:t>32.74%</w:t>
      </w:r>
      <w:r>
        <w:rPr>
          <w:rFonts w:ascii="Times New Roman" w:hAnsi="Times New Roman" w:cs="Times New Roman" w:hint="eastAsia"/>
          <w:color w:val="000000"/>
          <w:lang w:val="en-GB"/>
        </w:rPr>
        <w:t>，毛利率水平逐年下降，主要系标的公司基于战略目的，开拓新业务方向主动放弃部分毛利所致。</w:t>
      </w:r>
    </w:p>
    <w:p w14:paraId="26D059D0" w14:textId="77777777" w:rsidR="00C02929" w:rsidRDefault="006116D1">
      <w:pPr>
        <w:spacing w:beforeLines="50" w:before="156" w:line="360" w:lineRule="auto"/>
        <w:ind w:firstLineChars="200" w:firstLine="482"/>
        <w:jc w:val="both"/>
        <w:rPr>
          <w:rFonts w:ascii="Times New Roman" w:hAnsi="Times New Roman" w:cs="Times New Roman"/>
          <w:b/>
          <w:color w:val="000000"/>
          <w:lang w:val="en-GB"/>
        </w:rPr>
      </w:pPr>
      <w:r>
        <w:rPr>
          <w:rFonts w:ascii="Times New Roman" w:hAnsi="Times New Roman" w:cs="Times New Roman"/>
          <w:b/>
          <w:color w:val="000000"/>
          <w:lang w:val="en-GB"/>
        </w:rPr>
        <w:t>3</w:t>
      </w:r>
      <w:r>
        <w:rPr>
          <w:rFonts w:ascii="Times New Roman" w:hAnsi="Times New Roman" w:cs="Times New Roman" w:hint="eastAsia"/>
          <w:b/>
          <w:color w:val="000000"/>
          <w:lang w:val="en-GB"/>
        </w:rPr>
        <w:t>、物流悬挂输送系统业务</w:t>
      </w:r>
    </w:p>
    <w:p w14:paraId="22125023"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2018</w:t>
      </w:r>
      <w:r>
        <w:rPr>
          <w:rFonts w:ascii="Times New Roman" w:hAnsi="Times New Roman" w:cs="Times New Roman" w:hint="eastAsia"/>
          <w:color w:val="000000"/>
          <w:lang w:val="en-GB"/>
        </w:rPr>
        <w:t>年，标的公司未开展物流悬挂输送系统业务。</w:t>
      </w:r>
      <w:r>
        <w:rPr>
          <w:rFonts w:ascii="Times New Roman" w:hAnsi="Times New Roman" w:cs="Times New Roman"/>
          <w:color w:val="000000"/>
          <w:lang w:val="en-GB"/>
        </w:rPr>
        <w:t>2019</w:t>
      </w:r>
      <w:r>
        <w:rPr>
          <w:rFonts w:ascii="Times New Roman" w:hAnsi="Times New Roman" w:cs="Times New Roman" w:hint="eastAsia"/>
          <w:color w:val="000000"/>
          <w:lang w:val="en-GB"/>
        </w:rPr>
        <w:t>年、</w:t>
      </w:r>
      <w:r>
        <w:rPr>
          <w:rFonts w:ascii="Times New Roman" w:hAnsi="Times New Roman" w:cs="Times New Roman"/>
          <w:color w:val="000000"/>
          <w:lang w:val="en-GB"/>
        </w:rPr>
        <w:t>2020</w:t>
      </w:r>
      <w:r>
        <w:rPr>
          <w:rFonts w:ascii="Times New Roman" w:hAnsi="Times New Roman" w:cs="Times New Roman" w:hint="eastAsia"/>
          <w:color w:val="000000"/>
          <w:lang w:val="en-GB"/>
        </w:rPr>
        <w:t>年，标的公司物流悬挂输送系统业务产生的毛利分别为</w:t>
      </w:r>
      <w:r>
        <w:rPr>
          <w:rFonts w:ascii="Times New Roman" w:hAnsi="Times New Roman" w:cs="Times New Roman"/>
          <w:color w:val="000000"/>
          <w:lang w:val="en-GB"/>
        </w:rPr>
        <w:t>357.93</w:t>
      </w:r>
      <w:r>
        <w:rPr>
          <w:rFonts w:ascii="Times New Roman" w:hAnsi="Times New Roman" w:cs="Times New Roman" w:hint="eastAsia"/>
          <w:color w:val="000000"/>
          <w:lang w:val="en-GB"/>
        </w:rPr>
        <w:t>万元、</w:t>
      </w:r>
      <w:r>
        <w:rPr>
          <w:rFonts w:ascii="Times New Roman" w:hAnsi="Times New Roman" w:cs="Times New Roman"/>
          <w:color w:val="000000"/>
          <w:lang w:val="en-GB"/>
        </w:rPr>
        <w:t>646.13</w:t>
      </w:r>
      <w:r>
        <w:rPr>
          <w:rFonts w:ascii="Times New Roman" w:hAnsi="Times New Roman" w:cs="Times New Roman" w:hint="eastAsia"/>
          <w:color w:val="000000"/>
          <w:lang w:val="en-GB"/>
        </w:rPr>
        <w:t>万元，其对定制化集成业务的毛利贡献率分别为</w:t>
      </w:r>
      <w:r>
        <w:rPr>
          <w:rFonts w:ascii="Times New Roman" w:hAnsi="Times New Roman" w:cs="Times New Roman"/>
          <w:color w:val="000000"/>
          <w:lang w:val="en-GB"/>
        </w:rPr>
        <w:t>12.24%</w:t>
      </w:r>
      <w:r>
        <w:rPr>
          <w:rFonts w:ascii="Times New Roman" w:hAnsi="Times New Roman" w:cs="Times New Roman" w:hint="eastAsia"/>
          <w:color w:val="000000"/>
          <w:lang w:val="en-GB"/>
        </w:rPr>
        <w:t>、</w:t>
      </w:r>
      <w:r>
        <w:rPr>
          <w:rFonts w:ascii="Times New Roman" w:hAnsi="Times New Roman" w:cs="Times New Roman"/>
          <w:color w:val="000000"/>
          <w:lang w:val="en-GB"/>
        </w:rPr>
        <w:t>15.61%</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w:t>
      </w:r>
      <w:r>
        <w:rPr>
          <w:rFonts w:ascii="Times New Roman" w:hAnsi="Times New Roman" w:cs="Times New Roman"/>
          <w:color w:val="000000"/>
          <w:lang w:val="en-GB"/>
        </w:rPr>
        <w:t>2020</w:t>
      </w:r>
      <w:r>
        <w:rPr>
          <w:rFonts w:ascii="Times New Roman" w:hAnsi="Times New Roman" w:cs="Times New Roman" w:hint="eastAsia"/>
          <w:color w:val="000000"/>
          <w:lang w:val="en-GB"/>
        </w:rPr>
        <w:t>年，标的公司物流悬挂输送系统业务的毛利率分别为</w:t>
      </w:r>
      <w:r>
        <w:rPr>
          <w:rFonts w:ascii="Times New Roman" w:hAnsi="Times New Roman" w:cs="Times New Roman"/>
          <w:color w:val="000000"/>
          <w:lang w:val="en-GB"/>
        </w:rPr>
        <w:t>32.95%</w:t>
      </w:r>
      <w:r>
        <w:rPr>
          <w:rFonts w:ascii="Times New Roman" w:hAnsi="Times New Roman" w:cs="Times New Roman" w:hint="eastAsia"/>
          <w:color w:val="000000"/>
          <w:lang w:val="en-GB"/>
        </w:rPr>
        <w:t>、</w:t>
      </w:r>
      <w:r>
        <w:rPr>
          <w:rFonts w:ascii="Times New Roman" w:hAnsi="Times New Roman" w:cs="Times New Roman"/>
          <w:color w:val="000000"/>
          <w:lang w:val="en-GB"/>
        </w:rPr>
        <w:t>32.67%</w:t>
      </w:r>
      <w:r>
        <w:rPr>
          <w:rFonts w:ascii="Times New Roman" w:hAnsi="Times New Roman" w:cs="Times New Roman" w:hint="eastAsia"/>
          <w:color w:val="000000"/>
          <w:lang w:val="en-GB"/>
        </w:rPr>
        <w:t>，毛利率水平保持稳定。</w:t>
      </w:r>
    </w:p>
    <w:p w14:paraId="339924CF"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lastRenderedPageBreak/>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90"/>
        <w:gridCol w:w="1307"/>
        <w:gridCol w:w="1311"/>
        <w:gridCol w:w="1307"/>
        <w:gridCol w:w="1454"/>
        <w:gridCol w:w="1253"/>
      </w:tblGrid>
      <w:tr w:rsidR="00C02929" w14:paraId="233AF6CB" w14:textId="77777777">
        <w:trPr>
          <w:trHeight w:val="397"/>
          <w:tblHeader/>
          <w:jc w:val="center"/>
        </w:trPr>
        <w:tc>
          <w:tcPr>
            <w:tcW w:w="1109" w:type="pct"/>
            <w:vAlign w:val="center"/>
          </w:tcPr>
          <w:p w14:paraId="1525E7BA"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物流悬挂输送系统业务</w:t>
            </w:r>
          </w:p>
        </w:tc>
        <w:tc>
          <w:tcPr>
            <w:tcW w:w="767" w:type="pct"/>
            <w:vAlign w:val="center"/>
          </w:tcPr>
          <w:p w14:paraId="6A378BD5"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2020</w:t>
            </w:r>
            <w:r>
              <w:rPr>
                <w:rFonts w:ascii="Times New Roman" w:hAnsi="Times New Roman" w:cs="Times New Roman"/>
                <w:b/>
                <w:bCs/>
                <w:color w:val="000000"/>
                <w:sz w:val="21"/>
                <w:szCs w:val="21"/>
                <w:lang w:val="en-GB"/>
              </w:rPr>
              <w:t>年度</w:t>
            </w:r>
          </w:p>
        </w:tc>
        <w:tc>
          <w:tcPr>
            <w:tcW w:w="769" w:type="pct"/>
            <w:vAlign w:val="center"/>
          </w:tcPr>
          <w:p w14:paraId="6FFC4C3C"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020</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67" w:type="pct"/>
            <w:vAlign w:val="center"/>
          </w:tcPr>
          <w:p w14:paraId="3D057C2E"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年度</w:t>
            </w:r>
          </w:p>
        </w:tc>
        <w:tc>
          <w:tcPr>
            <w:tcW w:w="853" w:type="pct"/>
            <w:vAlign w:val="center"/>
          </w:tcPr>
          <w:p w14:paraId="1679B739"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2019</w:t>
            </w:r>
            <w:r>
              <w:rPr>
                <w:rFonts w:ascii="Times New Roman" w:hAnsi="Times New Roman" w:cs="Times New Roman"/>
                <w:b/>
                <w:bCs/>
                <w:color w:val="000000"/>
                <w:sz w:val="21"/>
                <w:szCs w:val="21"/>
                <w:lang w:val="en-GB"/>
              </w:rPr>
              <w:t>年较</w:t>
            </w: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年增长</w:t>
            </w:r>
          </w:p>
        </w:tc>
        <w:tc>
          <w:tcPr>
            <w:tcW w:w="735" w:type="pct"/>
            <w:vAlign w:val="center"/>
          </w:tcPr>
          <w:p w14:paraId="5676B642" w14:textId="77777777" w:rsidR="00C02929" w:rsidRDefault="006116D1">
            <w:pPr>
              <w:snapToGrid w:val="0"/>
              <w:jc w:val="center"/>
              <w:rPr>
                <w:rFonts w:ascii="Times New Roman" w:hAnsi="Times New Roman" w:cs="Times New Roman"/>
                <w:b/>
                <w:bCs/>
                <w:color w:val="000000"/>
                <w:sz w:val="21"/>
                <w:szCs w:val="21"/>
                <w:lang w:val="en-GB"/>
              </w:rPr>
            </w:pPr>
            <w:r>
              <w:rPr>
                <w:rFonts w:ascii="Times New Roman" w:hAnsi="Times New Roman" w:cs="Times New Roman"/>
                <w:b/>
                <w:bCs/>
                <w:color w:val="000000"/>
                <w:sz w:val="21"/>
                <w:szCs w:val="21"/>
                <w:lang w:val="en-GB"/>
              </w:rPr>
              <w:t>2018</w:t>
            </w:r>
            <w:r>
              <w:rPr>
                <w:rFonts w:ascii="Times New Roman" w:hAnsi="Times New Roman" w:cs="Times New Roman"/>
                <w:b/>
                <w:bCs/>
                <w:color w:val="000000"/>
                <w:sz w:val="21"/>
                <w:szCs w:val="21"/>
                <w:lang w:val="en-GB"/>
              </w:rPr>
              <w:t>年度</w:t>
            </w:r>
          </w:p>
        </w:tc>
      </w:tr>
      <w:tr w:rsidR="00C02929" w14:paraId="5724E0F1" w14:textId="77777777">
        <w:trPr>
          <w:trHeight w:val="397"/>
          <w:jc w:val="center"/>
        </w:trPr>
        <w:tc>
          <w:tcPr>
            <w:tcW w:w="1109" w:type="pct"/>
            <w:vAlign w:val="center"/>
          </w:tcPr>
          <w:p w14:paraId="281A840B"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767" w:type="pct"/>
            <w:vAlign w:val="center"/>
          </w:tcPr>
          <w:p w14:paraId="1C48599D"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1,977.61</w:t>
            </w:r>
          </w:p>
        </w:tc>
        <w:tc>
          <w:tcPr>
            <w:tcW w:w="769" w:type="pct"/>
            <w:vAlign w:val="center"/>
          </w:tcPr>
          <w:p w14:paraId="1EA297AE"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891.40</w:t>
            </w:r>
          </w:p>
        </w:tc>
        <w:tc>
          <w:tcPr>
            <w:tcW w:w="767" w:type="pct"/>
            <w:vAlign w:val="center"/>
          </w:tcPr>
          <w:p w14:paraId="5EA1B82A"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1,086.21</w:t>
            </w:r>
          </w:p>
        </w:tc>
        <w:tc>
          <w:tcPr>
            <w:tcW w:w="853" w:type="pct"/>
            <w:vAlign w:val="center"/>
          </w:tcPr>
          <w:p w14:paraId="7D2307CF"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1,086.21</w:t>
            </w:r>
          </w:p>
        </w:tc>
        <w:tc>
          <w:tcPr>
            <w:tcW w:w="735" w:type="pct"/>
            <w:vAlign w:val="center"/>
          </w:tcPr>
          <w:p w14:paraId="43EF8743"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C02929" w14:paraId="2524BDCB" w14:textId="77777777">
        <w:trPr>
          <w:trHeight w:val="397"/>
          <w:jc w:val="center"/>
        </w:trPr>
        <w:tc>
          <w:tcPr>
            <w:tcW w:w="1109" w:type="pct"/>
            <w:vAlign w:val="center"/>
          </w:tcPr>
          <w:p w14:paraId="3CD661F5"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767" w:type="pct"/>
            <w:vAlign w:val="center"/>
          </w:tcPr>
          <w:p w14:paraId="0778B6C5"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1,331.48</w:t>
            </w:r>
          </w:p>
        </w:tc>
        <w:tc>
          <w:tcPr>
            <w:tcW w:w="769" w:type="pct"/>
            <w:vAlign w:val="center"/>
          </w:tcPr>
          <w:p w14:paraId="3D0850F9"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603.20</w:t>
            </w:r>
          </w:p>
        </w:tc>
        <w:tc>
          <w:tcPr>
            <w:tcW w:w="767" w:type="pct"/>
            <w:vAlign w:val="center"/>
          </w:tcPr>
          <w:p w14:paraId="03173D26"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728.28</w:t>
            </w:r>
          </w:p>
        </w:tc>
        <w:tc>
          <w:tcPr>
            <w:tcW w:w="853" w:type="pct"/>
            <w:vAlign w:val="center"/>
          </w:tcPr>
          <w:p w14:paraId="2D91825E"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728.28</w:t>
            </w:r>
          </w:p>
        </w:tc>
        <w:tc>
          <w:tcPr>
            <w:tcW w:w="735" w:type="pct"/>
            <w:vAlign w:val="center"/>
          </w:tcPr>
          <w:p w14:paraId="42432665"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C02929" w14:paraId="62525786" w14:textId="77777777">
        <w:trPr>
          <w:trHeight w:val="397"/>
          <w:jc w:val="center"/>
        </w:trPr>
        <w:tc>
          <w:tcPr>
            <w:tcW w:w="1109" w:type="pct"/>
            <w:vAlign w:val="center"/>
          </w:tcPr>
          <w:p w14:paraId="0D91EB11"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767" w:type="pct"/>
            <w:vAlign w:val="center"/>
          </w:tcPr>
          <w:p w14:paraId="31F3A83E"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646.13</w:t>
            </w:r>
          </w:p>
        </w:tc>
        <w:tc>
          <w:tcPr>
            <w:tcW w:w="769" w:type="pct"/>
            <w:vAlign w:val="center"/>
          </w:tcPr>
          <w:p w14:paraId="6B8A2DC9"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288.20</w:t>
            </w:r>
          </w:p>
        </w:tc>
        <w:tc>
          <w:tcPr>
            <w:tcW w:w="767" w:type="pct"/>
            <w:vAlign w:val="center"/>
          </w:tcPr>
          <w:p w14:paraId="2F0B5B00"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357.93</w:t>
            </w:r>
          </w:p>
        </w:tc>
        <w:tc>
          <w:tcPr>
            <w:tcW w:w="853" w:type="pct"/>
            <w:vAlign w:val="center"/>
          </w:tcPr>
          <w:p w14:paraId="61AEE6E4"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357.93</w:t>
            </w:r>
          </w:p>
        </w:tc>
        <w:tc>
          <w:tcPr>
            <w:tcW w:w="735" w:type="pct"/>
            <w:vAlign w:val="center"/>
          </w:tcPr>
          <w:p w14:paraId="0DDC9525"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r w:rsidR="00C02929" w14:paraId="17EFE94C" w14:textId="77777777">
        <w:trPr>
          <w:trHeight w:val="397"/>
          <w:jc w:val="center"/>
        </w:trPr>
        <w:tc>
          <w:tcPr>
            <w:tcW w:w="1109" w:type="pct"/>
            <w:vAlign w:val="center"/>
          </w:tcPr>
          <w:p w14:paraId="0BF49A88"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767" w:type="pct"/>
            <w:vAlign w:val="center"/>
          </w:tcPr>
          <w:p w14:paraId="41D907A2"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32.67%</w:t>
            </w:r>
          </w:p>
        </w:tc>
        <w:tc>
          <w:tcPr>
            <w:tcW w:w="769" w:type="pct"/>
            <w:vAlign w:val="center"/>
          </w:tcPr>
          <w:p w14:paraId="3E069C7B"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-0.28%</w:t>
            </w:r>
          </w:p>
        </w:tc>
        <w:tc>
          <w:tcPr>
            <w:tcW w:w="767" w:type="pct"/>
            <w:vAlign w:val="center"/>
          </w:tcPr>
          <w:p w14:paraId="1EADF13A"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32.95%</w:t>
            </w:r>
          </w:p>
        </w:tc>
        <w:tc>
          <w:tcPr>
            <w:tcW w:w="853" w:type="pct"/>
            <w:vAlign w:val="center"/>
          </w:tcPr>
          <w:p w14:paraId="120C100C"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不适用</w:t>
            </w:r>
          </w:p>
        </w:tc>
        <w:tc>
          <w:tcPr>
            <w:tcW w:w="735" w:type="pct"/>
            <w:vAlign w:val="center"/>
          </w:tcPr>
          <w:p w14:paraId="73D044E5"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不适用</w:t>
            </w:r>
          </w:p>
        </w:tc>
      </w:tr>
      <w:tr w:rsidR="00C02929" w14:paraId="4DD47B87" w14:textId="77777777">
        <w:trPr>
          <w:trHeight w:val="397"/>
          <w:jc w:val="center"/>
        </w:trPr>
        <w:tc>
          <w:tcPr>
            <w:tcW w:w="1109" w:type="pct"/>
            <w:vAlign w:val="center"/>
          </w:tcPr>
          <w:p w14:paraId="69D5D5DC"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对定制化集成业务的毛利贡献率</w:t>
            </w:r>
          </w:p>
        </w:tc>
        <w:tc>
          <w:tcPr>
            <w:tcW w:w="767" w:type="pct"/>
            <w:vAlign w:val="center"/>
          </w:tcPr>
          <w:p w14:paraId="4B7A3D2D"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15.61%</w:t>
            </w:r>
          </w:p>
        </w:tc>
        <w:tc>
          <w:tcPr>
            <w:tcW w:w="769" w:type="pct"/>
            <w:vAlign w:val="center"/>
          </w:tcPr>
          <w:p w14:paraId="2B89C289"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3.37%</w:t>
            </w:r>
          </w:p>
        </w:tc>
        <w:tc>
          <w:tcPr>
            <w:tcW w:w="767" w:type="pct"/>
            <w:vAlign w:val="center"/>
          </w:tcPr>
          <w:p w14:paraId="5EF8DDC8"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kern w:val="2"/>
                <w:sz w:val="21"/>
                <w:szCs w:val="21"/>
              </w:rPr>
              <w:t>12.24%</w:t>
            </w:r>
          </w:p>
        </w:tc>
        <w:tc>
          <w:tcPr>
            <w:tcW w:w="853" w:type="pct"/>
            <w:vAlign w:val="center"/>
          </w:tcPr>
          <w:p w14:paraId="0C611D99"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12.24%</w:t>
            </w:r>
          </w:p>
        </w:tc>
        <w:tc>
          <w:tcPr>
            <w:tcW w:w="735" w:type="pct"/>
            <w:vAlign w:val="center"/>
          </w:tcPr>
          <w:p w14:paraId="04B92531" w14:textId="77777777" w:rsidR="00C02929" w:rsidRDefault="006116D1">
            <w:pPr>
              <w:snapToGrid w:val="0"/>
              <w:jc w:val="right"/>
              <w:rPr>
                <w:rFonts w:ascii="Times New Roman" w:hAnsi="Times New Roman" w:cs="Times New Roman"/>
                <w:color w:val="000000"/>
                <w:kern w:val="2"/>
                <w:sz w:val="21"/>
                <w:szCs w:val="21"/>
              </w:rPr>
            </w:pPr>
            <w:r>
              <w:rPr>
                <w:rFonts w:ascii="Times New Roman" w:hAnsi="Times New Roman" w:cs="Times New Roman"/>
                <w:color w:val="000000"/>
                <w:kern w:val="2"/>
                <w:sz w:val="21"/>
                <w:szCs w:val="21"/>
              </w:rPr>
              <w:t>-</w:t>
            </w:r>
          </w:p>
        </w:tc>
      </w:tr>
    </w:tbl>
    <w:bookmarkEnd w:id="57"/>
    <w:p w14:paraId="6B93C2C1"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注：对定制化集成业务的毛利贡献率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物流悬挂输送系统业务的毛利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定制化集成业务总毛利。</w:t>
      </w:r>
    </w:p>
    <w:p w14:paraId="1EA368B7"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二、机器人及配套业务毛利率持续下降的原因</w:t>
      </w:r>
    </w:p>
    <w:p w14:paraId="7DF4FF08"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t>2018</w:t>
      </w:r>
      <w:r>
        <w:rPr>
          <w:rFonts w:ascii="Times New Roman" w:hAnsi="Times New Roman" w:cs="Times New Roman" w:hint="eastAsia"/>
          <w:color w:val="000000"/>
          <w:lang w:val="en-GB"/>
        </w:rPr>
        <w:t>年、</w:t>
      </w:r>
      <w:r>
        <w:rPr>
          <w:rFonts w:ascii="Times New Roman" w:hAnsi="Times New Roman" w:cs="Times New Roman"/>
          <w:color w:val="000000"/>
          <w:lang w:val="en-GB"/>
        </w:rPr>
        <w:t>2019</w:t>
      </w:r>
      <w:r>
        <w:rPr>
          <w:rFonts w:ascii="Times New Roman" w:hAnsi="Times New Roman" w:cs="Times New Roman" w:hint="eastAsia"/>
          <w:color w:val="000000"/>
          <w:lang w:val="en-GB"/>
        </w:rPr>
        <w:t>年和</w:t>
      </w:r>
      <w:r>
        <w:rPr>
          <w:rFonts w:ascii="Times New Roman" w:hAnsi="Times New Roman" w:cs="Times New Roman"/>
          <w:color w:val="000000"/>
          <w:lang w:val="en-GB"/>
        </w:rPr>
        <w:t>2020</w:t>
      </w:r>
      <w:r>
        <w:rPr>
          <w:rFonts w:ascii="Times New Roman" w:hAnsi="Times New Roman" w:cs="Times New Roman" w:hint="eastAsia"/>
          <w:color w:val="000000"/>
          <w:lang w:val="en-GB"/>
        </w:rPr>
        <w:t>年，北洋天青公司机器人及配套业务的毛利率分别为</w:t>
      </w:r>
      <w:r>
        <w:rPr>
          <w:rFonts w:ascii="Times New Roman" w:hAnsi="Times New Roman" w:cs="Times New Roman"/>
          <w:color w:val="000000"/>
          <w:lang w:val="en-GB"/>
        </w:rPr>
        <w:t>29.51%</w:t>
      </w:r>
      <w:r>
        <w:rPr>
          <w:rFonts w:ascii="Times New Roman" w:hAnsi="Times New Roman" w:cs="Times New Roman" w:hint="eastAsia"/>
          <w:color w:val="000000"/>
          <w:lang w:val="en-GB"/>
        </w:rPr>
        <w:t>、</w:t>
      </w:r>
      <w:r>
        <w:rPr>
          <w:rFonts w:ascii="Times New Roman" w:hAnsi="Times New Roman" w:cs="Times New Roman"/>
          <w:color w:val="000000"/>
          <w:lang w:val="en-GB"/>
        </w:rPr>
        <w:t>27.50%</w:t>
      </w:r>
      <w:r>
        <w:rPr>
          <w:rFonts w:ascii="Times New Roman" w:hAnsi="Times New Roman" w:cs="Times New Roman" w:hint="eastAsia"/>
          <w:color w:val="000000"/>
          <w:lang w:val="en-GB"/>
        </w:rPr>
        <w:t>和</w:t>
      </w:r>
      <w:r>
        <w:rPr>
          <w:rFonts w:ascii="Times New Roman" w:hAnsi="Times New Roman" w:cs="Times New Roman"/>
          <w:color w:val="000000"/>
          <w:lang w:val="en-GB"/>
        </w:rPr>
        <w:t>24.00%</w:t>
      </w:r>
      <w:r>
        <w:rPr>
          <w:rFonts w:ascii="Times New Roman" w:hAnsi="Times New Roman" w:cs="Times New Roman" w:hint="eastAsia"/>
          <w:color w:val="000000"/>
          <w:lang w:val="en-GB"/>
        </w:rPr>
        <w:t>，毛利率逐年下降，主要系机器人集成应用业务中毛利率较低的含冲压机冲压连线项目占比逐年上升。</w:t>
      </w:r>
    </w:p>
    <w:p w14:paraId="3AE8CBD8"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42"/>
        <w:gridCol w:w="994"/>
        <w:gridCol w:w="992"/>
        <w:gridCol w:w="845"/>
        <w:gridCol w:w="899"/>
        <w:gridCol w:w="951"/>
        <w:gridCol w:w="899"/>
      </w:tblGrid>
      <w:tr w:rsidR="00C02929" w14:paraId="55B69D7B" w14:textId="77777777">
        <w:trPr>
          <w:trHeight w:val="397"/>
          <w:tblHeader/>
          <w:jc w:val="center"/>
        </w:trPr>
        <w:tc>
          <w:tcPr>
            <w:tcW w:w="1727" w:type="pct"/>
            <w:vMerge w:val="restart"/>
            <w:tcBorders>
              <w:top w:val="single" w:sz="12" w:space="0" w:color="auto"/>
              <w:left w:val="nil"/>
              <w:bottom w:val="single" w:sz="4" w:space="0" w:color="auto"/>
              <w:right w:val="single" w:sz="4" w:space="0" w:color="auto"/>
            </w:tcBorders>
            <w:vAlign w:val="center"/>
          </w:tcPr>
          <w:p w14:paraId="0FE0F3B7"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机器人及配套业务</w:t>
            </w:r>
          </w:p>
        </w:tc>
        <w:tc>
          <w:tcPr>
            <w:tcW w:w="1165" w:type="pct"/>
            <w:gridSpan w:val="2"/>
            <w:tcBorders>
              <w:top w:val="single" w:sz="12" w:space="0" w:color="auto"/>
              <w:left w:val="single" w:sz="4" w:space="0" w:color="auto"/>
              <w:bottom w:val="single" w:sz="4" w:space="0" w:color="auto"/>
              <w:right w:val="single" w:sz="4" w:space="0" w:color="auto"/>
            </w:tcBorders>
          </w:tcPr>
          <w:p w14:paraId="43F26994"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年度</w:t>
            </w:r>
          </w:p>
        </w:tc>
        <w:tc>
          <w:tcPr>
            <w:tcW w:w="1023" w:type="pct"/>
            <w:gridSpan w:val="2"/>
            <w:tcBorders>
              <w:top w:val="single" w:sz="12" w:space="0" w:color="auto"/>
              <w:left w:val="single" w:sz="4" w:space="0" w:color="auto"/>
              <w:bottom w:val="single" w:sz="4" w:space="0" w:color="auto"/>
              <w:right w:val="single" w:sz="4" w:space="0" w:color="auto"/>
            </w:tcBorders>
          </w:tcPr>
          <w:p w14:paraId="45C93226"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085" w:type="pct"/>
            <w:gridSpan w:val="2"/>
            <w:tcBorders>
              <w:top w:val="single" w:sz="12" w:space="0" w:color="auto"/>
              <w:left w:val="single" w:sz="4" w:space="0" w:color="auto"/>
              <w:bottom w:val="single" w:sz="4" w:space="0" w:color="auto"/>
              <w:right w:val="nil"/>
            </w:tcBorders>
          </w:tcPr>
          <w:p w14:paraId="5295BE69"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C02929" w14:paraId="0F6051BD" w14:textId="77777777">
        <w:trPr>
          <w:trHeight w:val="397"/>
          <w:tblHeader/>
          <w:jc w:val="center"/>
        </w:trPr>
        <w:tc>
          <w:tcPr>
            <w:tcW w:w="1727" w:type="pct"/>
            <w:vMerge/>
            <w:tcBorders>
              <w:top w:val="single" w:sz="12" w:space="0" w:color="auto"/>
              <w:left w:val="nil"/>
              <w:bottom w:val="single" w:sz="4" w:space="0" w:color="auto"/>
              <w:right w:val="single" w:sz="4" w:space="0" w:color="auto"/>
            </w:tcBorders>
            <w:vAlign w:val="center"/>
          </w:tcPr>
          <w:p w14:paraId="59C461A2" w14:textId="77777777" w:rsidR="00C02929" w:rsidRDefault="00C02929">
            <w:pPr>
              <w:rPr>
                <w:rFonts w:ascii="Times New Roman" w:hAnsi="Times New Roman" w:cs="Times New Roman"/>
                <w:b/>
                <w:bCs/>
                <w:color w:val="000000"/>
                <w:sz w:val="21"/>
                <w:szCs w:val="21"/>
              </w:rPr>
            </w:pPr>
          </w:p>
        </w:tc>
        <w:tc>
          <w:tcPr>
            <w:tcW w:w="583" w:type="pct"/>
            <w:tcBorders>
              <w:top w:val="single" w:sz="4" w:space="0" w:color="auto"/>
              <w:left w:val="single" w:sz="4" w:space="0" w:color="auto"/>
              <w:bottom w:val="single" w:sz="4" w:space="0" w:color="auto"/>
              <w:right w:val="single" w:sz="4" w:space="0" w:color="auto"/>
            </w:tcBorders>
            <w:noWrap/>
            <w:vAlign w:val="center"/>
          </w:tcPr>
          <w:p w14:paraId="5DE2578C"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82" w:type="pct"/>
            <w:tcBorders>
              <w:top w:val="single" w:sz="4" w:space="0" w:color="auto"/>
              <w:left w:val="single" w:sz="4" w:space="0" w:color="auto"/>
              <w:bottom w:val="single" w:sz="4" w:space="0" w:color="auto"/>
              <w:right w:val="single" w:sz="4" w:space="0" w:color="auto"/>
            </w:tcBorders>
            <w:noWrap/>
            <w:vAlign w:val="center"/>
          </w:tcPr>
          <w:p w14:paraId="4F456B94"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496" w:type="pct"/>
            <w:tcBorders>
              <w:top w:val="single" w:sz="4" w:space="0" w:color="auto"/>
              <w:left w:val="single" w:sz="4" w:space="0" w:color="auto"/>
              <w:bottom w:val="single" w:sz="4" w:space="0" w:color="auto"/>
              <w:right w:val="single" w:sz="4" w:space="0" w:color="auto"/>
            </w:tcBorders>
            <w:noWrap/>
            <w:vAlign w:val="center"/>
          </w:tcPr>
          <w:p w14:paraId="353CDED0"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single" w:sz="4" w:space="0" w:color="auto"/>
            </w:tcBorders>
            <w:noWrap/>
            <w:vAlign w:val="center"/>
          </w:tcPr>
          <w:p w14:paraId="7B3CA76D"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558" w:type="pct"/>
            <w:tcBorders>
              <w:top w:val="single" w:sz="4" w:space="0" w:color="auto"/>
              <w:left w:val="single" w:sz="4" w:space="0" w:color="auto"/>
              <w:bottom w:val="single" w:sz="4" w:space="0" w:color="auto"/>
              <w:right w:val="single" w:sz="4" w:space="0" w:color="auto"/>
            </w:tcBorders>
            <w:noWrap/>
            <w:vAlign w:val="center"/>
          </w:tcPr>
          <w:p w14:paraId="60F006F1"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nil"/>
            </w:tcBorders>
            <w:noWrap/>
            <w:vAlign w:val="center"/>
          </w:tcPr>
          <w:p w14:paraId="73473F9D"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C02929" w14:paraId="37A90AB6"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7D2C821E"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机器人本体销售</w:t>
            </w:r>
          </w:p>
        </w:tc>
        <w:tc>
          <w:tcPr>
            <w:tcW w:w="583" w:type="pct"/>
            <w:tcBorders>
              <w:top w:val="single" w:sz="4" w:space="0" w:color="auto"/>
              <w:left w:val="single" w:sz="4" w:space="0" w:color="auto"/>
              <w:bottom w:val="single" w:sz="4" w:space="0" w:color="auto"/>
              <w:right w:val="single" w:sz="4" w:space="0" w:color="auto"/>
            </w:tcBorders>
            <w:vAlign w:val="center"/>
          </w:tcPr>
          <w:p w14:paraId="2F88BD86"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4.46</w:t>
            </w:r>
          </w:p>
        </w:tc>
        <w:tc>
          <w:tcPr>
            <w:tcW w:w="582" w:type="pct"/>
            <w:tcBorders>
              <w:top w:val="single" w:sz="4" w:space="0" w:color="auto"/>
              <w:left w:val="single" w:sz="4" w:space="0" w:color="auto"/>
              <w:bottom w:val="single" w:sz="4" w:space="0" w:color="auto"/>
              <w:right w:val="single" w:sz="4" w:space="0" w:color="auto"/>
            </w:tcBorders>
            <w:vAlign w:val="center"/>
          </w:tcPr>
          <w:p w14:paraId="2BDB84A3"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4.17%</w:t>
            </w:r>
          </w:p>
        </w:tc>
        <w:tc>
          <w:tcPr>
            <w:tcW w:w="496" w:type="pct"/>
            <w:tcBorders>
              <w:top w:val="single" w:sz="4" w:space="0" w:color="auto"/>
              <w:left w:val="single" w:sz="4" w:space="0" w:color="auto"/>
              <w:bottom w:val="single" w:sz="4" w:space="0" w:color="auto"/>
              <w:right w:val="single" w:sz="4" w:space="0" w:color="auto"/>
            </w:tcBorders>
            <w:vAlign w:val="center"/>
          </w:tcPr>
          <w:p w14:paraId="1F7C3B95"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7.37</w:t>
            </w:r>
          </w:p>
        </w:tc>
        <w:tc>
          <w:tcPr>
            <w:tcW w:w="527" w:type="pct"/>
            <w:tcBorders>
              <w:top w:val="single" w:sz="4" w:space="0" w:color="auto"/>
              <w:left w:val="single" w:sz="4" w:space="0" w:color="auto"/>
              <w:bottom w:val="single" w:sz="4" w:space="0" w:color="auto"/>
              <w:right w:val="single" w:sz="4" w:space="0" w:color="auto"/>
            </w:tcBorders>
            <w:vAlign w:val="center"/>
          </w:tcPr>
          <w:p w14:paraId="7C0678D9"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6.06%</w:t>
            </w:r>
          </w:p>
        </w:tc>
        <w:tc>
          <w:tcPr>
            <w:tcW w:w="558" w:type="pct"/>
            <w:tcBorders>
              <w:top w:val="single" w:sz="4" w:space="0" w:color="auto"/>
              <w:left w:val="single" w:sz="4" w:space="0" w:color="auto"/>
              <w:bottom w:val="single" w:sz="4" w:space="0" w:color="auto"/>
              <w:right w:val="single" w:sz="4" w:space="0" w:color="auto"/>
            </w:tcBorders>
            <w:vAlign w:val="center"/>
          </w:tcPr>
          <w:p w14:paraId="1F57261A"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6D5D844A"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C02929" w14:paraId="3755BA61"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6B0CBD75"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机器人集成应用</w:t>
            </w:r>
          </w:p>
        </w:tc>
        <w:tc>
          <w:tcPr>
            <w:tcW w:w="583" w:type="pct"/>
            <w:tcBorders>
              <w:top w:val="single" w:sz="4" w:space="0" w:color="auto"/>
              <w:left w:val="single" w:sz="4" w:space="0" w:color="auto"/>
              <w:bottom w:val="single" w:sz="4" w:space="0" w:color="auto"/>
              <w:right w:val="single" w:sz="4" w:space="0" w:color="auto"/>
            </w:tcBorders>
            <w:vAlign w:val="center"/>
          </w:tcPr>
          <w:p w14:paraId="62CD2D6F"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1,611.34</w:t>
            </w:r>
          </w:p>
        </w:tc>
        <w:tc>
          <w:tcPr>
            <w:tcW w:w="582" w:type="pct"/>
            <w:tcBorders>
              <w:top w:val="single" w:sz="4" w:space="0" w:color="auto"/>
              <w:left w:val="single" w:sz="4" w:space="0" w:color="auto"/>
              <w:bottom w:val="single" w:sz="4" w:space="0" w:color="auto"/>
              <w:right w:val="single" w:sz="4" w:space="0" w:color="auto"/>
            </w:tcBorders>
            <w:vAlign w:val="center"/>
          </w:tcPr>
          <w:p w14:paraId="7454E5F2"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24.32%</w:t>
            </w:r>
          </w:p>
        </w:tc>
        <w:tc>
          <w:tcPr>
            <w:tcW w:w="496" w:type="pct"/>
            <w:tcBorders>
              <w:top w:val="single" w:sz="4" w:space="0" w:color="auto"/>
              <w:left w:val="single" w:sz="4" w:space="0" w:color="auto"/>
              <w:bottom w:val="single" w:sz="4" w:space="0" w:color="auto"/>
              <w:right w:val="single" w:sz="4" w:space="0" w:color="auto"/>
            </w:tcBorders>
            <w:vAlign w:val="center"/>
          </w:tcPr>
          <w:p w14:paraId="780660F5"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468.59</w:t>
            </w:r>
          </w:p>
        </w:tc>
        <w:tc>
          <w:tcPr>
            <w:tcW w:w="527" w:type="pct"/>
            <w:tcBorders>
              <w:top w:val="single" w:sz="4" w:space="0" w:color="auto"/>
              <w:left w:val="single" w:sz="4" w:space="0" w:color="auto"/>
              <w:bottom w:val="single" w:sz="4" w:space="0" w:color="auto"/>
              <w:right w:val="single" w:sz="4" w:space="0" w:color="auto"/>
            </w:tcBorders>
            <w:vAlign w:val="center"/>
          </w:tcPr>
          <w:p w14:paraId="27C29483"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28.68%</w:t>
            </w:r>
          </w:p>
        </w:tc>
        <w:tc>
          <w:tcPr>
            <w:tcW w:w="558" w:type="pct"/>
            <w:tcBorders>
              <w:top w:val="single" w:sz="4" w:space="0" w:color="auto"/>
              <w:left w:val="single" w:sz="4" w:space="0" w:color="auto"/>
              <w:bottom w:val="single" w:sz="4" w:space="0" w:color="auto"/>
              <w:right w:val="single" w:sz="4" w:space="0" w:color="auto"/>
            </w:tcBorders>
            <w:vAlign w:val="center"/>
          </w:tcPr>
          <w:p w14:paraId="6EC822A7"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1,539.28</w:t>
            </w:r>
          </w:p>
        </w:tc>
        <w:tc>
          <w:tcPr>
            <w:tcW w:w="527" w:type="pct"/>
            <w:tcBorders>
              <w:top w:val="single" w:sz="4" w:space="0" w:color="auto"/>
              <w:left w:val="single" w:sz="4" w:space="0" w:color="auto"/>
              <w:bottom w:val="single" w:sz="4" w:space="0" w:color="auto"/>
              <w:right w:val="nil"/>
            </w:tcBorders>
            <w:noWrap/>
            <w:vAlign w:val="center"/>
          </w:tcPr>
          <w:p w14:paraId="0EE6624C"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29.51%</w:t>
            </w:r>
          </w:p>
        </w:tc>
      </w:tr>
      <w:tr w:rsidR="00C02929" w14:paraId="586B04D6"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6EDBDAA0" w14:textId="77777777" w:rsidR="00C02929" w:rsidRDefault="006116D1">
            <w:pPr>
              <w:snapToGrid w:val="0"/>
              <w:ind w:firstLineChars="200" w:firstLine="42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t>非冲压连线项目</w:t>
            </w:r>
          </w:p>
        </w:tc>
        <w:tc>
          <w:tcPr>
            <w:tcW w:w="583" w:type="pct"/>
            <w:tcBorders>
              <w:top w:val="single" w:sz="4" w:space="0" w:color="auto"/>
              <w:left w:val="single" w:sz="4" w:space="0" w:color="auto"/>
              <w:bottom w:val="single" w:sz="4" w:space="0" w:color="auto"/>
              <w:right w:val="single" w:sz="4" w:space="0" w:color="auto"/>
            </w:tcBorders>
            <w:vAlign w:val="center"/>
          </w:tcPr>
          <w:p w14:paraId="035F1F98"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513.05</w:t>
            </w:r>
          </w:p>
        </w:tc>
        <w:tc>
          <w:tcPr>
            <w:tcW w:w="582" w:type="pct"/>
            <w:tcBorders>
              <w:top w:val="single" w:sz="4" w:space="0" w:color="auto"/>
              <w:left w:val="single" w:sz="4" w:space="0" w:color="auto"/>
              <w:bottom w:val="single" w:sz="4" w:space="0" w:color="auto"/>
              <w:right w:val="single" w:sz="4" w:space="0" w:color="auto"/>
            </w:tcBorders>
            <w:vAlign w:val="center"/>
          </w:tcPr>
          <w:p w14:paraId="734BBA3F"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32.46%</w:t>
            </w:r>
          </w:p>
        </w:tc>
        <w:tc>
          <w:tcPr>
            <w:tcW w:w="496" w:type="pct"/>
            <w:tcBorders>
              <w:top w:val="single" w:sz="4" w:space="0" w:color="auto"/>
              <w:left w:val="single" w:sz="4" w:space="0" w:color="auto"/>
              <w:bottom w:val="single" w:sz="4" w:space="0" w:color="auto"/>
              <w:right w:val="single" w:sz="4" w:space="0" w:color="auto"/>
            </w:tcBorders>
            <w:vAlign w:val="center"/>
          </w:tcPr>
          <w:p w14:paraId="3B34ED49"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422.93</w:t>
            </w:r>
          </w:p>
        </w:tc>
        <w:tc>
          <w:tcPr>
            <w:tcW w:w="527" w:type="pct"/>
            <w:tcBorders>
              <w:top w:val="single" w:sz="4" w:space="0" w:color="auto"/>
              <w:left w:val="single" w:sz="4" w:space="0" w:color="auto"/>
              <w:bottom w:val="single" w:sz="4" w:space="0" w:color="auto"/>
              <w:right w:val="single" w:sz="4" w:space="0" w:color="auto"/>
            </w:tcBorders>
            <w:vAlign w:val="center"/>
          </w:tcPr>
          <w:p w14:paraId="787FE0A8"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34.40%</w:t>
            </w:r>
          </w:p>
        </w:tc>
        <w:tc>
          <w:tcPr>
            <w:tcW w:w="558" w:type="pct"/>
            <w:tcBorders>
              <w:top w:val="single" w:sz="4" w:space="0" w:color="auto"/>
              <w:left w:val="single" w:sz="4" w:space="0" w:color="auto"/>
              <w:bottom w:val="single" w:sz="4" w:space="0" w:color="auto"/>
              <w:right w:val="single" w:sz="4" w:space="0" w:color="auto"/>
            </w:tcBorders>
            <w:vAlign w:val="center"/>
          </w:tcPr>
          <w:p w14:paraId="5CDA96BF"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1,488.17</w:t>
            </w:r>
          </w:p>
        </w:tc>
        <w:tc>
          <w:tcPr>
            <w:tcW w:w="527" w:type="pct"/>
            <w:tcBorders>
              <w:top w:val="single" w:sz="4" w:space="0" w:color="auto"/>
              <w:left w:val="single" w:sz="4" w:space="0" w:color="auto"/>
              <w:bottom w:val="single" w:sz="4" w:space="0" w:color="auto"/>
              <w:right w:val="nil"/>
            </w:tcBorders>
            <w:noWrap/>
            <w:vAlign w:val="center"/>
          </w:tcPr>
          <w:p w14:paraId="48D61832"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30.00%</w:t>
            </w:r>
          </w:p>
        </w:tc>
      </w:tr>
      <w:tr w:rsidR="00C02929" w14:paraId="6027ED2D"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1CA57B4F" w14:textId="77777777" w:rsidR="00C02929" w:rsidRDefault="006116D1">
            <w:pPr>
              <w:snapToGrid w:val="0"/>
              <w:ind w:firstLineChars="200" w:firstLine="420"/>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含冲压机冲压连线项目</w:t>
            </w:r>
          </w:p>
        </w:tc>
        <w:tc>
          <w:tcPr>
            <w:tcW w:w="583" w:type="pct"/>
            <w:tcBorders>
              <w:top w:val="single" w:sz="4" w:space="0" w:color="auto"/>
              <w:left w:val="single" w:sz="4" w:space="0" w:color="auto"/>
              <w:bottom w:val="single" w:sz="4" w:space="0" w:color="auto"/>
              <w:right w:val="single" w:sz="4" w:space="0" w:color="auto"/>
            </w:tcBorders>
            <w:vAlign w:val="center"/>
          </w:tcPr>
          <w:p w14:paraId="137838F4"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1,098.29</w:t>
            </w:r>
          </w:p>
        </w:tc>
        <w:tc>
          <w:tcPr>
            <w:tcW w:w="582" w:type="pct"/>
            <w:tcBorders>
              <w:top w:val="single" w:sz="4" w:space="0" w:color="auto"/>
              <w:left w:val="single" w:sz="4" w:space="0" w:color="auto"/>
              <w:bottom w:val="single" w:sz="4" w:space="0" w:color="auto"/>
              <w:right w:val="single" w:sz="4" w:space="0" w:color="auto"/>
            </w:tcBorders>
            <w:vAlign w:val="center"/>
          </w:tcPr>
          <w:p w14:paraId="062DA569"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21.77%</w:t>
            </w:r>
          </w:p>
        </w:tc>
        <w:tc>
          <w:tcPr>
            <w:tcW w:w="496" w:type="pct"/>
            <w:tcBorders>
              <w:top w:val="single" w:sz="4" w:space="0" w:color="auto"/>
              <w:left w:val="single" w:sz="4" w:space="0" w:color="auto"/>
              <w:bottom w:val="single" w:sz="4" w:space="0" w:color="auto"/>
              <w:right w:val="single" w:sz="4" w:space="0" w:color="auto"/>
            </w:tcBorders>
            <w:vAlign w:val="center"/>
          </w:tcPr>
          <w:p w14:paraId="202F6C89"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45.65</w:t>
            </w:r>
          </w:p>
        </w:tc>
        <w:tc>
          <w:tcPr>
            <w:tcW w:w="527" w:type="pct"/>
            <w:tcBorders>
              <w:top w:val="single" w:sz="4" w:space="0" w:color="auto"/>
              <w:left w:val="single" w:sz="4" w:space="0" w:color="auto"/>
              <w:bottom w:val="single" w:sz="4" w:space="0" w:color="auto"/>
              <w:right w:val="single" w:sz="4" w:space="0" w:color="auto"/>
            </w:tcBorders>
            <w:vAlign w:val="center"/>
          </w:tcPr>
          <w:p w14:paraId="566390DF"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11.28%</w:t>
            </w:r>
          </w:p>
        </w:tc>
        <w:tc>
          <w:tcPr>
            <w:tcW w:w="558" w:type="pct"/>
            <w:tcBorders>
              <w:top w:val="single" w:sz="4" w:space="0" w:color="auto"/>
              <w:left w:val="single" w:sz="4" w:space="0" w:color="auto"/>
              <w:bottom w:val="single" w:sz="4" w:space="0" w:color="auto"/>
              <w:right w:val="single" w:sz="4" w:space="0" w:color="auto"/>
            </w:tcBorders>
            <w:vAlign w:val="center"/>
          </w:tcPr>
          <w:p w14:paraId="44B99154"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51.11</w:t>
            </w:r>
          </w:p>
        </w:tc>
        <w:tc>
          <w:tcPr>
            <w:tcW w:w="527" w:type="pct"/>
            <w:tcBorders>
              <w:top w:val="single" w:sz="4" w:space="0" w:color="auto"/>
              <w:left w:val="single" w:sz="4" w:space="0" w:color="auto"/>
              <w:bottom w:val="single" w:sz="4" w:space="0" w:color="auto"/>
              <w:right w:val="nil"/>
            </w:tcBorders>
            <w:noWrap/>
            <w:vAlign w:val="center"/>
          </w:tcPr>
          <w:p w14:paraId="1E0926F3"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20.00%</w:t>
            </w:r>
          </w:p>
        </w:tc>
      </w:tr>
      <w:tr w:rsidR="00C02929" w14:paraId="787FEB64"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76C2BA53"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机器人维保</w:t>
            </w:r>
          </w:p>
        </w:tc>
        <w:tc>
          <w:tcPr>
            <w:tcW w:w="583" w:type="pct"/>
            <w:tcBorders>
              <w:top w:val="single" w:sz="4" w:space="0" w:color="auto"/>
              <w:left w:val="single" w:sz="4" w:space="0" w:color="auto"/>
              <w:bottom w:val="single" w:sz="4" w:space="0" w:color="auto"/>
              <w:right w:val="single" w:sz="4" w:space="0" w:color="auto"/>
            </w:tcBorders>
            <w:vAlign w:val="center"/>
          </w:tcPr>
          <w:p w14:paraId="27730055"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82" w:type="pct"/>
            <w:tcBorders>
              <w:top w:val="single" w:sz="4" w:space="0" w:color="auto"/>
              <w:left w:val="single" w:sz="4" w:space="0" w:color="auto"/>
              <w:bottom w:val="single" w:sz="4" w:space="0" w:color="auto"/>
              <w:right w:val="single" w:sz="4" w:space="0" w:color="auto"/>
            </w:tcBorders>
            <w:vAlign w:val="center"/>
          </w:tcPr>
          <w:p w14:paraId="01E0923A"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496" w:type="pct"/>
            <w:tcBorders>
              <w:top w:val="single" w:sz="4" w:space="0" w:color="auto"/>
              <w:left w:val="single" w:sz="4" w:space="0" w:color="auto"/>
              <w:bottom w:val="single" w:sz="4" w:space="0" w:color="auto"/>
              <w:right w:val="single" w:sz="4" w:space="0" w:color="auto"/>
            </w:tcBorders>
            <w:vAlign w:val="center"/>
          </w:tcPr>
          <w:p w14:paraId="1F566A47"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14.02</w:t>
            </w:r>
          </w:p>
        </w:tc>
        <w:tc>
          <w:tcPr>
            <w:tcW w:w="527" w:type="pct"/>
            <w:tcBorders>
              <w:top w:val="single" w:sz="4" w:space="0" w:color="auto"/>
              <w:left w:val="single" w:sz="4" w:space="0" w:color="auto"/>
              <w:bottom w:val="single" w:sz="4" w:space="0" w:color="auto"/>
              <w:right w:val="single" w:sz="4" w:space="0" w:color="auto"/>
            </w:tcBorders>
            <w:vAlign w:val="center"/>
          </w:tcPr>
          <w:p w14:paraId="5137E9E8"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53.82%</w:t>
            </w:r>
          </w:p>
        </w:tc>
        <w:tc>
          <w:tcPr>
            <w:tcW w:w="558" w:type="pct"/>
            <w:tcBorders>
              <w:top w:val="single" w:sz="4" w:space="0" w:color="auto"/>
              <w:left w:val="single" w:sz="4" w:space="0" w:color="auto"/>
              <w:bottom w:val="single" w:sz="4" w:space="0" w:color="auto"/>
              <w:right w:val="single" w:sz="4" w:space="0" w:color="auto"/>
            </w:tcBorders>
            <w:vAlign w:val="center"/>
          </w:tcPr>
          <w:p w14:paraId="69153807"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6E136112"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C02929" w14:paraId="44EF37B8" w14:textId="77777777">
        <w:trPr>
          <w:trHeight w:val="397"/>
          <w:jc w:val="center"/>
        </w:trPr>
        <w:tc>
          <w:tcPr>
            <w:tcW w:w="1727" w:type="pct"/>
            <w:tcBorders>
              <w:top w:val="single" w:sz="4" w:space="0" w:color="auto"/>
              <w:left w:val="nil"/>
              <w:bottom w:val="single" w:sz="12" w:space="0" w:color="auto"/>
              <w:right w:val="single" w:sz="4" w:space="0" w:color="auto"/>
            </w:tcBorders>
            <w:vAlign w:val="center"/>
          </w:tcPr>
          <w:p w14:paraId="5E766545"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583" w:type="pct"/>
            <w:tcBorders>
              <w:top w:val="single" w:sz="4" w:space="0" w:color="auto"/>
              <w:left w:val="single" w:sz="4" w:space="0" w:color="auto"/>
              <w:bottom w:val="single" w:sz="12" w:space="0" w:color="auto"/>
              <w:right w:val="single" w:sz="4" w:space="0" w:color="auto"/>
            </w:tcBorders>
            <w:vAlign w:val="center"/>
          </w:tcPr>
          <w:p w14:paraId="7F17F156"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1,615.80</w:t>
            </w:r>
          </w:p>
        </w:tc>
        <w:tc>
          <w:tcPr>
            <w:tcW w:w="582" w:type="pct"/>
            <w:tcBorders>
              <w:top w:val="single" w:sz="4" w:space="0" w:color="auto"/>
              <w:left w:val="single" w:sz="4" w:space="0" w:color="auto"/>
              <w:bottom w:val="single" w:sz="12" w:space="0" w:color="auto"/>
              <w:right w:val="single" w:sz="4" w:space="0" w:color="auto"/>
            </w:tcBorders>
            <w:vAlign w:val="center"/>
          </w:tcPr>
          <w:p w14:paraId="54927850"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24.00%</w:t>
            </w:r>
          </w:p>
        </w:tc>
        <w:tc>
          <w:tcPr>
            <w:tcW w:w="496" w:type="pct"/>
            <w:tcBorders>
              <w:top w:val="single" w:sz="4" w:space="0" w:color="auto"/>
              <w:left w:val="single" w:sz="4" w:space="0" w:color="auto"/>
              <w:bottom w:val="single" w:sz="12" w:space="0" w:color="auto"/>
              <w:right w:val="single" w:sz="4" w:space="0" w:color="auto"/>
            </w:tcBorders>
            <w:vAlign w:val="center"/>
          </w:tcPr>
          <w:p w14:paraId="121E6983"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489.97</w:t>
            </w:r>
          </w:p>
        </w:tc>
        <w:tc>
          <w:tcPr>
            <w:tcW w:w="527" w:type="pct"/>
            <w:tcBorders>
              <w:top w:val="single" w:sz="4" w:space="0" w:color="auto"/>
              <w:left w:val="single" w:sz="4" w:space="0" w:color="auto"/>
              <w:bottom w:val="single" w:sz="12" w:space="0" w:color="auto"/>
              <w:right w:val="single" w:sz="4" w:space="0" w:color="auto"/>
            </w:tcBorders>
            <w:vAlign w:val="center"/>
          </w:tcPr>
          <w:p w14:paraId="33C26EE7"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27.50%</w:t>
            </w:r>
          </w:p>
        </w:tc>
        <w:tc>
          <w:tcPr>
            <w:tcW w:w="558" w:type="pct"/>
            <w:tcBorders>
              <w:top w:val="single" w:sz="4" w:space="0" w:color="auto"/>
              <w:left w:val="single" w:sz="4" w:space="0" w:color="auto"/>
              <w:bottom w:val="single" w:sz="12" w:space="0" w:color="auto"/>
              <w:right w:val="single" w:sz="4" w:space="0" w:color="auto"/>
            </w:tcBorders>
            <w:vAlign w:val="center"/>
          </w:tcPr>
          <w:p w14:paraId="4525631E"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1,539.28</w:t>
            </w:r>
          </w:p>
        </w:tc>
        <w:tc>
          <w:tcPr>
            <w:tcW w:w="527" w:type="pct"/>
            <w:tcBorders>
              <w:top w:val="single" w:sz="4" w:space="0" w:color="auto"/>
              <w:left w:val="single" w:sz="4" w:space="0" w:color="auto"/>
              <w:bottom w:val="single" w:sz="12" w:space="0" w:color="auto"/>
              <w:right w:val="nil"/>
            </w:tcBorders>
            <w:noWrap/>
            <w:vAlign w:val="center"/>
          </w:tcPr>
          <w:p w14:paraId="46584F83"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29.51%</w:t>
            </w:r>
          </w:p>
        </w:tc>
      </w:tr>
    </w:tbl>
    <w:p w14:paraId="28397399" w14:textId="77777777" w:rsidR="00C02929" w:rsidRDefault="006116D1">
      <w:pPr>
        <w:spacing w:beforeLines="50" w:before="156" w:line="360" w:lineRule="auto"/>
        <w:ind w:firstLineChars="200" w:firstLine="482"/>
        <w:jc w:val="both"/>
        <w:rPr>
          <w:rFonts w:ascii="Times New Roman" w:hAnsi="Times New Roman" w:cs="Times New Roman"/>
          <w:b/>
          <w:lang w:val="en-GB"/>
        </w:rPr>
      </w:pPr>
      <w:r>
        <w:rPr>
          <w:rFonts w:ascii="Times New Roman" w:hAnsi="Times New Roman" w:cs="Times New Roman"/>
          <w:b/>
          <w:lang w:val="en-GB"/>
        </w:rPr>
        <w:t>1</w:t>
      </w:r>
      <w:r>
        <w:rPr>
          <w:rFonts w:ascii="Times New Roman" w:hAnsi="Times New Roman" w:cs="Times New Roman" w:hint="eastAsia"/>
          <w:b/>
          <w:lang w:val="en-GB"/>
        </w:rPr>
        <w:t>、机器人集成应用业务</w:t>
      </w:r>
    </w:p>
    <w:p w14:paraId="3F1481AF" w14:textId="77777777" w:rsidR="00C02929" w:rsidRDefault="006116D1">
      <w:pPr>
        <w:spacing w:beforeLines="50" w:before="156" w:line="360" w:lineRule="auto"/>
        <w:ind w:firstLineChars="200" w:firstLine="480"/>
        <w:jc w:val="both"/>
        <w:rPr>
          <w:rFonts w:ascii="Times New Roman" w:hAnsi="Times New Roman" w:cs="Times New Roman"/>
          <w:lang w:val="en-GB"/>
        </w:rPr>
      </w:pPr>
      <w:r>
        <w:rPr>
          <w:rFonts w:ascii="Times New Roman" w:hAnsi="Times New Roman" w:cs="Times New Roman"/>
          <w:lang w:val="en-GB"/>
        </w:rPr>
        <w:t>2018</w:t>
      </w:r>
      <w:r>
        <w:rPr>
          <w:rFonts w:ascii="Times New Roman" w:hAnsi="Times New Roman" w:cs="Times New Roman" w:hint="eastAsia"/>
          <w:lang w:val="en-GB"/>
        </w:rPr>
        <w:t>年、</w:t>
      </w:r>
      <w:r>
        <w:rPr>
          <w:rFonts w:ascii="Times New Roman" w:hAnsi="Times New Roman" w:cs="Times New Roman"/>
          <w:lang w:val="en-GB"/>
        </w:rPr>
        <w:t>2019</w:t>
      </w:r>
      <w:r>
        <w:rPr>
          <w:rFonts w:ascii="Times New Roman" w:hAnsi="Times New Roman" w:cs="Times New Roman" w:hint="eastAsia"/>
          <w:lang w:val="en-GB"/>
        </w:rPr>
        <w:t>年和</w:t>
      </w:r>
      <w:r>
        <w:rPr>
          <w:rFonts w:ascii="Times New Roman" w:hAnsi="Times New Roman" w:cs="Times New Roman"/>
          <w:lang w:val="en-GB"/>
        </w:rPr>
        <w:t>2020</w:t>
      </w:r>
      <w:r>
        <w:rPr>
          <w:rFonts w:ascii="Times New Roman" w:hAnsi="Times New Roman" w:cs="Times New Roman" w:hint="eastAsia"/>
          <w:lang w:val="en-GB"/>
        </w:rPr>
        <w:t>年，标的公司机器人集成应用业务产生的毛利分别为</w:t>
      </w:r>
      <w:r>
        <w:rPr>
          <w:rFonts w:ascii="Times New Roman" w:hAnsi="Times New Roman" w:cs="Times New Roman"/>
          <w:lang w:val="en-GB"/>
        </w:rPr>
        <w:t>1,539.28</w:t>
      </w:r>
      <w:r>
        <w:rPr>
          <w:rFonts w:ascii="Times New Roman" w:hAnsi="Times New Roman" w:cs="Times New Roman" w:hint="eastAsia"/>
          <w:lang w:val="en-GB"/>
        </w:rPr>
        <w:t>万元、</w:t>
      </w:r>
      <w:r>
        <w:rPr>
          <w:rFonts w:ascii="Times New Roman" w:hAnsi="Times New Roman" w:cs="Times New Roman"/>
          <w:lang w:val="en-GB"/>
        </w:rPr>
        <w:t>468.59</w:t>
      </w:r>
      <w:r>
        <w:rPr>
          <w:rFonts w:ascii="Times New Roman" w:hAnsi="Times New Roman" w:cs="Times New Roman" w:hint="eastAsia"/>
          <w:lang w:val="en-GB"/>
        </w:rPr>
        <w:t>万元和</w:t>
      </w:r>
      <w:r>
        <w:rPr>
          <w:rFonts w:ascii="Times New Roman" w:hAnsi="Times New Roman" w:cs="Times New Roman"/>
          <w:lang w:val="en-GB"/>
        </w:rPr>
        <w:t>1,611.34</w:t>
      </w:r>
      <w:r>
        <w:rPr>
          <w:rFonts w:ascii="Times New Roman" w:hAnsi="Times New Roman" w:cs="Times New Roman" w:hint="eastAsia"/>
          <w:lang w:val="en-GB"/>
        </w:rPr>
        <w:t>万元，其毛利率分别为</w:t>
      </w:r>
      <w:r>
        <w:rPr>
          <w:rFonts w:ascii="Times New Roman" w:hAnsi="Times New Roman" w:cs="Times New Roman"/>
          <w:lang w:val="en-GB"/>
        </w:rPr>
        <w:t>29.51%</w:t>
      </w:r>
      <w:r>
        <w:rPr>
          <w:rFonts w:ascii="Times New Roman" w:hAnsi="Times New Roman" w:cs="Times New Roman" w:hint="eastAsia"/>
          <w:lang w:val="en-GB"/>
        </w:rPr>
        <w:t>、</w:t>
      </w:r>
      <w:r>
        <w:rPr>
          <w:rFonts w:ascii="Times New Roman" w:hAnsi="Times New Roman" w:cs="Times New Roman"/>
          <w:lang w:val="en-GB"/>
        </w:rPr>
        <w:t>28.68%</w:t>
      </w:r>
      <w:r>
        <w:rPr>
          <w:rFonts w:ascii="Times New Roman" w:hAnsi="Times New Roman" w:cs="Times New Roman" w:hint="eastAsia"/>
          <w:lang w:val="en-GB"/>
        </w:rPr>
        <w:t>和</w:t>
      </w:r>
      <w:r>
        <w:rPr>
          <w:rFonts w:ascii="Times New Roman" w:hAnsi="Times New Roman" w:cs="Times New Roman"/>
          <w:lang w:val="en-GB"/>
        </w:rPr>
        <w:t>24.32%</w:t>
      </w:r>
      <w:r>
        <w:rPr>
          <w:rFonts w:ascii="Times New Roman" w:hAnsi="Times New Roman" w:cs="Times New Roman" w:hint="eastAsia"/>
          <w:lang w:val="en-GB"/>
        </w:rPr>
        <w:t>，其对机器人及配套业务的毛利贡献率分别为</w:t>
      </w:r>
      <w:r>
        <w:rPr>
          <w:rFonts w:ascii="Times New Roman" w:hAnsi="Times New Roman" w:cs="Times New Roman"/>
          <w:lang w:val="en-GB"/>
        </w:rPr>
        <w:t>100.00%</w:t>
      </w:r>
      <w:r>
        <w:rPr>
          <w:rFonts w:ascii="Times New Roman" w:hAnsi="Times New Roman" w:cs="Times New Roman" w:hint="eastAsia"/>
          <w:lang w:val="en-GB"/>
        </w:rPr>
        <w:t>、</w:t>
      </w:r>
      <w:r>
        <w:rPr>
          <w:rFonts w:ascii="Times New Roman" w:hAnsi="Times New Roman" w:cs="Times New Roman"/>
          <w:lang w:val="en-GB"/>
        </w:rPr>
        <w:t>95.64%</w:t>
      </w:r>
      <w:r>
        <w:rPr>
          <w:rFonts w:ascii="Times New Roman" w:hAnsi="Times New Roman" w:cs="Times New Roman" w:hint="eastAsia"/>
          <w:lang w:val="en-GB"/>
        </w:rPr>
        <w:t>和</w:t>
      </w:r>
      <w:r>
        <w:rPr>
          <w:rFonts w:ascii="Times New Roman" w:hAnsi="Times New Roman" w:cs="Times New Roman"/>
          <w:lang w:val="en-GB"/>
        </w:rPr>
        <w:t>99.72%</w:t>
      </w:r>
      <w:r>
        <w:rPr>
          <w:rFonts w:ascii="Times New Roman" w:hAnsi="Times New Roman" w:cs="Times New Roman" w:hint="eastAsia"/>
          <w:lang w:val="en-GB"/>
        </w:rPr>
        <w:t>。</w:t>
      </w:r>
      <w:r>
        <w:rPr>
          <w:rFonts w:ascii="Times New Roman" w:hAnsi="Times New Roman" w:cs="Times New Roman"/>
          <w:lang w:val="en-GB"/>
        </w:rPr>
        <w:t>2019</w:t>
      </w:r>
      <w:r>
        <w:rPr>
          <w:rFonts w:ascii="Times New Roman" w:hAnsi="Times New Roman" w:cs="Times New Roman" w:hint="eastAsia"/>
          <w:lang w:val="en-GB"/>
        </w:rPr>
        <w:t>年，标的公司机器人集成应用业务产生的毛利较低的原因主要系标的公司将定制化集成业务作为发展重点，机器人集成应用业务规模有所减少所致。</w:t>
      </w:r>
    </w:p>
    <w:p w14:paraId="10BFECE5"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6"/>
        <w:gridCol w:w="1121"/>
        <w:gridCol w:w="1432"/>
        <w:gridCol w:w="1231"/>
        <w:gridCol w:w="1323"/>
        <w:gridCol w:w="1309"/>
      </w:tblGrid>
      <w:tr w:rsidR="00C02929" w14:paraId="5BFEE82E" w14:textId="77777777">
        <w:trPr>
          <w:trHeight w:val="397"/>
        </w:trPr>
        <w:tc>
          <w:tcPr>
            <w:tcW w:w="1236" w:type="pct"/>
            <w:shd w:val="clear" w:color="auto" w:fill="auto"/>
            <w:vAlign w:val="center"/>
          </w:tcPr>
          <w:p w14:paraId="2DEFCA42"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机器人集成应用</w:t>
            </w:r>
            <w:r>
              <w:rPr>
                <w:rFonts w:ascii="Times New Roman" w:hAnsi="Times New Roman" w:cs="Times New Roman" w:hint="eastAsia"/>
                <w:b/>
                <w:bCs/>
                <w:color w:val="000000"/>
                <w:sz w:val="21"/>
                <w:szCs w:val="21"/>
              </w:rPr>
              <w:t>业务</w:t>
            </w:r>
          </w:p>
        </w:tc>
        <w:tc>
          <w:tcPr>
            <w:tcW w:w="658" w:type="pct"/>
            <w:vAlign w:val="center"/>
          </w:tcPr>
          <w:p w14:paraId="632F213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年度</w:t>
            </w:r>
          </w:p>
        </w:tc>
        <w:tc>
          <w:tcPr>
            <w:tcW w:w="840" w:type="pct"/>
            <w:vAlign w:val="center"/>
          </w:tcPr>
          <w:p w14:paraId="221B042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年较</w:t>
            </w: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年增长</w:t>
            </w:r>
          </w:p>
        </w:tc>
        <w:tc>
          <w:tcPr>
            <w:tcW w:w="722" w:type="pct"/>
            <w:shd w:val="clear" w:color="auto" w:fill="auto"/>
            <w:vAlign w:val="center"/>
          </w:tcPr>
          <w:p w14:paraId="017AB0E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年度</w:t>
            </w:r>
          </w:p>
        </w:tc>
        <w:tc>
          <w:tcPr>
            <w:tcW w:w="776" w:type="pct"/>
            <w:shd w:val="clear" w:color="auto" w:fill="auto"/>
            <w:vAlign w:val="center"/>
          </w:tcPr>
          <w:p w14:paraId="5AE1168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68" w:type="pct"/>
            <w:vAlign w:val="center"/>
          </w:tcPr>
          <w:p w14:paraId="082A5B58"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b/>
                <w:bCs/>
                <w:color w:val="000000"/>
                <w:sz w:val="21"/>
                <w:szCs w:val="21"/>
              </w:rPr>
              <w:t>年度</w:t>
            </w:r>
          </w:p>
        </w:tc>
      </w:tr>
      <w:tr w:rsidR="00C02929" w14:paraId="624A9429" w14:textId="77777777">
        <w:trPr>
          <w:trHeight w:val="397"/>
        </w:trPr>
        <w:tc>
          <w:tcPr>
            <w:tcW w:w="1236" w:type="pct"/>
            <w:shd w:val="clear" w:color="auto" w:fill="auto"/>
            <w:vAlign w:val="center"/>
          </w:tcPr>
          <w:p w14:paraId="5D1E02CD"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营业收入</w:t>
            </w:r>
          </w:p>
        </w:tc>
        <w:tc>
          <w:tcPr>
            <w:tcW w:w="658" w:type="pct"/>
            <w:vAlign w:val="center"/>
          </w:tcPr>
          <w:p w14:paraId="635E675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6,624.87</w:t>
            </w:r>
          </w:p>
        </w:tc>
        <w:tc>
          <w:tcPr>
            <w:tcW w:w="840" w:type="pct"/>
            <w:vAlign w:val="center"/>
          </w:tcPr>
          <w:p w14:paraId="37B01C0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4,990.85</w:t>
            </w:r>
          </w:p>
        </w:tc>
        <w:tc>
          <w:tcPr>
            <w:tcW w:w="722" w:type="pct"/>
            <w:shd w:val="clear" w:color="auto" w:fill="auto"/>
            <w:vAlign w:val="center"/>
          </w:tcPr>
          <w:p w14:paraId="7A30DA3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1,634.01</w:t>
            </w:r>
          </w:p>
        </w:tc>
        <w:tc>
          <w:tcPr>
            <w:tcW w:w="776" w:type="pct"/>
            <w:shd w:val="clear" w:color="auto" w:fill="auto"/>
            <w:vAlign w:val="center"/>
          </w:tcPr>
          <w:p w14:paraId="3F30525D"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-3,581.32</w:t>
            </w:r>
          </w:p>
        </w:tc>
        <w:tc>
          <w:tcPr>
            <w:tcW w:w="768" w:type="pct"/>
            <w:vAlign w:val="center"/>
          </w:tcPr>
          <w:p w14:paraId="3BD4804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5,215.34</w:t>
            </w:r>
          </w:p>
        </w:tc>
      </w:tr>
      <w:tr w:rsidR="00C02929" w14:paraId="1397546A" w14:textId="77777777">
        <w:trPr>
          <w:trHeight w:val="397"/>
        </w:trPr>
        <w:tc>
          <w:tcPr>
            <w:tcW w:w="1236" w:type="pct"/>
            <w:shd w:val="clear" w:color="auto" w:fill="auto"/>
            <w:vAlign w:val="center"/>
          </w:tcPr>
          <w:p w14:paraId="6222DDB5"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658" w:type="pct"/>
            <w:vAlign w:val="center"/>
          </w:tcPr>
          <w:p w14:paraId="6EA0496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5,013.53</w:t>
            </w:r>
          </w:p>
        </w:tc>
        <w:tc>
          <w:tcPr>
            <w:tcW w:w="840" w:type="pct"/>
            <w:vAlign w:val="center"/>
          </w:tcPr>
          <w:p w14:paraId="162D2720"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3,848.10</w:t>
            </w:r>
          </w:p>
        </w:tc>
        <w:tc>
          <w:tcPr>
            <w:tcW w:w="722" w:type="pct"/>
            <w:shd w:val="clear" w:color="auto" w:fill="auto"/>
            <w:vAlign w:val="center"/>
          </w:tcPr>
          <w:p w14:paraId="5D42B25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1,165.43</w:t>
            </w:r>
          </w:p>
        </w:tc>
        <w:tc>
          <w:tcPr>
            <w:tcW w:w="776" w:type="pct"/>
            <w:shd w:val="clear" w:color="auto" w:fill="auto"/>
            <w:vAlign w:val="center"/>
          </w:tcPr>
          <w:p w14:paraId="62C0AAE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-2,510.63</w:t>
            </w:r>
          </w:p>
        </w:tc>
        <w:tc>
          <w:tcPr>
            <w:tcW w:w="768" w:type="pct"/>
            <w:vAlign w:val="center"/>
          </w:tcPr>
          <w:p w14:paraId="1468CD4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3,676.06</w:t>
            </w:r>
          </w:p>
        </w:tc>
      </w:tr>
      <w:tr w:rsidR="00C02929" w14:paraId="4384B645" w14:textId="77777777">
        <w:trPr>
          <w:trHeight w:val="397"/>
        </w:trPr>
        <w:tc>
          <w:tcPr>
            <w:tcW w:w="1236" w:type="pct"/>
            <w:shd w:val="clear" w:color="auto" w:fill="auto"/>
            <w:vAlign w:val="center"/>
          </w:tcPr>
          <w:p w14:paraId="2F8E2E84"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658" w:type="pct"/>
            <w:vAlign w:val="center"/>
          </w:tcPr>
          <w:p w14:paraId="7C9B46C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1,611.34</w:t>
            </w:r>
          </w:p>
        </w:tc>
        <w:tc>
          <w:tcPr>
            <w:tcW w:w="840" w:type="pct"/>
            <w:vAlign w:val="center"/>
          </w:tcPr>
          <w:p w14:paraId="6BF755C6"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1,142.76</w:t>
            </w:r>
          </w:p>
        </w:tc>
        <w:tc>
          <w:tcPr>
            <w:tcW w:w="722" w:type="pct"/>
            <w:shd w:val="clear" w:color="auto" w:fill="auto"/>
            <w:vAlign w:val="center"/>
          </w:tcPr>
          <w:p w14:paraId="0AA2752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468.59</w:t>
            </w:r>
          </w:p>
        </w:tc>
        <w:tc>
          <w:tcPr>
            <w:tcW w:w="776" w:type="pct"/>
            <w:shd w:val="clear" w:color="auto" w:fill="auto"/>
            <w:vAlign w:val="center"/>
          </w:tcPr>
          <w:p w14:paraId="15754C7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-1,070.69</w:t>
            </w:r>
          </w:p>
        </w:tc>
        <w:tc>
          <w:tcPr>
            <w:tcW w:w="768" w:type="pct"/>
            <w:vAlign w:val="center"/>
          </w:tcPr>
          <w:p w14:paraId="5003F96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1,539.28</w:t>
            </w:r>
          </w:p>
        </w:tc>
      </w:tr>
      <w:tr w:rsidR="00C02929" w14:paraId="4322FE4B" w14:textId="77777777">
        <w:trPr>
          <w:trHeight w:val="397"/>
        </w:trPr>
        <w:tc>
          <w:tcPr>
            <w:tcW w:w="1236" w:type="pct"/>
            <w:shd w:val="clear" w:color="auto" w:fill="auto"/>
            <w:vAlign w:val="center"/>
          </w:tcPr>
          <w:p w14:paraId="55514F94"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658" w:type="pct"/>
            <w:vAlign w:val="center"/>
          </w:tcPr>
          <w:p w14:paraId="2B66CAC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24.32%</w:t>
            </w:r>
          </w:p>
        </w:tc>
        <w:tc>
          <w:tcPr>
            <w:tcW w:w="840" w:type="pct"/>
            <w:vAlign w:val="center"/>
          </w:tcPr>
          <w:p w14:paraId="217E820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-4.35%</w:t>
            </w:r>
          </w:p>
        </w:tc>
        <w:tc>
          <w:tcPr>
            <w:tcW w:w="722" w:type="pct"/>
            <w:shd w:val="clear" w:color="auto" w:fill="auto"/>
            <w:vAlign w:val="center"/>
          </w:tcPr>
          <w:p w14:paraId="0D4FD7F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28.68%</w:t>
            </w:r>
          </w:p>
        </w:tc>
        <w:tc>
          <w:tcPr>
            <w:tcW w:w="776" w:type="pct"/>
            <w:shd w:val="clear" w:color="auto" w:fill="auto"/>
            <w:vAlign w:val="center"/>
          </w:tcPr>
          <w:p w14:paraId="4B1CA46D"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-0.84%</w:t>
            </w:r>
          </w:p>
        </w:tc>
        <w:tc>
          <w:tcPr>
            <w:tcW w:w="768" w:type="pct"/>
            <w:vAlign w:val="center"/>
          </w:tcPr>
          <w:p w14:paraId="24DCBBF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29.51%</w:t>
            </w:r>
          </w:p>
        </w:tc>
      </w:tr>
      <w:tr w:rsidR="00C02929" w14:paraId="5F6E6A14" w14:textId="77777777">
        <w:trPr>
          <w:trHeight w:val="397"/>
        </w:trPr>
        <w:tc>
          <w:tcPr>
            <w:tcW w:w="1236" w:type="pct"/>
            <w:shd w:val="clear" w:color="auto" w:fill="auto"/>
            <w:vAlign w:val="center"/>
          </w:tcPr>
          <w:p w14:paraId="308252BF"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对机器人及配套业务的毛利贡献率</w:t>
            </w:r>
          </w:p>
        </w:tc>
        <w:tc>
          <w:tcPr>
            <w:tcW w:w="658" w:type="pct"/>
            <w:vAlign w:val="center"/>
          </w:tcPr>
          <w:p w14:paraId="12AD388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99.72%</w:t>
            </w:r>
          </w:p>
        </w:tc>
        <w:tc>
          <w:tcPr>
            <w:tcW w:w="840" w:type="pct"/>
            <w:vAlign w:val="center"/>
          </w:tcPr>
          <w:p w14:paraId="1A5DCC3D"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4.09%</w:t>
            </w:r>
          </w:p>
        </w:tc>
        <w:tc>
          <w:tcPr>
            <w:tcW w:w="722" w:type="pct"/>
            <w:shd w:val="clear" w:color="auto" w:fill="auto"/>
            <w:vAlign w:val="center"/>
          </w:tcPr>
          <w:p w14:paraId="1B71010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95.64%</w:t>
            </w:r>
          </w:p>
        </w:tc>
        <w:tc>
          <w:tcPr>
            <w:tcW w:w="776" w:type="pct"/>
            <w:shd w:val="clear" w:color="auto" w:fill="auto"/>
            <w:vAlign w:val="center"/>
          </w:tcPr>
          <w:p w14:paraId="59420EB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-4.36%</w:t>
            </w:r>
          </w:p>
        </w:tc>
        <w:tc>
          <w:tcPr>
            <w:tcW w:w="768" w:type="pct"/>
            <w:vAlign w:val="center"/>
          </w:tcPr>
          <w:p w14:paraId="563C394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bl>
    <w:p w14:paraId="29E862D3"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注：对机器人及配套业务的毛利贡献率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机器人集成应用业务的毛利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机器人及配套业务总毛利。</w:t>
      </w:r>
    </w:p>
    <w:p w14:paraId="5323FF29"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标的公司机器人集成应用业务可以细分为非冲压连线项目和含冲压机冲压连线项目。</w:t>
      </w:r>
    </w:p>
    <w:p w14:paraId="27009ED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）机器人集成应用业务</w:t>
      </w:r>
      <w:r>
        <w:rPr>
          <w:rFonts w:ascii="Times New Roman" w:hAnsi="Times New Roman" w:cs="Times New Roman" w:hint="eastAsia"/>
        </w:rPr>
        <w:t>-</w:t>
      </w:r>
      <w:r>
        <w:rPr>
          <w:rFonts w:ascii="Times New Roman" w:hAnsi="Times New Roman" w:cs="Times New Roman" w:hint="eastAsia"/>
        </w:rPr>
        <w:t>非冲压连线项目</w:t>
      </w:r>
    </w:p>
    <w:p w14:paraId="5DD96003"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2019</w:t>
      </w:r>
      <w:r>
        <w:rPr>
          <w:rFonts w:ascii="Times New Roman" w:hAnsi="Times New Roman" w:cs="Times New Roman"/>
        </w:rPr>
        <w:t>年，标的公司</w:t>
      </w:r>
      <w:r>
        <w:rPr>
          <w:rFonts w:ascii="Times New Roman" w:hAnsi="Times New Roman" w:cs="Times New Roman" w:hint="eastAsia"/>
        </w:rPr>
        <w:t>机器人集成应用业务</w:t>
      </w:r>
      <w:r>
        <w:rPr>
          <w:rFonts w:ascii="Times New Roman" w:hAnsi="Times New Roman" w:cs="Times New Roman"/>
        </w:rPr>
        <w:t>-</w:t>
      </w:r>
      <w:r>
        <w:rPr>
          <w:rFonts w:ascii="Times New Roman" w:hAnsi="Times New Roman" w:cs="Times New Roman"/>
        </w:rPr>
        <w:t>非冲压连线项目产生的毛利为</w:t>
      </w:r>
      <w:r>
        <w:rPr>
          <w:rFonts w:ascii="Times New Roman" w:hAnsi="Times New Roman" w:cs="Times New Roman"/>
        </w:rPr>
        <w:t>422.93</w:t>
      </w:r>
      <w:r>
        <w:rPr>
          <w:rFonts w:ascii="Times New Roman" w:hAnsi="Times New Roman" w:cs="Times New Roman"/>
        </w:rPr>
        <w:t>万元，相比于</w:t>
      </w:r>
      <w:r>
        <w:rPr>
          <w:rFonts w:ascii="Times New Roman" w:hAnsi="Times New Roman" w:cs="Times New Roman"/>
        </w:rPr>
        <w:t>2018</w:t>
      </w:r>
      <w:r>
        <w:rPr>
          <w:rFonts w:ascii="Times New Roman" w:hAnsi="Times New Roman" w:cs="Times New Roman"/>
        </w:rPr>
        <w:t>年的</w:t>
      </w:r>
      <w:r>
        <w:rPr>
          <w:rFonts w:ascii="Times New Roman" w:hAnsi="Times New Roman" w:cs="Times New Roman"/>
        </w:rPr>
        <w:t>1,488.17</w:t>
      </w:r>
      <w:r>
        <w:rPr>
          <w:rFonts w:ascii="Times New Roman" w:hAnsi="Times New Roman" w:cs="Times New Roman"/>
        </w:rPr>
        <w:t>万元</w:t>
      </w:r>
      <w:r>
        <w:rPr>
          <w:rFonts w:ascii="Times New Roman" w:hAnsi="Times New Roman" w:cs="Times New Roman" w:hint="eastAsia"/>
        </w:rPr>
        <w:t>减少</w:t>
      </w:r>
      <w:r>
        <w:rPr>
          <w:rFonts w:ascii="Times New Roman" w:hAnsi="Times New Roman" w:cs="Times New Roman"/>
        </w:rPr>
        <w:t>了</w:t>
      </w:r>
      <w:r>
        <w:rPr>
          <w:rFonts w:ascii="Times New Roman" w:hAnsi="Times New Roman" w:cs="Times New Roman"/>
        </w:rPr>
        <w:t>1,065.23</w:t>
      </w:r>
      <w:r>
        <w:rPr>
          <w:rFonts w:ascii="Times New Roman" w:hAnsi="Times New Roman" w:cs="Times New Roman"/>
        </w:rPr>
        <w:t>万元，</w:t>
      </w:r>
      <w:r>
        <w:rPr>
          <w:rFonts w:ascii="Times New Roman" w:hAnsi="Times New Roman" w:cs="Times New Roman" w:hint="eastAsia"/>
        </w:rPr>
        <w:t>其对机器人及配套业务的毛利贡献率为</w:t>
      </w:r>
      <w:r>
        <w:rPr>
          <w:rFonts w:ascii="Times New Roman" w:hAnsi="Times New Roman" w:cs="Times New Roman"/>
        </w:rPr>
        <w:t>86.32%</w:t>
      </w:r>
      <w:r>
        <w:rPr>
          <w:rFonts w:ascii="Times New Roman" w:hAnsi="Times New Roman" w:cs="Times New Roman" w:hint="eastAsia"/>
        </w:rPr>
        <w:t>，相比于</w:t>
      </w:r>
      <w:r>
        <w:rPr>
          <w:rFonts w:ascii="Times New Roman" w:hAnsi="Times New Roman" w:cs="Times New Roman"/>
        </w:rPr>
        <w:t>2018</w:t>
      </w:r>
      <w:r>
        <w:rPr>
          <w:rFonts w:ascii="Times New Roman" w:hAnsi="Times New Roman" w:cs="Times New Roman"/>
        </w:rPr>
        <w:t>年的</w:t>
      </w:r>
      <w:r>
        <w:rPr>
          <w:rFonts w:ascii="Times New Roman" w:hAnsi="Times New Roman" w:cs="Times New Roman"/>
        </w:rPr>
        <w:t>96.68%</w:t>
      </w:r>
      <w:r>
        <w:rPr>
          <w:rFonts w:ascii="Times New Roman" w:hAnsi="Times New Roman" w:cs="Times New Roman" w:hint="eastAsia"/>
        </w:rPr>
        <w:t>减少了</w:t>
      </w:r>
      <w:r>
        <w:rPr>
          <w:rFonts w:ascii="Times New Roman" w:hAnsi="Times New Roman" w:cs="Times New Roman"/>
        </w:rPr>
        <w:t>10.36%</w:t>
      </w:r>
      <w:r>
        <w:rPr>
          <w:rFonts w:ascii="Times New Roman" w:hAnsi="Times New Roman" w:cs="Times New Roman" w:hint="eastAsia"/>
        </w:rPr>
        <w:t>，主要系标的公司</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年战略调整，以定制化集成业务为发展重点所致。</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年，标的公司机器人集成应用业务</w:t>
      </w:r>
      <w:r>
        <w:rPr>
          <w:rFonts w:ascii="Times New Roman" w:hAnsi="Times New Roman" w:cs="Times New Roman"/>
        </w:rPr>
        <w:t>-</w:t>
      </w:r>
      <w:r>
        <w:rPr>
          <w:rFonts w:ascii="Times New Roman" w:hAnsi="Times New Roman" w:cs="Times New Roman"/>
        </w:rPr>
        <w:t>非冲压连线项目产生的毛利为</w:t>
      </w:r>
      <w:r>
        <w:rPr>
          <w:rFonts w:ascii="Times New Roman" w:hAnsi="Times New Roman" w:cs="Times New Roman"/>
        </w:rPr>
        <w:t>513.05</w:t>
      </w:r>
      <w:r>
        <w:rPr>
          <w:rFonts w:ascii="Times New Roman" w:hAnsi="Times New Roman" w:cs="Times New Roman" w:hint="eastAsia"/>
        </w:rPr>
        <w:t>万元，相比于</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年的</w:t>
      </w:r>
      <w:r>
        <w:rPr>
          <w:rFonts w:ascii="Times New Roman" w:hAnsi="Times New Roman" w:cs="Times New Roman"/>
        </w:rPr>
        <w:t>422.93</w:t>
      </w:r>
      <w:r>
        <w:rPr>
          <w:rFonts w:ascii="Times New Roman" w:hAnsi="Times New Roman" w:cs="Times New Roman"/>
        </w:rPr>
        <w:t>万元</w:t>
      </w:r>
      <w:r>
        <w:rPr>
          <w:rFonts w:ascii="Times New Roman" w:hAnsi="Times New Roman" w:cs="Times New Roman" w:hint="eastAsia"/>
        </w:rPr>
        <w:t>增加了</w:t>
      </w:r>
      <w:r>
        <w:rPr>
          <w:rFonts w:ascii="Times New Roman" w:hAnsi="Times New Roman" w:cs="Times New Roman"/>
        </w:rPr>
        <w:t>90.11</w:t>
      </w:r>
      <w:r>
        <w:rPr>
          <w:rFonts w:ascii="Times New Roman" w:hAnsi="Times New Roman" w:cs="Times New Roman" w:hint="eastAsia"/>
        </w:rPr>
        <w:t>万元，保持稳定；其对机器人及配套业务的毛利贡献率为</w:t>
      </w:r>
      <w:r>
        <w:rPr>
          <w:rFonts w:ascii="Times New Roman" w:hAnsi="Times New Roman" w:cs="Times New Roman"/>
        </w:rPr>
        <w:t>31.75%</w:t>
      </w:r>
      <w:r>
        <w:rPr>
          <w:rFonts w:ascii="Times New Roman" w:hAnsi="Times New Roman" w:cs="Times New Roman" w:hint="eastAsia"/>
        </w:rPr>
        <w:t>，相比于</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年的</w:t>
      </w:r>
      <w:r>
        <w:rPr>
          <w:rFonts w:ascii="Times New Roman" w:hAnsi="Times New Roman" w:cs="Times New Roman"/>
        </w:rPr>
        <w:t>86.32%</w:t>
      </w:r>
      <w:r>
        <w:rPr>
          <w:rFonts w:ascii="Times New Roman" w:hAnsi="Times New Roman" w:cs="Times New Roman" w:hint="eastAsia"/>
        </w:rPr>
        <w:t>减少了</w:t>
      </w:r>
      <w:r>
        <w:rPr>
          <w:rFonts w:ascii="Times New Roman" w:hAnsi="Times New Roman" w:cs="Times New Roman"/>
        </w:rPr>
        <w:t>54.57%</w:t>
      </w:r>
      <w:r>
        <w:rPr>
          <w:rFonts w:ascii="Times New Roman" w:hAnsi="Times New Roman" w:cs="Times New Roman" w:hint="eastAsia"/>
        </w:rPr>
        <w:t>，主要系</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年标的公司业务规模增长、总毛利增加所致。</w:t>
      </w:r>
    </w:p>
    <w:p w14:paraId="774533BF"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报告期内各期，标的公司机器人集成应用业务</w:t>
      </w:r>
      <w:r>
        <w:rPr>
          <w:rFonts w:ascii="Times New Roman" w:hAnsi="Times New Roman" w:cs="Times New Roman"/>
        </w:rPr>
        <w:t>-</w:t>
      </w:r>
      <w:r>
        <w:rPr>
          <w:rFonts w:ascii="Times New Roman" w:hAnsi="Times New Roman" w:cs="Times New Roman"/>
        </w:rPr>
        <w:t>非冲压连线项目</w:t>
      </w:r>
      <w:r>
        <w:rPr>
          <w:rFonts w:ascii="Times New Roman" w:hAnsi="Times New Roman" w:cs="Times New Roman" w:hint="eastAsia"/>
        </w:rPr>
        <w:t>的毛利率分别为</w:t>
      </w:r>
      <w:r>
        <w:rPr>
          <w:rFonts w:ascii="Times New Roman" w:hAnsi="Times New Roman" w:cs="Times New Roman"/>
        </w:rPr>
        <w:t>30.00%</w:t>
      </w:r>
      <w:r>
        <w:rPr>
          <w:rFonts w:ascii="Times New Roman" w:hAnsi="Times New Roman" w:cs="Times New Roman" w:hint="eastAsia"/>
        </w:rPr>
        <w:t>、</w:t>
      </w:r>
      <w:r>
        <w:rPr>
          <w:rFonts w:ascii="Times New Roman" w:hAnsi="Times New Roman" w:cs="Times New Roman"/>
        </w:rPr>
        <w:t>34.40%</w:t>
      </w:r>
      <w:r>
        <w:rPr>
          <w:rFonts w:ascii="Times New Roman" w:hAnsi="Times New Roman" w:cs="Times New Roman" w:hint="eastAsia"/>
        </w:rPr>
        <w:t>和</w:t>
      </w:r>
      <w:r>
        <w:rPr>
          <w:rFonts w:ascii="Times New Roman" w:hAnsi="Times New Roman" w:cs="Times New Roman"/>
        </w:rPr>
        <w:t>32.46%</w:t>
      </w:r>
      <w:r>
        <w:rPr>
          <w:rFonts w:ascii="Times New Roman" w:hAnsi="Times New Roman" w:cs="Times New Roman" w:hint="eastAsia"/>
        </w:rPr>
        <w:t>，毛利率水平保持稳定。</w:t>
      </w:r>
    </w:p>
    <w:p w14:paraId="34DF0C5D"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8"/>
        <w:gridCol w:w="1120"/>
        <w:gridCol w:w="1435"/>
        <w:gridCol w:w="1229"/>
        <w:gridCol w:w="1319"/>
        <w:gridCol w:w="1311"/>
      </w:tblGrid>
      <w:tr w:rsidR="00C02929" w14:paraId="66BFBE28" w14:textId="77777777">
        <w:trPr>
          <w:trHeight w:val="397"/>
          <w:tblHeader/>
        </w:trPr>
        <w:tc>
          <w:tcPr>
            <w:tcW w:w="1237" w:type="pct"/>
            <w:shd w:val="clear" w:color="auto" w:fill="auto"/>
            <w:vAlign w:val="center"/>
          </w:tcPr>
          <w:p w14:paraId="6BEA2DD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机器人集成应用</w:t>
            </w:r>
            <w:r>
              <w:rPr>
                <w:rFonts w:ascii="Times New Roman" w:hAnsi="Times New Roman" w:cs="Times New Roman" w:hint="eastAsia"/>
                <w:b/>
                <w:bCs/>
                <w:color w:val="000000"/>
                <w:sz w:val="21"/>
                <w:szCs w:val="21"/>
              </w:rPr>
              <w:t>业务</w:t>
            </w:r>
            <w:r>
              <w:rPr>
                <w:rFonts w:ascii="Times New Roman" w:hAnsi="Times New Roman" w:cs="Times New Roman"/>
                <w:b/>
                <w:bCs/>
                <w:color w:val="000000"/>
                <w:sz w:val="21"/>
                <w:szCs w:val="21"/>
              </w:rPr>
              <w:t>-</w:t>
            </w:r>
            <w:r>
              <w:rPr>
                <w:rFonts w:ascii="Times New Roman" w:hAnsi="Times New Roman" w:cs="Times New Roman"/>
                <w:b/>
                <w:bCs/>
                <w:color w:val="000000"/>
                <w:sz w:val="21"/>
                <w:szCs w:val="21"/>
              </w:rPr>
              <w:t>非冲压连线项目</w:t>
            </w:r>
          </w:p>
        </w:tc>
        <w:tc>
          <w:tcPr>
            <w:tcW w:w="657" w:type="pct"/>
            <w:vAlign w:val="center"/>
          </w:tcPr>
          <w:p w14:paraId="11EE6E9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年度</w:t>
            </w:r>
          </w:p>
        </w:tc>
        <w:tc>
          <w:tcPr>
            <w:tcW w:w="842" w:type="pct"/>
            <w:vAlign w:val="center"/>
          </w:tcPr>
          <w:p w14:paraId="0314B77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年较</w:t>
            </w: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年增长</w:t>
            </w:r>
          </w:p>
        </w:tc>
        <w:tc>
          <w:tcPr>
            <w:tcW w:w="721" w:type="pct"/>
            <w:shd w:val="clear" w:color="auto" w:fill="auto"/>
            <w:vAlign w:val="center"/>
          </w:tcPr>
          <w:p w14:paraId="4CCF6E0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年度</w:t>
            </w:r>
          </w:p>
        </w:tc>
        <w:tc>
          <w:tcPr>
            <w:tcW w:w="774" w:type="pct"/>
            <w:shd w:val="clear" w:color="auto" w:fill="auto"/>
            <w:vAlign w:val="center"/>
          </w:tcPr>
          <w:p w14:paraId="4CBCF0E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770" w:type="pct"/>
            <w:vAlign w:val="center"/>
          </w:tcPr>
          <w:p w14:paraId="077320D8"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b/>
                <w:bCs/>
                <w:color w:val="000000"/>
                <w:sz w:val="21"/>
                <w:szCs w:val="21"/>
              </w:rPr>
              <w:t>年度</w:t>
            </w:r>
          </w:p>
        </w:tc>
      </w:tr>
      <w:tr w:rsidR="00C02929" w14:paraId="758E8EB8" w14:textId="77777777">
        <w:trPr>
          <w:trHeight w:val="397"/>
        </w:trPr>
        <w:tc>
          <w:tcPr>
            <w:tcW w:w="1237" w:type="pct"/>
            <w:shd w:val="clear" w:color="auto" w:fill="auto"/>
            <w:vAlign w:val="center"/>
          </w:tcPr>
          <w:p w14:paraId="64EEED81"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657" w:type="pct"/>
            <w:vAlign w:val="center"/>
          </w:tcPr>
          <w:p w14:paraId="3D1A5A0F"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1,580.71</w:t>
            </w:r>
          </w:p>
        </w:tc>
        <w:tc>
          <w:tcPr>
            <w:tcW w:w="842" w:type="pct"/>
            <w:vAlign w:val="center"/>
          </w:tcPr>
          <w:p w14:paraId="36FDD661"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351.33</w:t>
            </w:r>
          </w:p>
        </w:tc>
        <w:tc>
          <w:tcPr>
            <w:tcW w:w="721" w:type="pct"/>
            <w:shd w:val="clear" w:color="auto" w:fill="auto"/>
            <w:vAlign w:val="center"/>
          </w:tcPr>
          <w:p w14:paraId="4316146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1,229.38</w:t>
            </w:r>
          </w:p>
        </w:tc>
        <w:tc>
          <w:tcPr>
            <w:tcW w:w="774" w:type="pct"/>
            <w:shd w:val="clear" w:color="auto" w:fill="auto"/>
            <w:vAlign w:val="center"/>
          </w:tcPr>
          <w:p w14:paraId="411A03CB"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-3,730.41</w:t>
            </w:r>
          </w:p>
        </w:tc>
        <w:tc>
          <w:tcPr>
            <w:tcW w:w="770" w:type="pct"/>
            <w:vAlign w:val="center"/>
          </w:tcPr>
          <w:p w14:paraId="1E10620F"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4,959.78</w:t>
            </w:r>
          </w:p>
        </w:tc>
      </w:tr>
      <w:tr w:rsidR="00C02929" w14:paraId="0BD0C364" w14:textId="77777777">
        <w:trPr>
          <w:trHeight w:val="397"/>
        </w:trPr>
        <w:tc>
          <w:tcPr>
            <w:tcW w:w="1237" w:type="pct"/>
            <w:shd w:val="clear" w:color="auto" w:fill="auto"/>
            <w:vAlign w:val="center"/>
          </w:tcPr>
          <w:p w14:paraId="79062EAA"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657" w:type="pct"/>
            <w:vAlign w:val="center"/>
          </w:tcPr>
          <w:p w14:paraId="7D39197A"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1,067.66</w:t>
            </w:r>
          </w:p>
        </w:tc>
        <w:tc>
          <w:tcPr>
            <w:tcW w:w="842" w:type="pct"/>
            <w:vAlign w:val="center"/>
          </w:tcPr>
          <w:p w14:paraId="129368EA"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261.22</w:t>
            </w:r>
          </w:p>
        </w:tc>
        <w:tc>
          <w:tcPr>
            <w:tcW w:w="721" w:type="pct"/>
            <w:shd w:val="clear" w:color="auto" w:fill="auto"/>
            <w:vAlign w:val="center"/>
          </w:tcPr>
          <w:p w14:paraId="3C2C9BC5"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806.44</w:t>
            </w:r>
          </w:p>
        </w:tc>
        <w:tc>
          <w:tcPr>
            <w:tcW w:w="774" w:type="pct"/>
            <w:shd w:val="clear" w:color="auto" w:fill="auto"/>
            <w:vAlign w:val="center"/>
          </w:tcPr>
          <w:p w14:paraId="1660A85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-2,665.17</w:t>
            </w:r>
          </w:p>
        </w:tc>
        <w:tc>
          <w:tcPr>
            <w:tcW w:w="770" w:type="pct"/>
            <w:vAlign w:val="center"/>
          </w:tcPr>
          <w:p w14:paraId="1526C7EE"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3,471.62</w:t>
            </w:r>
          </w:p>
        </w:tc>
      </w:tr>
      <w:tr w:rsidR="00C02929" w14:paraId="2219DB27" w14:textId="77777777">
        <w:trPr>
          <w:trHeight w:val="397"/>
        </w:trPr>
        <w:tc>
          <w:tcPr>
            <w:tcW w:w="1237" w:type="pct"/>
            <w:shd w:val="clear" w:color="auto" w:fill="auto"/>
            <w:vAlign w:val="center"/>
          </w:tcPr>
          <w:p w14:paraId="62E48335"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657" w:type="pct"/>
            <w:vAlign w:val="center"/>
          </w:tcPr>
          <w:p w14:paraId="738A64B6"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513.05</w:t>
            </w:r>
          </w:p>
        </w:tc>
        <w:tc>
          <w:tcPr>
            <w:tcW w:w="842" w:type="pct"/>
            <w:vAlign w:val="center"/>
          </w:tcPr>
          <w:p w14:paraId="1F469FDE"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90.11</w:t>
            </w:r>
          </w:p>
        </w:tc>
        <w:tc>
          <w:tcPr>
            <w:tcW w:w="721" w:type="pct"/>
            <w:shd w:val="clear" w:color="auto" w:fill="auto"/>
            <w:vAlign w:val="center"/>
          </w:tcPr>
          <w:p w14:paraId="736FC3F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422.93</w:t>
            </w:r>
          </w:p>
        </w:tc>
        <w:tc>
          <w:tcPr>
            <w:tcW w:w="774" w:type="pct"/>
            <w:shd w:val="clear" w:color="auto" w:fill="auto"/>
            <w:vAlign w:val="center"/>
          </w:tcPr>
          <w:p w14:paraId="21BDBD0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-1,065.23</w:t>
            </w:r>
          </w:p>
        </w:tc>
        <w:tc>
          <w:tcPr>
            <w:tcW w:w="770" w:type="pct"/>
            <w:vAlign w:val="center"/>
          </w:tcPr>
          <w:p w14:paraId="0709E81A"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1,488.17</w:t>
            </w:r>
          </w:p>
        </w:tc>
      </w:tr>
      <w:tr w:rsidR="00C02929" w14:paraId="540DC1F7" w14:textId="77777777">
        <w:trPr>
          <w:trHeight w:val="397"/>
        </w:trPr>
        <w:tc>
          <w:tcPr>
            <w:tcW w:w="1237" w:type="pct"/>
            <w:shd w:val="clear" w:color="auto" w:fill="auto"/>
            <w:vAlign w:val="center"/>
          </w:tcPr>
          <w:p w14:paraId="54F9395D"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657" w:type="pct"/>
            <w:vAlign w:val="center"/>
          </w:tcPr>
          <w:p w14:paraId="781A8896"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32.46%</w:t>
            </w:r>
          </w:p>
        </w:tc>
        <w:tc>
          <w:tcPr>
            <w:tcW w:w="842" w:type="pct"/>
            <w:vAlign w:val="center"/>
          </w:tcPr>
          <w:p w14:paraId="2CF6E099"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-1.95%</w:t>
            </w:r>
          </w:p>
        </w:tc>
        <w:tc>
          <w:tcPr>
            <w:tcW w:w="721" w:type="pct"/>
            <w:shd w:val="clear" w:color="auto" w:fill="auto"/>
            <w:vAlign w:val="center"/>
          </w:tcPr>
          <w:p w14:paraId="16131C09"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34.40%</w:t>
            </w:r>
          </w:p>
        </w:tc>
        <w:tc>
          <w:tcPr>
            <w:tcW w:w="774" w:type="pct"/>
            <w:shd w:val="clear" w:color="auto" w:fill="auto"/>
            <w:vAlign w:val="center"/>
          </w:tcPr>
          <w:p w14:paraId="76273F90"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4.40%</w:t>
            </w:r>
          </w:p>
        </w:tc>
        <w:tc>
          <w:tcPr>
            <w:tcW w:w="770" w:type="pct"/>
            <w:vAlign w:val="center"/>
          </w:tcPr>
          <w:p w14:paraId="5ABE5D4A"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30.00%</w:t>
            </w:r>
          </w:p>
        </w:tc>
      </w:tr>
      <w:tr w:rsidR="00C02929" w14:paraId="399CCE20" w14:textId="77777777">
        <w:trPr>
          <w:trHeight w:val="397"/>
        </w:trPr>
        <w:tc>
          <w:tcPr>
            <w:tcW w:w="1237" w:type="pct"/>
            <w:shd w:val="clear" w:color="auto" w:fill="auto"/>
            <w:vAlign w:val="center"/>
          </w:tcPr>
          <w:p w14:paraId="2ED6F1A8"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对机器人及配套业务的毛利贡献率</w:t>
            </w:r>
          </w:p>
        </w:tc>
        <w:tc>
          <w:tcPr>
            <w:tcW w:w="657" w:type="pct"/>
            <w:vAlign w:val="center"/>
          </w:tcPr>
          <w:p w14:paraId="0701741B"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31.75%</w:t>
            </w:r>
          </w:p>
        </w:tc>
        <w:tc>
          <w:tcPr>
            <w:tcW w:w="842" w:type="pct"/>
            <w:vAlign w:val="center"/>
          </w:tcPr>
          <w:p w14:paraId="5DCFDA84"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-54.57%</w:t>
            </w:r>
          </w:p>
        </w:tc>
        <w:tc>
          <w:tcPr>
            <w:tcW w:w="721" w:type="pct"/>
            <w:shd w:val="clear" w:color="auto" w:fill="auto"/>
            <w:vAlign w:val="center"/>
          </w:tcPr>
          <w:p w14:paraId="09FEE85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86.32%</w:t>
            </w:r>
          </w:p>
        </w:tc>
        <w:tc>
          <w:tcPr>
            <w:tcW w:w="774" w:type="pct"/>
            <w:shd w:val="clear" w:color="auto" w:fill="auto"/>
            <w:vAlign w:val="center"/>
          </w:tcPr>
          <w:p w14:paraId="132380F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-10.36%</w:t>
            </w:r>
          </w:p>
        </w:tc>
        <w:tc>
          <w:tcPr>
            <w:tcW w:w="770" w:type="pct"/>
            <w:vAlign w:val="center"/>
          </w:tcPr>
          <w:p w14:paraId="54180C4D"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96.68%</w:t>
            </w:r>
          </w:p>
        </w:tc>
      </w:tr>
    </w:tbl>
    <w:p w14:paraId="4F9C6788"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注：对机器人及配套业务的毛利贡献率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机器人集成应用业务</w:t>
      </w:r>
      <w:r>
        <w:rPr>
          <w:rFonts w:ascii="Times New Roman" w:hAnsi="Times New Roman" w:cs="Times New Roman"/>
          <w:bCs/>
          <w:color w:val="000000"/>
          <w:sz w:val="21"/>
          <w:szCs w:val="21"/>
          <w:lang w:val="en-GB"/>
        </w:rPr>
        <w:t>-</w:t>
      </w:r>
      <w:r>
        <w:rPr>
          <w:rFonts w:ascii="Times New Roman" w:hAnsi="Times New Roman" w:cs="Times New Roman"/>
          <w:bCs/>
          <w:color w:val="000000"/>
          <w:sz w:val="21"/>
          <w:szCs w:val="21"/>
          <w:lang w:val="en-GB"/>
        </w:rPr>
        <w:t>非冲压连线项目</w:t>
      </w:r>
      <w:r>
        <w:rPr>
          <w:rFonts w:ascii="Times New Roman" w:hAnsi="Times New Roman" w:cs="Times New Roman" w:hint="eastAsia"/>
          <w:bCs/>
          <w:color w:val="000000"/>
          <w:sz w:val="21"/>
          <w:szCs w:val="21"/>
          <w:lang w:val="en-GB"/>
        </w:rPr>
        <w:t>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机器人及配套业务总毛利。</w:t>
      </w:r>
    </w:p>
    <w:p w14:paraId="3E3CB84E"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w:t>
      </w:r>
      <w:r>
        <w:rPr>
          <w:rFonts w:ascii="Times New Roman" w:hAnsi="Times New Roman" w:cs="Times New Roman" w:hint="eastAsia"/>
        </w:rPr>
        <w:t>2</w:t>
      </w:r>
      <w:r>
        <w:rPr>
          <w:rFonts w:ascii="Times New Roman" w:hAnsi="Times New Roman" w:cs="Times New Roman" w:hint="eastAsia"/>
        </w:rPr>
        <w:t>）机器人集成应用业务</w:t>
      </w:r>
      <w:r>
        <w:rPr>
          <w:rFonts w:ascii="Times New Roman" w:hAnsi="Times New Roman" w:cs="Times New Roman"/>
        </w:rPr>
        <w:t>-</w:t>
      </w:r>
      <w:r>
        <w:rPr>
          <w:rFonts w:ascii="Times New Roman" w:hAnsi="Times New Roman" w:cs="Times New Roman" w:hint="eastAsia"/>
        </w:rPr>
        <w:t>含冲压机冲压连线项目</w:t>
      </w:r>
    </w:p>
    <w:p w14:paraId="3A775164"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018</w:t>
      </w:r>
      <w:r>
        <w:rPr>
          <w:rFonts w:ascii="Times New Roman" w:hAnsi="Times New Roman" w:cs="Times New Roman" w:hint="eastAsia"/>
        </w:rPr>
        <w:t>年、</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年，标的公司机器人集成应用业务</w:t>
      </w:r>
      <w:r>
        <w:rPr>
          <w:rFonts w:ascii="Times New Roman" w:hAnsi="Times New Roman" w:cs="Times New Roman"/>
        </w:rPr>
        <w:t>-</w:t>
      </w:r>
      <w:r>
        <w:rPr>
          <w:rFonts w:ascii="Times New Roman" w:hAnsi="Times New Roman" w:cs="Times New Roman"/>
        </w:rPr>
        <w:t>含冲压机冲压连线项目</w:t>
      </w:r>
      <w:r>
        <w:rPr>
          <w:rFonts w:ascii="Times New Roman" w:hAnsi="Times New Roman" w:cs="Times New Roman" w:hint="eastAsia"/>
        </w:rPr>
        <w:t>营业收入、产生的毛利、对机器人及配套业务的毛利贡献率均较小。</w:t>
      </w:r>
      <w:r>
        <w:rPr>
          <w:rFonts w:ascii="Times New Roman" w:hAnsi="Times New Roman" w:cs="Times New Roman" w:hint="eastAsia"/>
        </w:rPr>
        <w:t>2</w:t>
      </w:r>
      <w:r>
        <w:rPr>
          <w:rFonts w:ascii="Times New Roman" w:hAnsi="Times New Roman" w:cs="Times New Roman"/>
        </w:rPr>
        <w:t>020</w:t>
      </w:r>
      <w:r>
        <w:rPr>
          <w:rFonts w:ascii="Times New Roman" w:hAnsi="Times New Roman" w:cs="Times New Roman" w:hint="eastAsia"/>
        </w:rPr>
        <w:t>年，标的公司机器人集成应用业务</w:t>
      </w:r>
      <w:r>
        <w:rPr>
          <w:rFonts w:ascii="Times New Roman" w:hAnsi="Times New Roman" w:cs="Times New Roman"/>
        </w:rPr>
        <w:t>-</w:t>
      </w:r>
      <w:r>
        <w:rPr>
          <w:rFonts w:ascii="Times New Roman" w:hAnsi="Times New Roman" w:cs="Times New Roman"/>
        </w:rPr>
        <w:t>含冲压机冲压连线项目</w:t>
      </w:r>
      <w:r>
        <w:rPr>
          <w:rFonts w:ascii="Times New Roman" w:hAnsi="Times New Roman" w:cs="Times New Roman" w:hint="eastAsia"/>
        </w:rPr>
        <w:t>产生的毛利为</w:t>
      </w:r>
      <w:r>
        <w:rPr>
          <w:rFonts w:ascii="Times New Roman" w:hAnsi="Times New Roman" w:cs="Times New Roman"/>
        </w:rPr>
        <w:t>1,098.29</w:t>
      </w:r>
      <w:r>
        <w:rPr>
          <w:rFonts w:ascii="Times New Roman" w:hAnsi="Times New Roman" w:cs="Times New Roman" w:hint="eastAsia"/>
        </w:rPr>
        <w:t>万元，其对机器人及配套业务的毛利贡献率为</w:t>
      </w:r>
      <w:r>
        <w:rPr>
          <w:rFonts w:ascii="Times New Roman" w:hAnsi="Times New Roman" w:cs="Times New Roman"/>
        </w:rPr>
        <w:t>67.97%</w:t>
      </w:r>
      <w:r>
        <w:rPr>
          <w:rFonts w:ascii="Times New Roman" w:hAnsi="Times New Roman" w:cs="Times New Roman" w:hint="eastAsia"/>
        </w:rPr>
        <w:t>，相较于</w:t>
      </w:r>
      <w:r>
        <w:rPr>
          <w:rFonts w:ascii="Times New Roman" w:hAnsi="Times New Roman" w:cs="Times New Roman" w:hint="eastAsia"/>
        </w:rPr>
        <w:t>2</w:t>
      </w:r>
      <w:r>
        <w:rPr>
          <w:rFonts w:ascii="Times New Roman" w:hAnsi="Times New Roman" w:cs="Times New Roman"/>
        </w:rPr>
        <w:t>019</w:t>
      </w:r>
      <w:r>
        <w:rPr>
          <w:rFonts w:ascii="Times New Roman" w:hAnsi="Times New Roman" w:cs="Times New Roman" w:hint="eastAsia"/>
        </w:rPr>
        <w:t>年均大幅增加，主要系该类业务工期较短，能够帮助标的公司减小疫情对于公司经营造成的影响所致。</w:t>
      </w:r>
    </w:p>
    <w:p w14:paraId="0E7A46FE"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报告期内各期，标的公司机器人集成应用业务</w:t>
      </w:r>
      <w:r>
        <w:rPr>
          <w:rFonts w:ascii="Times New Roman" w:hAnsi="Times New Roman" w:cs="Times New Roman"/>
        </w:rPr>
        <w:t>-</w:t>
      </w:r>
      <w:r>
        <w:rPr>
          <w:rFonts w:ascii="Times New Roman" w:hAnsi="Times New Roman" w:cs="Times New Roman" w:hint="eastAsia"/>
        </w:rPr>
        <w:t>含冲压机冲压连线项目</w:t>
      </w:r>
      <w:r>
        <w:rPr>
          <w:rFonts w:ascii="Times New Roman" w:hAnsi="Times New Roman" w:cs="Times New Roman"/>
        </w:rPr>
        <w:t>的毛利率分别为</w:t>
      </w:r>
      <w:r>
        <w:rPr>
          <w:rFonts w:ascii="Times New Roman" w:hAnsi="Times New Roman" w:cs="Times New Roman"/>
        </w:rPr>
        <w:t>20.00%</w:t>
      </w:r>
      <w:r>
        <w:rPr>
          <w:rFonts w:ascii="Times New Roman" w:hAnsi="Times New Roman" w:cs="Times New Roman"/>
        </w:rPr>
        <w:t>、</w:t>
      </w:r>
      <w:r>
        <w:rPr>
          <w:rFonts w:ascii="Times New Roman" w:hAnsi="Times New Roman" w:cs="Times New Roman"/>
        </w:rPr>
        <w:t>11.28%</w:t>
      </w:r>
      <w:r>
        <w:rPr>
          <w:rFonts w:ascii="Times New Roman" w:hAnsi="Times New Roman" w:cs="Times New Roman"/>
        </w:rPr>
        <w:t>和</w:t>
      </w:r>
      <w:r>
        <w:rPr>
          <w:rFonts w:ascii="Times New Roman" w:hAnsi="Times New Roman" w:cs="Times New Roman"/>
        </w:rPr>
        <w:t>21.77%</w:t>
      </w:r>
      <w:r>
        <w:rPr>
          <w:rFonts w:ascii="Times New Roman" w:hAnsi="Times New Roman" w:cs="Times New Roman"/>
        </w:rPr>
        <w:t>，毛利率水平</w:t>
      </w:r>
      <w:r>
        <w:rPr>
          <w:rFonts w:ascii="Times New Roman" w:hAnsi="Times New Roman" w:cs="Times New Roman" w:hint="eastAsia"/>
        </w:rPr>
        <w:t>较低，主要系标的公司的冲压机均为外购，降低了该类项目的整体毛利率所致</w:t>
      </w:r>
      <w:r>
        <w:rPr>
          <w:rFonts w:ascii="Times New Roman" w:hAnsi="Times New Roman" w:cs="Times New Roman"/>
        </w:rPr>
        <w:t>。</w:t>
      </w:r>
    </w:p>
    <w:p w14:paraId="040233B4"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90"/>
        <w:gridCol w:w="1348"/>
        <w:gridCol w:w="1348"/>
        <w:gridCol w:w="1174"/>
        <w:gridCol w:w="1081"/>
        <w:gridCol w:w="1381"/>
      </w:tblGrid>
      <w:tr w:rsidR="00C02929" w14:paraId="09567C0D" w14:textId="77777777">
        <w:trPr>
          <w:trHeight w:val="397"/>
        </w:trPr>
        <w:tc>
          <w:tcPr>
            <w:tcW w:w="1285" w:type="pct"/>
            <w:shd w:val="clear" w:color="auto" w:fill="auto"/>
            <w:vAlign w:val="center"/>
          </w:tcPr>
          <w:p w14:paraId="6386210F"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机器人集成应用业务</w:t>
            </w:r>
            <w:r>
              <w:rPr>
                <w:rFonts w:ascii="Times New Roman" w:hAnsi="Times New Roman" w:cs="Times New Roman"/>
                <w:b/>
                <w:bCs/>
                <w:color w:val="000000"/>
                <w:sz w:val="21"/>
                <w:szCs w:val="21"/>
              </w:rPr>
              <w:t>-</w:t>
            </w:r>
            <w:r>
              <w:rPr>
                <w:rFonts w:ascii="Times New Roman" w:hAnsi="Times New Roman" w:cs="Times New Roman" w:hint="eastAsia"/>
                <w:b/>
                <w:bCs/>
                <w:color w:val="000000"/>
                <w:sz w:val="21"/>
                <w:szCs w:val="21"/>
              </w:rPr>
              <w:t>含冲压机</w:t>
            </w:r>
            <w:r>
              <w:rPr>
                <w:rFonts w:ascii="Times New Roman" w:hAnsi="Times New Roman" w:cs="Times New Roman"/>
                <w:b/>
                <w:bCs/>
                <w:color w:val="000000"/>
                <w:sz w:val="21"/>
                <w:szCs w:val="21"/>
              </w:rPr>
              <w:t>冲压连线项目</w:t>
            </w:r>
          </w:p>
        </w:tc>
        <w:tc>
          <w:tcPr>
            <w:tcW w:w="791" w:type="pct"/>
            <w:vAlign w:val="center"/>
          </w:tcPr>
          <w:p w14:paraId="2BAF1DC8"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年度</w:t>
            </w:r>
          </w:p>
        </w:tc>
        <w:tc>
          <w:tcPr>
            <w:tcW w:w="791" w:type="pct"/>
            <w:vAlign w:val="center"/>
          </w:tcPr>
          <w:p w14:paraId="7816599E"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年较</w:t>
            </w: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年增长</w:t>
            </w:r>
          </w:p>
        </w:tc>
        <w:tc>
          <w:tcPr>
            <w:tcW w:w="689" w:type="pct"/>
            <w:shd w:val="clear" w:color="auto" w:fill="auto"/>
            <w:vAlign w:val="center"/>
          </w:tcPr>
          <w:p w14:paraId="0C790C0C"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b/>
                <w:bCs/>
                <w:color w:val="000000"/>
                <w:sz w:val="21"/>
                <w:szCs w:val="21"/>
              </w:rPr>
              <w:t>年度</w:t>
            </w:r>
          </w:p>
        </w:tc>
        <w:tc>
          <w:tcPr>
            <w:tcW w:w="634" w:type="pct"/>
            <w:shd w:val="clear" w:color="auto" w:fill="auto"/>
            <w:vAlign w:val="center"/>
          </w:tcPr>
          <w:p w14:paraId="1ACFCF66"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019</w:t>
            </w:r>
            <w:r>
              <w:rPr>
                <w:rFonts w:ascii="Times New Roman" w:hAnsi="Times New Roman" w:cs="Times New Roman" w:hint="eastAsia"/>
                <w:b/>
                <w:bCs/>
                <w:color w:val="000000"/>
                <w:sz w:val="21"/>
                <w:szCs w:val="21"/>
              </w:rPr>
              <w:t>年较</w:t>
            </w:r>
            <w:r>
              <w:rPr>
                <w:rFonts w:ascii="Times New Roman" w:hAnsi="Times New Roman" w:cs="Times New Roman" w:hint="eastAsia"/>
                <w:b/>
                <w:bCs/>
                <w:color w:val="000000"/>
                <w:sz w:val="21"/>
                <w:szCs w:val="21"/>
              </w:rPr>
              <w:t>2</w:t>
            </w:r>
            <w:r>
              <w:rPr>
                <w:rFonts w:ascii="Times New Roman" w:hAnsi="Times New Roman" w:cs="Times New Roman"/>
                <w:b/>
                <w:bCs/>
                <w:color w:val="000000"/>
                <w:sz w:val="21"/>
                <w:szCs w:val="21"/>
              </w:rPr>
              <w:t>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增长</w:t>
            </w:r>
          </w:p>
        </w:tc>
        <w:tc>
          <w:tcPr>
            <w:tcW w:w="811" w:type="pct"/>
            <w:vAlign w:val="center"/>
          </w:tcPr>
          <w:p w14:paraId="315447E2"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b/>
                <w:bCs/>
                <w:color w:val="000000"/>
                <w:sz w:val="21"/>
                <w:szCs w:val="21"/>
              </w:rPr>
              <w:t>年度</w:t>
            </w:r>
          </w:p>
        </w:tc>
      </w:tr>
      <w:tr w:rsidR="00C02929" w14:paraId="684F253F" w14:textId="77777777">
        <w:trPr>
          <w:trHeight w:val="397"/>
        </w:trPr>
        <w:tc>
          <w:tcPr>
            <w:tcW w:w="1285" w:type="pct"/>
            <w:shd w:val="clear" w:color="auto" w:fill="auto"/>
            <w:vAlign w:val="center"/>
          </w:tcPr>
          <w:p w14:paraId="55E1B51F"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营业收入</w:t>
            </w:r>
          </w:p>
        </w:tc>
        <w:tc>
          <w:tcPr>
            <w:tcW w:w="791" w:type="pct"/>
            <w:vAlign w:val="center"/>
          </w:tcPr>
          <w:p w14:paraId="4EEE3B28"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5,044.16</w:t>
            </w:r>
          </w:p>
        </w:tc>
        <w:tc>
          <w:tcPr>
            <w:tcW w:w="791" w:type="pct"/>
            <w:vAlign w:val="center"/>
          </w:tcPr>
          <w:p w14:paraId="24603FA8"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4,639.52</w:t>
            </w:r>
          </w:p>
        </w:tc>
        <w:tc>
          <w:tcPr>
            <w:tcW w:w="689" w:type="pct"/>
            <w:shd w:val="clear" w:color="auto" w:fill="auto"/>
            <w:vAlign w:val="center"/>
          </w:tcPr>
          <w:p w14:paraId="1B76C68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404.64</w:t>
            </w:r>
          </w:p>
        </w:tc>
        <w:tc>
          <w:tcPr>
            <w:tcW w:w="634" w:type="pct"/>
            <w:shd w:val="clear" w:color="auto" w:fill="auto"/>
            <w:vAlign w:val="center"/>
          </w:tcPr>
          <w:p w14:paraId="36AA1EB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149.08</w:t>
            </w:r>
          </w:p>
        </w:tc>
        <w:tc>
          <w:tcPr>
            <w:tcW w:w="811" w:type="pct"/>
            <w:vAlign w:val="center"/>
          </w:tcPr>
          <w:p w14:paraId="37699392"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255.56</w:t>
            </w:r>
          </w:p>
        </w:tc>
      </w:tr>
      <w:tr w:rsidR="00C02929" w14:paraId="7F23C98D" w14:textId="77777777">
        <w:trPr>
          <w:trHeight w:val="397"/>
        </w:trPr>
        <w:tc>
          <w:tcPr>
            <w:tcW w:w="1285" w:type="pct"/>
            <w:shd w:val="clear" w:color="auto" w:fill="auto"/>
            <w:vAlign w:val="center"/>
          </w:tcPr>
          <w:p w14:paraId="3F54E097"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营业成本</w:t>
            </w:r>
          </w:p>
        </w:tc>
        <w:tc>
          <w:tcPr>
            <w:tcW w:w="791" w:type="pct"/>
            <w:vAlign w:val="center"/>
          </w:tcPr>
          <w:p w14:paraId="3638E09D"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3,945.87</w:t>
            </w:r>
          </w:p>
        </w:tc>
        <w:tc>
          <w:tcPr>
            <w:tcW w:w="791" w:type="pct"/>
            <w:vAlign w:val="center"/>
          </w:tcPr>
          <w:p w14:paraId="3F0DC61F"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3,586.88</w:t>
            </w:r>
          </w:p>
        </w:tc>
        <w:tc>
          <w:tcPr>
            <w:tcW w:w="689" w:type="pct"/>
            <w:shd w:val="clear" w:color="auto" w:fill="auto"/>
            <w:vAlign w:val="center"/>
          </w:tcPr>
          <w:p w14:paraId="0E7659F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358.99</w:t>
            </w:r>
          </w:p>
        </w:tc>
        <w:tc>
          <w:tcPr>
            <w:tcW w:w="634" w:type="pct"/>
            <w:shd w:val="clear" w:color="auto" w:fill="auto"/>
            <w:vAlign w:val="center"/>
          </w:tcPr>
          <w:p w14:paraId="6D67511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154.54</w:t>
            </w:r>
          </w:p>
        </w:tc>
        <w:tc>
          <w:tcPr>
            <w:tcW w:w="811" w:type="pct"/>
            <w:vAlign w:val="center"/>
          </w:tcPr>
          <w:p w14:paraId="2F9EEE2C"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204.44</w:t>
            </w:r>
          </w:p>
        </w:tc>
      </w:tr>
      <w:tr w:rsidR="00C02929" w14:paraId="2CFBEF98" w14:textId="77777777">
        <w:trPr>
          <w:trHeight w:val="397"/>
        </w:trPr>
        <w:tc>
          <w:tcPr>
            <w:tcW w:w="1285" w:type="pct"/>
            <w:shd w:val="clear" w:color="auto" w:fill="auto"/>
            <w:vAlign w:val="center"/>
          </w:tcPr>
          <w:p w14:paraId="1AF80F93"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w:t>
            </w:r>
          </w:p>
        </w:tc>
        <w:tc>
          <w:tcPr>
            <w:tcW w:w="791" w:type="pct"/>
            <w:vAlign w:val="center"/>
          </w:tcPr>
          <w:p w14:paraId="397A3CDD"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1,098.29</w:t>
            </w:r>
          </w:p>
        </w:tc>
        <w:tc>
          <w:tcPr>
            <w:tcW w:w="791" w:type="pct"/>
            <w:vAlign w:val="center"/>
          </w:tcPr>
          <w:p w14:paraId="217DC88C"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1,052.64</w:t>
            </w:r>
          </w:p>
        </w:tc>
        <w:tc>
          <w:tcPr>
            <w:tcW w:w="689" w:type="pct"/>
            <w:shd w:val="clear" w:color="auto" w:fill="auto"/>
            <w:vAlign w:val="center"/>
          </w:tcPr>
          <w:p w14:paraId="718369A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45.65</w:t>
            </w:r>
          </w:p>
        </w:tc>
        <w:tc>
          <w:tcPr>
            <w:tcW w:w="634" w:type="pct"/>
            <w:shd w:val="clear" w:color="auto" w:fill="auto"/>
            <w:vAlign w:val="center"/>
          </w:tcPr>
          <w:p w14:paraId="5979918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-5.46</w:t>
            </w:r>
          </w:p>
        </w:tc>
        <w:tc>
          <w:tcPr>
            <w:tcW w:w="811" w:type="pct"/>
            <w:vAlign w:val="center"/>
          </w:tcPr>
          <w:p w14:paraId="27D18C31"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51.11</w:t>
            </w:r>
          </w:p>
        </w:tc>
      </w:tr>
      <w:tr w:rsidR="00C02929" w14:paraId="554509B2" w14:textId="77777777">
        <w:trPr>
          <w:trHeight w:val="397"/>
        </w:trPr>
        <w:tc>
          <w:tcPr>
            <w:tcW w:w="1285" w:type="pct"/>
            <w:shd w:val="clear" w:color="auto" w:fill="auto"/>
            <w:vAlign w:val="center"/>
          </w:tcPr>
          <w:p w14:paraId="5823721C"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毛利率</w:t>
            </w:r>
          </w:p>
        </w:tc>
        <w:tc>
          <w:tcPr>
            <w:tcW w:w="791" w:type="pct"/>
            <w:vAlign w:val="center"/>
          </w:tcPr>
          <w:p w14:paraId="62DD787B"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21.77%</w:t>
            </w:r>
          </w:p>
        </w:tc>
        <w:tc>
          <w:tcPr>
            <w:tcW w:w="791" w:type="pct"/>
            <w:vAlign w:val="center"/>
          </w:tcPr>
          <w:p w14:paraId="6563FE7E"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10.49%</w:t>
            </w:r>
          </w:p>
        </w:tc>
        <w:tc>
          <w:tcPr>
            <w:tcW w:w="689" w:type="pct"/>
            <w:shd w:val="clear" w:color="auto" w:fill="auto"/>
            <w:vAlign w:val="center"/>
          </w:tcPr>
          <w:p w14:paraId="4827129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11.28%</w:t>
            </w:r>
          </w:p>
        </w:tc>
        <w:tc>
          <w:tcPr>
            <w:tcW w:w="634" w:type="pct"/>
            <w:shd w:val="clear" w:color="auto" w:fill="auto"/>
            <w:vAlign w:val="center"/>
          </w:tcPr>
          <w:p w14:paraId="1E02385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-8.72%</w:t>
            </w:r>
          </w:p>
        </w:tc>
        <w:tc>
          <w:tcPr>
            <w:tcW w:w="811" w:type="pct"/>
            <w:vAlign w:val="center"/>
          </w:tcPr>
          <w:p w14:paraId="56389F53"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20.00%</w:t>
            </w:r>
          </w:p>
        </w:tc>
      </w:tr>
      <w:tr w:rsidR="00C02929" w14:paraId="5C315184" w14:textId="77777777">
        <w:trPr>
          <w:trHeight w:val="397"/>
        </w:trPr>
        <w:tc>
          <w:tcPr>
            <w:tcW w:w="1285" w:type="pct"/>
            <w:shd w:val="clear" w:color="auto" w:fill="auto"/>
            <w:vAlign w:val="center"/>
          </w:tcPr>
          <w:p w14:paraId="5491C3A2"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color w:val="000000"/>
                <w:sz w:val="21"/>
                <w:szCs w:val="21"/>
              </w:rPr>
              <w:t>对机器人及配套业务的毛利贡献率</w:t>
            </w:r>
          </w:p>
        </w:tc>
        <w:tc>
          <w:tcPr>
            <w:tcW w:w="791" w:type="pct"/>
            <w:vAlign w:val="center"/>
          </w:tcPr>
          <w:p w14:paraId="770B131C"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67.97%</w:t>
            </w:r>
          </w:p>
        </w:tc>
        <w:tc>
          <w:tcPr>
            <w:tcW w:w="791" w:type="pct"/>
            <w:vAlign w:val="center"/>
          </w:tcPr>
          <w:p w14:paraId="7EE923A3"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58.65%</w:t>
            </w:r>
          </w:p>
        </w:tc>
        <w:tc>
          <w:tcPr>
            <w:tcW w:w="689" w:type="pct"/>
            <w:shd w:val="clear" w:color="auto" w:fill="auto"/>
            <w:vAlign w:val="center"/>
          </w:tcPr>
          <w:p w14:paraId="510917D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9.32%</w:t>
            </w:r>
          </w:p>
        </w:tc>
        <w:tc>
          <w:tcPr>
            <w:tcW w:w="634" w:type="pct"/>
            <w:shd w:val="clear" w:color="auto" w:fill="auto"/>
            <w:vAlign w:val="center"/>
          </w:tcPr>
          <w:p w14:paraId="64E4045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kern w:val="2"/>
                <w:sz w:val="21"/>
                <w:szCs w:val="21"/>
              </w:rPr>
              <w:t>6.00%</w:t>
            </w:r>
          </w:p>
        </w:tc>
        <w:tc>
          <w:tcPr>
            <w:tcW w:w="811" w:type="pct"/>
            <w:vAlign w:val="center"/>
          </w:tcPr>
          <w:p w14:paraId="1A878621" w14:textId="77777777" w:rsidR="00C02929" w:rsidRDefault="006116D1">
            <w:pPr>
              <w:jc w:val="right"/>
              <w:rPr>
                <w:rFonts w:ascii="Times New Roman" w:eastAsia="等线" w:hAnsi="Times New Roman" w:cs="Times New Roman"/>
                <w:color w:val="000000"/>
                <w:kern w:val="2"/>
                <w:sz w:val="21"/>
                <w:szCs w:val="21"/>
              </w:rPr>
            </w:pPr>
            <w:r>
              <w:rPr>
                <w:rFonts w:ascii="Times New Roman" w:eastAsia="等线" w:hAnsi="Times New Roman" w:cs="Times New Roman"/>
                <w:color w:val="000000"/>
                <w:kern w:val="2"/>
                <w:sz w:val="21"/>
                <w:szCs w:val="21"/>
              </w:rPr>
              <w:t>3.32%</w:t>
            </w:r>
          </w:p>
        </w:tc>
      </w:tr>
    </w:tbl>
    <w:p w14:paraId="6B111143"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注：对机器人及配套业务的毛利贡献率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机器人集成应用业务</w:t>
      </w:r>
      <w:r>
        <w:rPr>
          <w:rFonts w:ascii="Times New Roman" w:hAnsi="Times New Roman" w:cs="Times New Roman"/>
          <w:bCs/>
          <w:color w:val="000000"/>
          <w:sz w:val="21"/>
          <w:szCs w:val="21"/>
          <w:lang w:val="en-GB"/>
        </w:rPr>
        <w:t>-</w:t>
      </w:r>
      <w:r>
        <w:rPr>
          <w:rFonts w:ascii="Times New Roman" w:hAnsi="Times New Roman" w:cs="Times New Roman" w:hint="eastAsia"/>
          <w:bCs/>
          <w:color w:val="000000"/>
          <w:sz w:val="21"/>
          <w:szCs w:val="21"/>
          <w:lang w:val="en-GB"/>
        </w:rPr>
        <w:t>含冲压机冲压连线项目的毛利</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机器人及配套业务总毛利。</w:t>
      </w:r>
    </w:p>
    <w:p w14:paraId="08D02F27"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rPr>
        <w:t>随着标的公司的发展，未来会逐渐减少承接毛利率较低的业务，如机器人集成应用业务</w:t>
      </w:r>
      <w:r>
        <w:rPr>
          <w:rFonts w:ascii="Times New Roman" w:hAnsi="Times New Roman" w:cs="Times New Roman"/>
        </w:rPr>
        <w:t>-</w:t>
      </w:r>
      <w:r>
        <w:rPr>
          <w:rFonts w:ascii="Times New Roman" w:hAnsi="Times New Roman" w:cs="Times New Roman" w:hint="eastAsia"/>
        </w:rPr>
        <w:t>含冲压机冲压连线项目。</w:t>
      </w:r>
    </w:p>
    <w:p w14:paraId="35ADAFBA"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三、行业竞争情况</w:t>
      </w:r>
    </w:p>
    <w:p w14:paraId="633B542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同行业可比公司选取标准的主要依据是其相关产品及应用领域与标的公司是否类似。因此，在进行毛利率同行业对比分析时，选取埃斯顿、机器人、快克股份、拓斯达、永创智能五家上市公司作为标的公司的可比公司。</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20"/>
        <w:gridCol w:w="1420"/>
        <w:gridCol w:w="1421"/>
        <w:gridCol w:w="1420"/>
        <w:gridCol w:w="1421"/>
        <w:gridCol w:w="1420"/>
      </w:tblGrid>
      <w:tr w:rsidR="00C02929" w14:paraId="00E49973" w14:textId="77777777">
        <w:trPr>
          <w:trHeight w:val="397"/>
          <w:tblHeader/>
        </w:trPr>
        <w:tc>
          <w:tcPr>
            <w:tcW w:w="833" w:type="pct"/>
            <w:vMerge w:val="restart"/>
            <w:shd w:val="clear" w:color="auto" w:fill="auto"/>
            <w:vAlign w:val="center"/>
          </w:tcPr>
          <w:p w14:paraId="76173C7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公司简称</w:t>
            </w:r>
          </w:p>
        </w:tc>
        <w:tc>
          <w:tcPr>
            <w:tcW w:w="1667" w:type="pct"/>
            <w:gridSpan w:val="2"/>
            <w:shd w:val="clear" w:color="auto" w:fill="auto"/>
            <w:vAlign w:val="center"/>
          </w:tcPr>
          <w:p w14:paraId="7478AB0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1-9</w:t>
            </w:r>
            <w:r>
              <w:rPr>
                <w:rFonts w:ascii="Times New Roman" w:hAnsi="Times New Roman" w:cs="Times New Roman" w:hint="eastAsia"/>
                <w:b/>
                <w:bCs/>
                <w:color w:val="000000"/>
                <w:sz w:val="21"/>
                <w:szCs w:val="21"/>
              </w:rPr>
              <w:t>月</w:t>
            </w:r>
          </w:p>
        </w:tc>
        <w:tc>
          <w:tcPr>
            <w:tcW w:w="1667" w:type="pct"/>
            <w:gridSpan w:val="2"/>
            <w:shd w:val="clear" w:color="auto" w:fill="auto"/>
            <w:vAlign w:val="center"/>
          </w:tcPr>
          <w:p w14:paraId="5447068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年度</w:t>
            </w:r>
          </w:p>
        </w:tc>
        <w:tc>
          <w:tcPr>
            <w:tcW w:w="833" w:type="pct"/>
            <w:shd w:val="clear" w:color="auto" w:fill="auto"/>
            <w:vAlign w:val="center"/>
          </w:tcPr>
          <w:p w14:paraId="43D2968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年度</w:t>
            </w:r>
          </w:p>
        </w:tc>
      </w:tr>
      <w:tr w:rsidR="00C02929" w14:paraId="35A86C6F" w14:textId="77777777">
        <w:trPr>
          <w:trHeight w:val="397"/>
          <w:tblHeader/>
        </w:trPr>
        <w:tc>
          <w:tcPr>
            <w:tcW w:w="833" w:type="pct"/>
            <w:vMerge/>
            <w:vAlign w:val="center"/>
          </w:tcPr>
          <w:p w14:paraId="5CDF884C" w14:textId="77777777" w:rsidR="00C02929" w:rsidRDefault="00C02929">
            <w:pPr>
              <w:rPr>
                <w:rFonts w:ascii="Times New Roman" w:hAnsi="Times New Roman" w:cs="Times New Roman"/>
                <w:b/>
                <w:bCs/>
                <w:color w:val="000000"/>
                <w:sz w:val="21"/>
                <w:szCs w:val="21"/>
              </w:rPr>
            </w:pPr>
          </w:p>
        </w:tc>
        <w:tc>
          <w:tcPr>
            <w:tcW w:w="833" w:type="pct"/>
            <w:shd w:val="clear" w:color="auto" w:fill="auto"/>
            <w:vAlign w:val="center"/>
          </w:tcPr>
          <w:p w14:paraId="067CBC4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7A50C27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0741500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6FA8260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20C80D0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C02929" w14:paraId="4B56EA7A" w14:textId="77777777">
        <w:trPr>
          <w:trHeight w:val="397"/>
        </w:trPr>
        <w:tc>
          <w:tcPr>
            <w:tcW w:w="833" w:type="pct"/>
            <w:shd w:val="clear" w:color="auto" w:fill="auto"/>
            <w:vAlign w:val="center"/>
          </w:tcPr>
          <w:p w14:paraId="19549C3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埃斯顿</w:t>
            </w:r>
          </w:p>
        </w:tc>
        <w:tc>
          <w:tcPr>
            <w:tcW w:w="833" w:type="pct"/>
            <w:shd w:val="clear" w:color="auto" w:fill="auto"/>
            <w:vAlign w:val="center"/>
          </w:tcPr>
          <w:p w14:paraId="5DF9C52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36.90%</w:t>
            </w:r>
          </w:p>
        </w:tc>
        <w:tc>
          <w:tcPr>
            <w:tcW w:w="833" w:type="pct"/>
            <w:shd w:val="clear" w:color="auto" w:fill="auto"/>
            <w:vAlign w:val="center"/>
          </w:tcPr>
          <w:p w14:paraId="520DDEA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0.90%</w:t>
            </w:r>
          </w:p>
        </w:tc>
        <w:tc>
          <w:tcPr>
            <w:tcW w:w="833" w:type="pct"/>
            <w:shd w:val="clear" w:color="auto" w:fill="auto"/>
            <w:vAlign w:val="center"/>
          </w:tcPr>
          <w:p w14:paraId="7922C8C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36.01%</w:t>
            </w:r>
          </w:p>
        </w:tc>
        <w:tc>
          <w:tcPr>
            <w:tcW w:w="833" w:type="pct"/>
            <w:shd w:val="clear" w:color="auto" w:fill="auto"/>
            <w:vAlign w:val="center"/>
          </w:tcPr>
          <w:p w14:paraId="467DC25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0.02%</w:t>
            </w:r>
          </w:p>
        </w:tc>
        <w:tc>
          <w:tcPr>
            <w:tcW w:w="833" w:type="pct"/>
            <w:shd w:val="clear" w:color="auto" w:fill="auto"/>
            <w:vAlign w:val="center"/>
          </w:tcPr>
          <w:p w14:paraId="6195CFE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35.99%</w:t>
            </w:r>
          </w:p>
        </w:tc>
      </w:tr>
      <w:tr w:rsidR="00C02929" w14:paraId="0C426426" w14:textId="77777777">
        <w:trPr>
          <w:trHeight w:val="397"/>
        </w:trPr>
        <w:tc>
          <w:tcPr>
            <w:tcW w:w="833" w:type="pct"/>
            <w:shd w:val="clear" w:color="auto" w:fill="auto"/>
            <w:vAlign w:val="center"/>
          </w:tcPr>
          <w:p w14:paraId="606E1E5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lastRenderedPageBreak/>
              <w:t>机器人</w:t>
            </w:r>
          </w:p>
        </w:tc>
        <w:tc>
          <w:tcPr>
            <w:tcW w:w="833" w:type="pct"/>
            <w:shd w:val="clear" w:color="auto" w:fill="auto"/>
            <w:vAlign w:val="center"/>
          </w:tcPr>
          <w:p w14:paraId="7B8DD4A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27.13%</w:t>
            </w:r>
          </w:p>
        </w:tc>
        <w:tc>
          <w:tcPr>
            <w:tcW w:w="833" w:type="pct"/>
            <w:shd w:val="clear" w:color="auto" w:fill="auto"/>
            <w:vAlign w:val="center"/>
          </w:tcPr>
          <w:p w14:paraId="0B23F29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-0.79%</w:t>
            </w:r>
          </w:p>
        </w:tc>
        <w:tc>
          <w:tcPr>
            <w:tcW w:w="833" w:type="pct"/>
            <w:shd w:val="clear" w:color="auto" w:fill="auto"/>
            <w:vAlign w:val="center"/>
          </w:tcPr>
          <w:p w14:paraId="7D1E88A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27.92%</w:t>
            </w:r>
          </w:p>
        </w:tc>
        <w:tc>
          <w:tcPr>
            <w:tcW w:w="833" w:type="pct"/>
            <w:shd w:val="clear" w:color="auto" w:fill="auto"/>
            <w:vAlign w:val="center"/>
          </w:tcPr>
          <w:p w14:paraId="176D944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-3.55%</w:t>
            </w:r>
          </w:p>
        </w:tc>
        <w:tc>
          <w:tcPr>
            <w:tcW w:w="833" w:type="pct"/>
            <w:shd w:val="clear" w:color="auto" w:fill="auto"/>
            <w:vAlign w:val="center"/>
          </w:tcPr>
          <w:p w14:paraId="61DD924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31.47%</w:t>
            </w:r>
          </w:p>
        </w:tc>
      </w:tr>
      <w:tr w:rsidR="00C02929" w14:paraId="43AC8CAA" w14:textId="77777777">
        <w:trPr>
          <w:trHeight w:val="397"/>
        </w:trPr>
        <w:tc>
          <w:tcPr>
            <w:tcW w:w="833" w:type="pct"/>
            <w:shd w:val="clear" w:color="auto" w:fill="auto"/>
            <w:vAlign w:val="center"/>
          </w:tcPr>
          <w:p w14:paraId="6A08C6E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快克股份</w:t>
            </w:r>
          </w:p>
        </w:tc>
        <w:tc>
          <w:tcPr>
            <w:tcW w:w="833" w:type="pct"/>
            <w:shd w:val="clear" w:color="auto" w:fill="auto"/>
            <w:vAlign w:val="center"/>
          </w:tcPr>
          <w:p w14:paraId="6DC3F94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53.41%</w:t>
            </w:r>
          </w:p>
        </w:tc>
        <w:tc>
          <w:tcPr>
            <w:tcW w:w="833" w:type="pct"/>
            <w:shd w:val="clear" w:color="auto" w:fill="auto"/>
            <w:vAlign w:val="center"/>
          </w:tcPr>
          <w:p w14:paraId="123F768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-1.57%</w:t>
            </w:r>
          </w:p>
        </w:tc>
        <w:tc>
          <w:tcPr>
            <w:tcW w:w="833" w:type="pct"/>
            <w:shd w:val="clear" w:color="auto" w:fill="auto"/>
            <w:vAlign w:val="center"/>
          </w:tcPr>
          <w:p w14:paraId="27B21EF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54.98%</w:t>
            </w:r>
          </w:p>
        </w:tc>
        <w:tc>
          <w:tcPr>
            <w:tcW w:w="833" w:type="pct"/>
            <w:shd w:val="clear" w:color="auto" w:fill="auto"/>
            <w:vAlign w:val="center"/>
          </w:tcPr>
          <w:p w14:paraId="775B878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-0.04%</w:t>
            </w:r>
          </w:p>
        </w:tc>
        <w:tc>
          <w:tcPr>
            <w:tcW w:w="833" w:type="pct"/>
            <w:shd w:val="clear" w:color="auto" w:fill="auto"/>
            <w:vAlign w:val="center"/>
          </w:tcPr>
          <w:p w14:paraId="0D6A578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55.03%</w:t>
            </w:r>
          </w:p>
        </w:tc>
      </w:tr>
      <w:tr w:rsidR="00C02929" w14:paraId="0599DF17" w14:textId="77777777">
        <w:trPr>
          <w:trHeight w:val="397"/>
        </w:trPr>
        <w:tc>
          <w:tcPr>
            <w:tcW w:w="833" w:type="pct"/>
            <w:shd w:val="clear" w:color="auto" w:fill="auto"/>
            <w:vAlign w:val="center"/>
          </w:tcPr>
          <w:p w14:paraId="4D9D3F8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拓斯达</w:t>
            </w:r>
          </w:p>
        </w:tc>
        <w:tc>
          <w:tcPr>
            <w:tcW w:w="833" w:type="pct"/>
            <w:shd w:val="clear" w:color="auto" w:fill="auto"/>
            <w:vAlign w:val="center"/>
          </w:tcPr>
          <w:p w14:paraId="249C16B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53.54%</w:t>
            </w:r>
          </w:p>
        </w:tc>
        <w:tc>
          <w:tcPr>
            <w:tcW w:w="833" w:type="pct"/>
            <w:shd w:val="clear" w:color="auto" w:fill="auto"/>
            <w:vAlign w:val="center"/>
          </w:tcPr>
          <w:p w14:paraId="131FFBB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19.50%</w:t>
            </w:r>
          </w:p>
        </w:tc>
        <w:tc>
          <w:tcPr>
            <w:tcW w:w="833" w:type="pct"/>
            <w:shd w:val="clear" w:color="auto" w:fill="auto"/>
            <w:vAlign w:val="center"/>
          </w:tcPr>
          <w:p w14:paraId="4D086CC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34.04%</w:t>
            </w:r>
          </w:p>
        </w:tc>
        <w:tc>
          <w:tcPr>
            <w:tcW w:w="833" w:type="pct"/>
            <w:shd w:val="clear" w:color="auto" w:fill="auto"/>
            <w:vAlign w:val="center"/>
          </w:tcPr>
          <w:p w14:paraId="5741EB3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-2.07%</w:t>
            </w:r>
          </w:p>
        </w:tc>
        <w:tc>
          <w:tcPr>
            <w:tcW w:w="833" w:type="pct"/>
            <w:shd w:val="clear" w:color="auto" w:fill="auto"/>
            <w:vAlign w:val="center"/>
          </w:tcPr>
          <w:p w14:paraId="16E90CB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36.11%</w:t>
            </w:r>
          </w:p>
        </w:tc>
      </w:tr>
      <w:tr w:rsidR="00C02929" w14:paraId="4E4A9CC5" w14:textId="77777777">
        <w:trPr>
          <w:trHeight w:val="397"/>
        </w:trPr>
        <w:tc>
          <w:tcPr>
            <w:tcW w:w="833" w:type="pct"/>
            <w:shd w:val="clear" w:color="auto" w:fill="auto"/>
            <w:vAlign w:val="center"/>
          </w:tcPr>
          <w:p w14:paraId="7B102C9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永创智能</w:t>
            </w:r>
          </w:p>
        </w:tc>
        <w:tc>
          <w:tcPr>
            <w:tcW w:w="833" w:type="pct"/>
            <w:shd w:val="clear" w:color="auto" w:fill="auto"/>
            <w:vAlign w:val="center"/>
          </w:tcPr>
          <w:p w14:paraId="368AFE9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33.23%</w:t>
            </w:r>
          </w:p>
        </w:tc>
        <w:tc>
          <w:tcPr>
            <w:tcW w:w="833" w:type="pct"/>
            <w:shd w:val="clear" w:color="auto" w:fill="auto"/>
            <w:vAlign w:val="center"/>
          </w:tcPr>
          <w:p w14:paraId="0D558BA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4.00%</w:t>
            </w:r>
          </w:p>
        </w:tc>
        <w:tc>
          <w:tcPr>
            <w:tcW w:w="833" w:type="pct"/>
            <w:shd w:val="clear" w:color="auto" w:fill="auto"/>
            <w:vAlign w:val="center"/>
          </w:tcPr>
          <w:p w14:paraId="25DB19E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29.23%</w:t>
            </w:r>
          </w:p>
        </w:tc>
        <w:tc>
          <w:tcPr>
            <w:tcW w:w="833" w:type="pct"/>
            <w:shd w:val="clear" w:color="auto" w:fill="auto"/>
            <w:vAlign w:val="center"/>
          </w:tcPr>
          <w:p w14:paraId="617D680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-0.54%</w:t>
            </w:r>
          </w:p>
        </w:tc>
        <w:tc>
          <w:tcPr>
            <w:tcW w:w="833" w:type="pct"/>
            <w:shd w:val="clear" w:color="auto" w:fill="auto"/>
            <w:vAlign w:val="center"/>
          </w:tcPr>
          <w:p w14:paraId="230D3F8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29.77%</w:t>
            </w:r>
          </w:p>
        </w:tc>
      </w:tr>
      <w:tr w:rsidR="00C02929" w14:paraId="011FDE75" w14:textId="77777777">
        <w:trPr>
          <w:trHeight w:val="397"/>
        </w:trPr>
        <w:tc>
          <w:tcPr>
            <w:tcW w:w="833" w:type="pct"/>
            <w:shd w:val="clear" w:color="auto" w:fill="auto"/>
            <w:vAlign w:val="center"/>
          </w:tcPr>
          <w:p w14:paraId="1F6D080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可比上市公司平均值</w:t>
            </w:r>
          </w:p>
        </w:tc>
        <w:tc>
          <w:tcPr>
            <w:tcW w:w="833" w:type="pct"/>
            <w:shd w:val="clear" w:color="auto" w:fill="auto"/>
            <w:vAlign w:val="center"/>
          </w:tcPr>
          <w:p w14:paraId="34DA0C46"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40.84%</w:t>
            </w:r>
          </w:p>
        </w:tc>
        <w:tc>
          <w:tcPr>
            <w:tcW w:w="833" w:type="pct"/>
            <w:shd w:val="clear" w:color="auto" w:fill="auto"/>
            <w:vAlign w:val="center"/>
          </w:tcPr>
          <w:p w14:paraId="2C15AC74"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4.41%</w:t>
            </w:r>
          </w:p>
        </w:tc>
        <w:tc>
          <w:tcPr>
            <w:tcW w:w="833" w:type="pct"/>
            <w:shd w:val="clear" w:color="auto" w:fill="auto"/>
            <w:vAlign w:val="center"/>
          </w:tcPr>
          <w:p w14:paraId="56859B81"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36.44%</w:t>
            </w:r>
          </w:p>
        </w:tc>
        <w:tc>
          <w:tcPr>
            <w:tcW w:w="833" w:type="pct"/>
            <w:shd w:val="clear" w:color="auto" w:fill="auto"/>
            <w:vAlign w:val="center"/>
          </w:tcPr>
          <w:p w14:paraId="5EAB9AFF"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-1.24%</w:t>
            </w:r>
          </w:p>
        </w:tc>
        <w:tc>
          <w:tcPr>
            <w:tcW w:w="833" w:type="pct"/>
            <w:shd w:val="clear" w:color="auto" w:fill="auto"/>
            <w:vAlign w:val="center"/>
          </w:tcPr>
          <w:p w14:paraId="7866217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37.67%</w:t>
            </w:r>
          </w:p>
        </w:tc>
      </w:tr>
      <w:tr w:rsidR="00C02929" w14:paraId="44D82F1E" w14:textId="77777777">
        <w:trPr>
          <w:trHeight w:val="397"/>
        </w:trPr>
        <w:tc>
          <w:tcPr>
            <w:tcW w:w="833" w:type="pct"/>
            <w:vMerge w:val="restart"/>
            <w:shd w:val="clear" w:color="auto" w:fill="auto"/>
            <w:vAlign w:val="center"/>
          </w:tcPr>
          <w:p w14:paraId="3EA5CF6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公司简称</w:t>
            </w:r>
          </w:p>
        </w:tc>
        <w:tc>
          <w:tcPr>
            <w:tcW w:w="1667" w:type="pct"/>
            <w:gridSpan w:val="2"/>
            <w:shd w:val="clear" w:color="auto" w:fill="auto"/>
            <w:vAlign w:val="center"/>
          </w:tcPr>
          <w:p w14:paraId="7A124BE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年度</w:t>
            </w:r>
          </w:p>
        </w:tc>
        <w:tc>
          <w:tcPr>
            <w:tcW w:w="1667" w:type="pct"/>
            <w:gridSpan w:val="2"/>
            <w:shd w:val="clear" w:color="auto" w:fill="auto"/>
            <w:vAlign w:val="center"/>
          </w:tcPr>
          <w:p w14:paraId="2AF7C08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年度</w:t>
            </w:r>
          </w:p>
        </w:tc>
        <w:tc>
          <w:tcPr>
            <w:tcW w:w="833" w:type="pct"/>
            <w:shd w:val="clear" w:color="auto" w:fill="auto"/>
            <w:vAlign w:val="center"/>
          </w:tcPr>
          <w:p w14:paraId="7DA1D79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年度</w:t>
            </w:r>
          </w:p>
        </w:tc>
      </w:tr>
      <w:tr w:rsidR="00C02929" w14:paraId="403C27BD" w14:textId="77777777">
        <w:trPr>
          <w:trHeight w:val="397"/>
        </w:trPr>
        <w:tc>
          <w:tcPr>
            <w:tcW w:w="833" w:type="pct"/>
            <w:vMerge/>
            <w:vAlign w:val="center"/>
          </w:tcPr>
          <w:p w14:paraId="34947089" w14:textId="77777777" w:rsidR="00C02929" w:rsidRDefault="00C02929">
            <w:pPr>
              <w:jc w:val="center"/>
              <w:rPr>
                <w:rFonts w:ascii="Times New Roman" w:hAnsi="Times New Roman" w:cs="Times New Roman"/>
                <w:b/>
                <w:bCs/>
                <w:color w:val="000000"/>
                <w:sz w:val="21"/>
                <w:szCs w:val="21"/>
              </w:rPr>
            </w:pPr>
          </w:p>
        </w:tc>
        <w:tc>
          <w:tcPr>
            <w:tcW w:w="833" w:type="pct"/>
            <w:shd w:val="clear" w:color="auto" w:fill="auto"/>
            <w:vAlign w:val="center"/>
          </w:tcPr>
          <w:p w14:paraId="3DADFB0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5685264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4D1A0B4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833" w:type="pct"/>
            <w:shd w:val="clear" w:color="auto" w:fill="auto"/>
            <w:vAlign w:val="center"/>
          </w:tcPr>
          <w:p w14:paraId="7B2F269C"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增减</w:t>
            </w:r>
          </w:p>
        </w:tc>
        <w:tc>
          <w:tcPr>
            <w:tcW w:w="833" w:type="pct"/>
            <w:shd w:val="clear" w:color="auto" w:fill="auto"/>
            <w:vAlign w:val="center"/>
          </w:tcPr>
          <w:p w14:paraId="5AE938F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C02929" w14:paraId="238131BF" w14:textId="77777777">
        <w:trPr>
          <w:trHeight w:val="397"/>
        </w:trPr>
        <w:tc>
          <w:tcPr>
            <w:tcW w:w="833" w:type="pct"/>
            <w:shd w:val="clear" w:color="auto" w:fill="auto"/>
            <w:vAlign w:val="center"/>
          </w:tcPr>
          <w:p w14:paraId="5ECD51B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标的公司</w:t>
            </w:r>
          </w:p>
        </w:tc>
        <w:tc>
          <w:tcPr>
            <w:tcW w:w="833" w:type="pct"/>
            <w:shd w:val="clear" w:color="auto" w:fill="auto"/>
            <w:vAlign w:val="center"/>
          </w:tcPr>
          <w:p w14:paraId="05C54522"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38.23%</w:t>
            </w:r>
          </w:p>
        </w:tc>
        <w:tc>
          <w:tcPr>
            <w:tcW w:w="833" w:type="pct"/>
            <w:shd w:val="clear" w:color="auto" w:fill="auto"/>
            <w:vAlign w:val="center"/>
          </w:tcPr>
          <w:p w14:paraId="7BF9E6CA"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5.17%</w:t>
            </w:r>
          </w:p>
        </w:tc>
        <w:tc>
          <w:tcPr>
            <w:tcW w:w="833" w:type="pct"/>
            <w:shd w:val="clear" w:color="auto" w:fill="auto"/>
            <w:vAlign w:val="center"/>
          </w:tcPr>
          <w:p w14:paraId="3D17D17D"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33.06%</w:t>
            </w:r>
          </w:p>
        </w:tc>
        <w:tc>
          <w:tcPr>
            <w:tcW w:w="833" w:type="pct"/>
            <w:shd w:val="clear" w:color="auto" w:fill="auto"/>
            <w:vAlign w:val="center"/>
          </w:tcPr>
          <w:p w14:paraId="55CC76DC"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0.43%</w:t>
            </w:r>
          </w:p>
        </w:tc>
        <w:tc>
          <w:tcPr>
            <w:tcW w:w="833" w:type="pct"/>
            <w:shd w:val="clear" w:color="auto" w:fill="auto"/>
            <w:vAlign w:val="center"/>
          </w:tcPr>
          <w:p w14:paraId="1FF8B69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32.63%</w:t>
            </w:r>
          </w:p>
        </w:tc>
      </w:tr>
    </w:tbl>
    <w:p w14:paraId="2E5E2808"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w:t>
      </w:r>
      <w:r>
        <w:rPr>
          <w:rFonts w:ascii="Times New Roman" w:hAnsi="Times New Roman" w:cs="Times New Roman" w:hint="eastAsia"/>
          <w:bCs/>
          <w:color w:val="000000"/>
          <w:sz w:val="21"/>
          <w:szCs w:val="21"/>
        </w:rPr>
        <w:t>1</w:t>
      </w:r>
      <w:r>
        <w:rPr>
          <w:rFonts w:ascii="Times New Roman" w:hAnsi="Times New Roman" w:cs="Times New Roman" w:hint="eastAsia"/>
          <w:bCs/>
          <w:color w:val="000000"/>
          <w:sz w:val="21"/>
          <w:szCs w:val="21"/>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6D3284DC" w14:textId="77777777" w:rsidR="00C02929" w:rsidRDefault="006116D1">
      <w:pPr>
        <w:ind w:firstLineChars="200" w:firstLine="420"/>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rPr>
        <w:t>2</w:t>
      </w:r>
      <w:r>
        <w:rPr>
          <w:rFonts w:ascii="Times New Roman" w:hAnsi="Times New Roman" w:cs="Times New Roman" w:hint="eastAsia"/>
          <w:bCs/>
          <w:color w:val="000000"/>
          <w:sz w:val="21"/>
          <w:szCs w:val="21"/>
        </w:rPr>
        <w:t>、</w:t>
      </w:r>
      <w:r>
        <w:rPr>
          <w:rFonts w:ascii="Times New Roman" w:hAnsi="Times New Roman" w:cs="Times New Roman" w:hint="eastAsia"/>
          <w:bCs/>
          <w:color w:val="000000"/>
          <w:sz w:val="21"/>
          <w:szCs w:val="21"/>
          <w:lang w:val="en-GB"/>
        </w:rPr>
        <w:t>可比上市公司未公布</w:t>
      </w:r>
      <w:r>
        <w:rPr>
          <w:rFonts w:ascii="Times New Roman" w:hAnsi="Times New Roman" w:cs="Times New Roman" w:hint="eastAsia"/>
          <w:bCs/>
          <w:color w:val="000000"/>
          <w:sz w:val="21"/>
          <w:szCs w:val="21"/>
          <w:lang w:val="en-GB"/>
        </w:rPr>
        <w:t>2020</w:t>
      </w:r>
      <w:r>
        <w:rPr>
          <w:rFonts w:ascii="Times New Roman" w:hAnsi="Times New Roman" w:cs="Times New Roman" w:hint="eastAsia"/>
          <w:bCs/>
          <w:color w:val="000000"/>
          <w:sz w:val="21"/>
          <w:szCs w:val="21"/>
          <w:lang w:val="en-GB"/>
        </w:rPr>
        <w:t>年度数据，</w:t>
      </w:r>
      <w:r>
        <w:rPr>
          <w:rFonts w:ascii="Times New Roman" w:hAnsi="Times New Roman" w:cs="Times New Roman" w:hint="eastAsia"/>
          <w:bCs/>
          <w:color w:val="000000"/>
          <w:sz w:val="21"/>
          <w:szCs w:val="21"/>
          <w:lang w:val="en-GB"/>
        </w:rPr>
        <w:t>2020</w:t>
      </w:r>
      <w:r>
        <w:rPr>
          <w:rFonts w:ascii="Times New Roman" w:hAnsi="Times New Roman" w:cs="Times New Roman" w:hint="eastAsia"/>
          <w:bCs/>
          <w:color w:val="000000"/>
          <w:sz w:val="21"/>
          <w:szCs w:val="21"/>
          <w:lang w:val="en-GB"/>
        </w:rPr>
        <w:t>年第三季度报告未披露毛利率，此处采取毛利率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（营业收入</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营业成本）</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营业收入。</w:t>
      </w:r>
    </w:p>
    <w:p w14:paraId="461FD07A"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由上表可以看出，报告期内同行业可比上市公司的毛利率基本保持稳定，不存在行业竞争逐步加剧的情况。标的公司毛利率变动趋势略高于同行业可比上市公司，主要系标的公司规模与同行业上市公司相比仍旧较小，标的公司尚处于发展阶段，影响毛利率水平的因素较多所致。随着标的公司的不断发展，其毛利率水平将逐渐趋于稳定，</w:t>
      </w:r>
      <w:r>
        <w:rPr>
          <w:rFonts w:ascii="Times New Roman" w:hAnsi="Times New Roman" w:cs="Times New Roman" w:hint="eastAsia"/>
        </w:rPr>
        <w:t>2020</w:t>
      </w:r>
      <w:r>
        <w:rPr>
          <w:rFonts w:ascii="Times New Roman" w:hAnsi="Times New Roman" w:cs="Times New Roman" w:hint="eastAsia"/>
        </w:rPr>
        <w:t>年度，标的公司毛利率为</w:t>
      </w:r>
      <w:r>
        <w:rPr>
          <w:rFonts w:ascii="Times New Roman" w:hAnsi="Times New Roman" w:cs="Times New Roman" w:hint="eastAsia"/>
        </w:rPr>
        <w:t>38.23%</w:t>
      </w:r>
      <w:r>
        <w:rPr>
          <w:rFonts w:ascii="Times New Roman" w:hAnsi="Times New Roman" w:cs="Times New Roman" w:hint="eastAsia"/>
        </w:rPr>
        <w:t>，与</w:t>
      </w:r>
      <w:r>
        <w:rPr>
          <w:rFonts w:ascii="Times New Roman" w:hAnsi="Times New Roman" w:cs="Times New Roman" w:hint="eastAsia"/>
        </w:rPr>
        <w:t>2020</w:t>
      </w:r>
      <w:r>
        <w:rPr>
          <w:rFonts w:ascii="Times New Roman" w:hAnsi="Times New Roman" w:cs="Times New Roman" w:hint="eastAsia"/>
        </w:rPr>
        <w:t>年</w:t>
      </w:r>
      <w:r>
        <w:rPr>
          <w:rFonts w:ascii="Times New Roman" w:hAnsi="Times New Roman" w:cs="Times New Roman" w:hint="eastAsia"/>
        </w:rPr>
        <w:t>1-9</w:t>
      </w:r>
      <w:r>
        <w:rPr>
          <w:rFonts w:ascii="Times New Roman" w:hAnsi="Times New Roman" w:cs="Times New Roman" w:hint="eastAsia"/>
        </w:rPr>
        <w:t>月可比上市公司毛利率平均水平基本保持一致。</w:t>
      </w:r>
    </w:p>
    <w:p w14:paraId="4D8DA92B"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四、补充披露情况</w:t>
      </w:r>
    </w:p>
    <w:p w14:paraId="4E9FB016"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管理层讨论与分析”之“三、标的公司报告期财务状况和经营成果的讨论分析”之“（二）盈利能力分析”进行了补充披露。</w:t>
      </w:r>
    </w:p>
    <w:p w14:paraId="5F33112F" w14:textId="0078CCFF"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w:t>
      </w:r>
      <w:r w:rsidR="00AA3DAA" w:rsidRP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4527261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经核查，独立财务顾问认为：</w:t>
      </w:r>
      <w:r>
        <w:rPr>
          <w:rFonts w:ascii="Times New Roman" w:hAnsi="Times New Roman" w:cs="Times New Roman"/>
        </w:rPr>
        <w:t>2019</w:t>
      </w:r>
      <w:r>
        <w:rPr>
          <w:rFonts w:ascii="Times New Roman" w:hAnsi="Times New Roman" w:cs="Times New Roman" w:hint="eastAsia"/>
        </w:rPr>
        <w:t>年，标的公司定制化集成业务毛利率下降的主要原因系定制化集成业务中高毛利率的企业信息化业务收入占比较</w:t>
      </w:r>
      <w:r>
        <w:rPr>
          <w:rFonts w:ascii="Times New Roman" w:hAnsi="Times New Roman" w:cs="Times New Roman"/>
        </w:rPr>
        <w:t>2018</w:t>
      </w:r>
      <w:r>
        <w:rPr>
          <w:rFonts w:ascii="Times New Roman" w:hAnsi="Times New Roman" w:cs="Times New Roman" w:hint="eastAsia"/>
        </w:rPr>
        <w:t>年大幅下降所致；</w:t>
      </w:r>
      <w:r>
        <w:rPr>
          <w:rFonts w:ascii="Times New Roman" w:hAnsi="Times New Roman" w:cs="Times New Roman"/>
        </w:rPr>
        <w:t>2020</w:t>
      </w:r>
      <w:r>
        <w:rPr>
          <w:rFonts w:ascii="Times New Roman" w:hAnsi="Times New Roman" w:cs="Times New Roman" w:hint="eastAsia"/>
        </w:rPr>
        <w:t>年，标的公司定制化集成业务毛利率上升的主要原因系高毛利率的企业信息化业务规模大幅增长所致。报告期内，北洋天青机器人及配套业务的毛利率逐年下降的主要原因系机器人集成应用业务中毛利率较低的含</w:t>
      </w:r>
      <w:r>
        <w:rPr>
          <w:rFonts w:ascii="Times New Roman" w:hAnsi="Times New Roman" w:cs="Times New Roman" w:hint="eastAsia"/>
        </w:rPr>
        <w:lastRenderedPageBreak/>
        <w:t>冲压机冲压连线项目占比逐年上升所致。报告期内同行业可比上市公司的毛利率基本保持稳定，不存在行业竞争逐步加剧的情况。</w:t>
      </w:r>
    </w:p>
    <w:p w14:paraId="09EC4CE5"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）成本结转的准确性，是否与营业收入确认相匹配。</w:t>
      </w:r>
    </w:p>
    <w:p w14:paraId="494EA430"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一、北洋天青成本结转准确，与营业收入确认相匹配</w:t>
      </w:r>
    </w:p>
    <w:p w14:paraId="68FDABB6"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北洋天青按照项目维度归集业务成本，项目验收合格后，达到收入确认条件，同时结转项目的营业收入与营业成本。</w:t>
      </w:r>
      <w:r>
        <w:rPr>
          <w:rFonts w:ascii="Times New Roman" w:hAnsi="Times New Roman" w:cs="Times New Roman" w:hint="eastAsia"/>
        </w:rPr>
        <w:t>标的公司设置有项目编号，财务系统按项目编号对生产成本科目设置辅助核算，包括直接材料、直接人工及制造费用，直接材料按项目领用情况直接计入该项目生产成本；直接人工，标的公司采用工时统计制度，依据生产人员在项目上填报的工时数占比，分摊项目人工成本；制造费用依据人工分摊比例进行分摊。材料、人工及制造费用均按项目进行归集核算，待项目完成验收后确认收入同时结转该项目成本。</w:t>
      </w:r>
    </w:p>
    <w:p w14:paraId="66B162FF"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报告期内，标的公司各类型</w:t>
      </w:r>
      <w:r>
        <w:rPr>
          <w:rFonts w:ascii="Times New Roman" w:hAnsi="Times New Roman" w:cs="Times New Roman" w:hint="eastAsia"/>
        </w:rPr>
        <w:t>业务</w:t>
      </w:r>
      <w:r>
        <w:rPr>
          <w:rFonts w:ascii="Times New Roman" w:hAnsi="Times New Roman" w:cs="Times New Roman"/>
        </w:rPr>
        <w:t>营业收入</w:t>
      </w:r>
      <w:r>
        <w:rPr>
          <w:rFonts w:ascii="Times New Roman" w:hAnsi="Times New Roman" w:cs="Times New Roman" w:hint="eastAsia"/>
        </w:rPr>
        <w:t>、营业成本</w:t>
      </w:r>
      <w:r>
        <w:rPr>
          <w:rFonts w:ascii="Times New Roman" w:hAnsi="Times New Roman" w:cs="Times New Roman"/>
        </w:rPr>
        <w:t>及同比变动情况如下：</w:t>
      </w:r>
    </w:p>
    <w:p w14:paraId="3E2FB078"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74"/>
        <w:gridCol w:w="994"/>
        <w:gridCol w:w="1135"/>
        <w:gridCol w:w="1133"/>
        <w:gridCol w:w="1135"/>
        <w:gridCol w:w="1133"/>
        <w:gridCol w:w="992"/>
        <w:gridCol w:w="1326"/>
      </w:tblGrid>
      <w:tr w:rsidR="00C02929" w14:paraId="660AE847" w14:textId="77777777">
        <w:trPr>
          <w:trHeight w:val="397"/>
          <w:tblHeader/>
        </w:trPr>
        <w:tc>
          <w:tcPr>
            <w:tcW w:w="395" w:type="pct"/>
            <w:shd w:val="clear" w:color="000000" w:fill="FFFFFF"/>
            <w:noWrap/>
            <w:vAlign w:val="center"/>
          </w:tcPr>
          <w:p w14:paraId="4691D1A5"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583" w:type="pct"/>
            <w:shd w:val="clear" w:color="000000" w:fill="FFFFFF"/>
            <w:noWrap/>
            <w:vAlign w:val="center"/>
          </w:tcPr>
          <w:p w14:paraId="63248FEA"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业务类型</w:t>
            </w:r>
          </w:p>
        </w:tc>
        <w:tc>
          <w:tcPr>
            <w:tcW w:w="666" w:type="pct"/>
            <w:shd w:val="clear" w:color="000000" w:fill="FFFFFF"/>
            <w:noWrap/>
            <w:vAlign w:val="center"/>
          </w:tcPr>
          <w:p w14:paraId="0CB1F035"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营业收入</w:t>
            </w:r>
          </w:p>
        </w:tc>
        <w:tc>
          <w:tcPr>
            <w:tcW w:w="665" w:type="pct"/>
            <w:shd w:val="clear" w:color="000000" w:fill="FFFFFF"/>
            <w:noWrap/>
            <w:vAlign w:val="center"/>
          </w:tcPr>
          <w:p w14:paraId="2158DFD2"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同比增长</w:t>
            </w:r>
          </w:p>
        </w:tc>
        <w:tc>
          <w:tcPr>
            <w:tcW w:w="666" w:type="pct"/>
            <w:shd w:val="clear" w:color="000000" w:fill="FFFFFF"/>
            <w:noWrap/>
            <w:vAlign w:val="center"/>
          </w:tcPr>
          <w:p w14:paraId="698F4877"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营业成本</w:t>
            </w:r>
          </w:p>
        </w:tc>
        <w:tc>
          <w:tcPr>
            <w:tcW w:w="665" w:type="pct"/>
            <w:shd w:val="clear" w:color="000000" w:fill="FFFFFF"/>
            <w:noWrap/>
            <w:vAlign w:val="center"/>
          </w:tcPr>
          <w:p w14:paraId="38DBDA84"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同比增长</w:t>
            </w:r>
          </w:p>
        </w:tc>
        <w:tc>
          <w:tcPr>
            <w:tcW w:w="582" w:type="pct"/>
            <w:shd w:val="clear" w:color="000000" w:fill="FFFFFF"/>
            <w:noWrap/>
            <w:vAlign w:val="center"/>
          </w:tcPr>
          <w:p w14:paraId="655AD943"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778" w:type="pct"/>
            <w:shd w:val="clear" w:color="000000" w:fill="FFFFFF"/>
            <w:noWrap/>
            <w:vAlign w:val="center"/>
          </w:tcPr>
          <w:p w14:paraId="694DBAFA"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较上期增长</w:t>
            </w:r>
          </w:p>
        </w:tc>
      </w:tr>
      <w:tr w:rsidR="00C02929" w14:paraId="59DDB939" w14:textId="77777777">
        <w:trPr>
          <w:trHeight w:val="397"/>
        </w:trPr>
        <w:tc>
          <w:tcPr>
            <w:tcW w:w="395" w:type="pct"/>
            <w:vMerge w:val="restart"/>
            <w:shd w:val="clear" w:color="000000" w:fill="FFFFFF"/>
            <w:noWrap/>
            <w:vAlign w:val="center"/>
          </w:tcPr>
          <w:p w14:paraId="4B7DD55E"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2020</w:t>
            </w:r>
            <w:r>
              <w:rPr>
                <w:rFonts w:ascii="Times New Roman" w:hAnsi="Times New Roman" w:cs="Times New Roman" w:hint="eastAsia"/>
                <w:color w:val="000000"/>
                <w:sz w:val="21"/>
                <w:szCs w:val="21"/>
              </w:rPr>
              <w:t>年度</w:t>
            </w:r>
          </w:p>
        </w:tc>
        <w:tc>
          <w:tcPr>
            <w:tcW w:w="583" w:type="pct"/>
            <w:shd w:val="clear" w:color="000000" w:fill="FFFFFF"/>
            <w:vAlign w:val="center"/>
          </w:tcPr>
          <w:p w14:paraId="356F4E5E" w14:textId="77777777" w:rsidR="00C02929" w:rsidRDefault="006116D1">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定制化集成</w:t>
            </w:r>
          </w:p>
        </w:tc>
        <w:tc>
          <w:tcPr>
            <w:tcW w:w="666" w:type="pct"/>
            <w:shd w:val="clear" w:color="000000" w:fill="FFFFFF"/>
            <w:noWrap/>
            <w:vAlign w:val="center"/>
          </w:tcPr>
          <w:p w14:paraId="0A1E301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8,324.40</w:t>
            </w:r>
          </w:p>
        </w:tc>
        <w:tc>
          <w:tcPr>
            <w:tcW w:w="665" w:type="pct"/>
            <w:shd w:val="clear" w:color="000000" w:fill="FFFFFF"/>
            <w:noWrap/>
            <w:vAlign w:val="center"/>
          </w:tcPr>
          <w:p w14:paraId="4328725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-2.58%</w:t>
            </w:r>
          </w:p>
        </w:tc>
        <w:tc>
          <w:tcPr>
            <w:tcW w:w="666" w:type="pct"/>
            <w:shd w:val="clear" w:color="000000" w:fill="FFFFFF"/>
            <w:noWrap/>
            <w:vAlign w:val="center"/>
          </w:tcPr>
          <w:p w14:paraId="01B7817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4,184.73</w:t>
            </w:r>
          </w:p>
        </w:tc>
        <w:tc>
          <w:tcPr>
            <w:tcW w:w="665" w:type="pct"/>
            <w:shd w:val="clear" w:color="000000" w:fill="FFFFFF"/>
            <w:noWrap/>
            <w:vAlign w:val="center"/>
          </w:tcPr>
          <w:p w14:paraId="77EDC65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-25.54%</w:t>
            </w:r>
          </w:p>
        </w:tc>
        <w:tc>
          <w:tcPr>
            <w:tcW w:w="582" w:type="pct"/>
            <w:shd w:val="clear" w:color="000000" w:fill="FFFFFF"/>
            <w:noWrap/>
            <w:vAlign w:val="center"/>
          </w:tcPr>
          <w:p w14:paraId="77DE9580"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49.73%</w:t>
            </w:r>
          </w:p>
        </w:tc>
        <w:tc>
          <w:tcPr>
            <w:tcW w:w="778" w:type="pct"/>
            <w:shd w:val="clear" w:color="auto" w:fill="auto"/>
            <w:noWrap/>
            <w:vAlign w:val="center"/>
          </w:tcPr>
          <w:p w14:paraId="311A528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15.51%</w:t>
            </w:r>
          </w:p>
        </w:tc>
      </w:tr>
      <w:tr w:rsidR="00C02929" w14:paraId="7511B1BD" w14:textId="77777777">
        <w:trPr>
          <w:trHeight w:val="397"/>
        </w:trPr>
        <w:tc>
          <w:tcPr>
            <w:tcW w:w="395" w:type="pct"/>
            <w:vMerge/>
            <w:vAlign w:val="center"/>
          </w:tcPr>
          <w:p w14:paraId="2A179CEB" w14:textId="77777777" w:rsidR="00C02929" w:rsidRDefault="00C02929">
            <w:pPr>
              <w:adjustRightInd w:val="0"/>
              <w:snapToGrid w:val="0"/>
              <w:rPr>
                <w:rFonts w:ascii="Times New Roman" w:hAnsi="Times New Roman" w:cs="Times New Roman"/>
                <w:color w:val="000000"/>
                <w:sz w:val="21"/>
                <w:szCs w:val="21"/>
              </w:rPr>
            </w:pPr>
          </w:p>
        </w:tc>
        <w:tc>
          <w:tcPr>
            <w:tcW w:w="583" w:type="pct"/>
            <w:shd w:val="clear" w:color="000000" w:fill="FFFFFF"/>
            <w:vAlign w:val="center"/>
          </w:tcPr>
          <w:p w14:paraId="66EBBBB6" w14:textId="77777777" w:rsidR="00C02929" w:rsidRDefault="006116D1">
            <w:pPr>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机器人及配套</w:t>
            </w:r>
          </w:p>
        </w:tc>
        <w:tc>
          <w:tcPr>
            <w:tcW w:w="666" w:type="pct"/>
            <w:shd w:val="clear" w:color="000000" w:fill="FFFFFF"/>
            <w:noWrap/>
            <w:vAlign w:val="center"/>
          </w:tcPr>
          <w:p w14:paraId="7C8D14D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6,731.77</w:t>
            </w:r>
          </w:p>
        </w:tc>
        <w:tc>
          <w:tcPr>
            <w:tcW w:w="665" w:type="pct"/>
            <w:shd w:val="clear" w:color="000000" w:fill="FFFFFF"/>
            <w:noWrap/>
            <w:vAlign w:val="center"/>
          </w:tcPr>
          <w:p w14:paraId="4B66B47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277.85%</w:t>
            </w:r>
          </w:p>
        </w:tc>
        <w:tc>
          <w:tcPr>
            <w:tcW w:w="666" w:type="pct"/>
            <w:shd w:val="clear" w:color="000000" w:fill="FFFFFF"/>
            <w:noWrap/>
            <w:vAlign w:val="center"/>
          </w:tcPr>
          <w:p w14:paraId="3E25D9A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5,115.97</w:t>
            </w:r>
          </w:p>
        </w:tc>
        <w:tc>
          <w:tcPr>
            <w:tcW w:w="665" w:type="pct"/>
            <w:shd w:val="clear" w:color="000000" w:fill="FFFFFF"/>
            <w:noWrap/>
            <w:vAlign w:val="center"/>
          </w:tcPr>
          <w:p w14:paraId="4D1C8E46"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296.08%</w:t>
            </w:r>
          </w:p>
        </w:tc>
        <w:tc>
          <w:tcPr>
            <w:tcW w:w="582" w:type="pct"/>
            <w:shd w:val="clear" w:color="000000" w:fill="FFFFFF"/>
            <w:noWrap/>
            <w:vAlign w:val="center"/>
          </w:tcPr>
          <w:p w14:paraId="5B8AF7C2"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24.00%</w:t>
            </w:r>
          </w:p>
        </w:tc>
        <w:tc>
          <w:tcPr>
            <w:tcW w:w="778" w:type="pct"/>
            <w:shd w:val="clear" w:color="auto" w:fill="auto"/>
            <w:noWrap/>
            <w:vAlign w:val="center"/>
          </w:tcPr>
          <w:p w14:paraId="7D4FAFA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-3.50%</w:t>
            </w:r>
          </w:p>
        </w:tc>
      </w:tr>
      <w:tr w:rsidR="00C02929" w14:paraId="0B8F5C30" w14:textId="77777777">
        <w:trPr>
          <w:trHeight w:val="397"/>
        </w:trPr>
        <w:tc>
          <w:tcPr>
            <w:tcW w:w="395" w:type="pct"/>
            <w:vMerge/>
            <w:vAlign w:val="center"/>
          </w:tcPr>
          <w:p w14:paraId="42DCA269" w14:textId="77777777" w:rsidR="00C02929" w:rsidRDefault="00C02929">
            <w:pPr>
              <w:adjustRightInd w:val="0"/>
              <w:snapToGrid w:val="0"/>
              <w:rPr>
                <w:rFonts w:ascii="Times New Roman" w:hAnsi="Times New Roman" w:cs="Times New Roman"/>
                <w:color w:val="000000"/>
                <w:sz w:val="21"/>
                <w:szCs w:val="21"/>
              </w:rPr>
            </w:pPr>
          </w:p>
        </w:tc>
        <w:tc>
          <w:tcPr>
            <w:tcW w:w="583" w:type="pct"/>
            <w:shd w:val="clear" w:color="000000" w:fill="FFFFFF"/>
            <w:noWrap/>
            <w:vAlign w:val="center"/>
          </w:tcPr>
          <w:p w14:paraId="254F6EA3"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66" w:type="pct"/>
            <w:shd w:val="clear" w:color="000000" w:fill="FFFFFF"/>
            <w:noWrap/>
            <w:vAlign w:val="center"/>
          </w:tcPr>
          <w:p w14:paraId="73542A8B"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15,056.17</w:t>
            </w:r>
          </w:p>
        </w:tc>
        <w:tc>
          <w:tcPr>
            <w:tcW w:w="665" w:type="pct"/>
            <w:shd w:val="clear" w:color="000000" w:fill="FFFFFF"/>
            <w:noWrap/>
            <w:vAlign w:val="center"/>
          </w:tcPr>
          <w:p w14:paraId="7EF113B3"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45.81%</w:t>
            </w:r>
          </w:p>
        </w:tc>
        <w:tc>
          <w:tcPr>
            <w:tcW w:w="666" w:type="pct"/>
            <w:shd w:val="clear" w:color="000000" w:fill="FFFFFF"/>
            <w:noWrap/>
            <w:vAlign w:val="center"/>
          </w:tcPr>
          <w:p w14:paraId="018DA7F4"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9,300.70</w:t>
            </w:r>
          </w:p>
        </w:tc>
        <w:tc>
          <w:tcPr>
            <w:tcW w:w="665" w:type="pct"/>
            <w:shd w:val="clear" w:color="000000" w:fill="FFFFFF"/>
            <w:noWrap/>
            <w:vAlign w:val="center"/>
          </w:tcPr>
          <w:p w14:paraId="3270DABD"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34.56%</w:t>
            </w:r>
          </w:p>
        </w:tc>
        <w:tc>
          <w:tcPr>
            <w:tcW w:w="582" w:type="pct"/>
            <w:shd w:val="clear" w:color="000000" w:fill="FFFFFF"/>
            <w:noWrap/>
            <w:vAlign w:val="center"/>
          </w:tcPr>
          <w:p w14:paraId="2E8446C0"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38.23%</w:t>
            </w:r>
          </w:p>
        </w:tc>
        <w:tc>
          <w:tcPr>
            <w:tcW w:w="778" w:type="pct"/>
            <w:shd w:val="clear" w:color="auto" w:fill="auto"/>
            <w:noWrap/>
            <w:vAlign w:val="center"/>
          </w:tcPr>
          <w:p w14:paraId="239AFAAC"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5.16%</w:t>
            </w:r>
          </w:p>
        </w:tc>
      </w:tr>
      <w:tr w:rsidR="00C02929" w14:paraId="6A440CD1" w14:textId="77777777">
        <w:trPr>
          <w:trHeight w:val="397"/>
        </w:trPr>
        <w:tc>
          <w:tcPr>
            <w:tcW w:w="395" w:type="pct"/>
            <w:vMerge w:val="restart"/>
            <w:shd w:val="clear" w:color="000000" w:fill="FFFFFF"/>
            <w:noWrap/>
            <w:vAlign w:val="center"/>
          </w:tcPr>
          <w:p w14:paraId="15D0420B"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2019</w:t>
            </w:r>
            <w:r>
              <w:rPr>
                <w:rFonts w:ascii="Times New Roman" w:hAnsi="Times New Roman" w:cs="Times New Roman" w:hint="eastAsia"/>
                <w:color w:val="000000"/>
                <w:sz w:val="21"/>
                <w:szCs w:val="21"/>
              </w:rPr>
              <w:t>年度</w:t>
            </w:r>
          </w:p>
        </w:tc>
        <w:tc>
          <w:tcPr>
            <w:tcW w:w="583" w:type="pct"/>
            <w:shd w:val="clear" w:color="000000" w:fill="FFFFFF"/>
            <w:vAlign w:val="center"/>
          </w:tcPr>
          <w:p w14:paraId="71825C59" w14:textId="77777777" w:rsidR="00C02929" w:rsidRDefault="006116D1">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定制化集成</w:t>
            </w:r>
          </w:p>
        </w:tc>
        <w:tc>
          <w:tcPr>
            <w:tcW w:w="666" w:type="pct"/>
            <w:shd w:val="clear" w:color="000000" w:fill="FFFFFF"/>
            <w:noWrap/>
            <w:vAlign w:val="center"/>
          </w:tcPr>
          <w:p w14:paraId="311DBB4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8,544.53</w:t>
            </w:r>
          </w:p>
        </w:tc>
        <w:tc>
          <w:tcPr>
            <w:tcW w:w="665" w:type="pct"/>
            <w:shd w:val="clear" w:color="000000" w:fill="FFFFFF"/>
            <w:noWrap/>
            <w:vAlign w:val="center"/>
          </w:tcPr>
          <w:p w14:paraId="5CA7700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859.25%</w:t>
            </w:r>
          </w:p>
        </w:tc>
        <w:tc>
          <w:tcPr>
            <w:tcW w:w="666" w:type="pct"/>
            <w:shd w:val="clear" w:color="000000" w:fill="FFFFFF"/>
            <w:noWrap/>
            <w:vAlign w:val="center"/>
          </w:tcPr>
          <w:p w14:paraId="1E81D4C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5,620.31</w:t>
            </w:r>
          </w:p>
        </w:tc>
        <w:tc>
          <w:tcPr>
            <w:tcW w:w="665" w:type="pct"/>
            <w:shd w:val="clear" w:color="000000" w:fill="FFFFFF"/>
            <w:noWrap/>
            <w:vAlign w:val="center"/>
          </w:tcPr>
          <w:p w14:paraId="75CD738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1185.00%</w:t>
            </w:r>
          </w:p>
        </w:tc>
        <w:tc>
          <w:tcPr>
            <w:tcW w:w="582" w:type="pct"/>
            <w:shd w:val="clear" w:color="000000" w:fill="FFFFFF"/>
            <w:noWrap/>
            <w:vAlign w:val="center"/>
          </w:tcPr>
          <w:p w14:paraId="65D688B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34.22%</w:t>
            </w:r>
          </w:p>
        </w:tc>
        <w:tc>
          <w:tcPr>
            <w:tcW w:w="778" w:type="pct"/>
            <w:shd w:val="clear" w:color="auto" w:fill="auto"/>
            <w:noWrap/>
            <w:vAlign w:val="center"/>
          </w:tcPr>
          <w:p w14:paraId="7248B49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-16.67%</w:t>
            </w:r>
          </w:p>
        </w:tc>
      </w:tr>
      <w:tr w:rsidR="00C02929" w14:paraId="0B425D82" w14:textId="77777777">
        <w:trPr>
          <w:trHeight w:val="397"/>
        </w:trPr>
        <w:tc>
          <w:tcPr>
            <w:tcW w:w="395" w:type="pct"/>
            <w:vMerge/>
            <w:vAlign w:val="center"/>
          </w:tcPr>
          <w:p w14:paraId="4FACAEBA" w14:textId="77777777" w:rsidR="00C02929" w:rsidRDefault="00C02929">
            <w:pPr>
              <w:adjustRightInd w:val="0"/>
              <w:snapToGrid w:val="0"/>
              <w:rPr>
                <w:rFonts w:ascii="Times New Roman" w:hAnsi="Times New Roman" w:cs="Times New Roman"/>
                <w:color w:val="000000"/>
                <w:sz w:val="21"/>
                <w:szCs w:val="21"/>
              </w:rPr>
            </w:pPr>
          </w:p>
        </w:tc>
        <w:tc>
          <w:tcPr>
            <w:tcW w:w="583" w:type="pct"/>
            <w:shd w:val="clear" w:color="000000" w:fill="FFFFFF"/>
            <w:vAlign w:val="center"/>
          </w:tcPr>
          <w:p w14:paraId="2EB7F8A0" w14:textId="77777777" w:rsidR="00C02929" w:rsidRDefault="006116D1">
            <w:pPr>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机器人及配套</w:t>
            </w:r>
          </w:p>
        </w:tc>
        <w:tc>
          <w:tcPr>
            <w:tcW w:w="666" w:type="pct"/>
            <w:shd w:val="clear" w:color="000000" w:fill="FFFFFF"/>
            <w:noWrap/>
            <w:vAlign w:val="center"/>
          </w:tcPr>
          <w:p w14:paraId="62C9F0E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1,781.61</w:t>
            </w:r>
          </w:p>
        </w:tc>
        <w:tc>
          <w:tcPr>
            <w:tcW w:w="665" w:type="pct"/>
            <w:shd w:val="clear" w:color="000000" w:fill="FFFFFF"/>
            <w:noWrap/>
            <w:vAlign w:val="center"/>
          </w:tcPr>
          <w:p w14:paraId="782BEBD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-65.84%</w:t>
            </w:r>
          </w:p>
        </w:tc>
        <w:tc>
          <w:tcPr>
            <w:tcW w:w="666" w:type="pct"/>
            <w:shd w:val="clear" w:color="000000" w:fill="FFFFFF"/>
            <w:noWrap/>
            <w:vAlign w:val="center"/>
          </w:tcPr>
          <w:p w14:paraId="4804799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1,291.64</w:t>
            </w:r>
          </w:p>
        </w:tc>
        <w:tc>
          <w:tcPr>
            <w:tcW w:w="665" w:type="pct"/>
            <w:shd w:val="clear" w:color="000000" w:fill="FFFFFF"/>
            <w:noWrap/>
            <w:vAlign w:val="center"/>
          </w:tcPr>
          <w:p w14:paraId="6EB97CE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-64.86%</w:t>
            </w:r>
          </w:p>
        </w:tc>
        <w:tc>
          <w:tcPr>
            <w:tcW w:w="582" w:type="pct"/>
            <w:shd w:val="clear" w:color="000000" w:fill="FFFFFF"/>
            <w:noWrap/>
            <w:vAlign w:val="center"/>
          </w:tcPr>
          <w:p w14:paraId="5CF8BA9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27.50%</w:t>
            </w:r>
          </w:p>
        </w:tc>
        <w:tc>
          <w:tcPr>
            <w:tcW w:w="778" w:type="pct"/>
            <w:shd w:val="clear" w:color="auto" w:fill="auto"/>
            <w:noWrap/>
            <w:vAlign w:val="center"/>
          </w:tcPr>
          <w:p w14:paraId="4D1A768A"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-2.01%</w:t>
            </w:r>
          </w:p>
        </w:tc>
      </w:tr>
      <w:tr w:rsidR="00C02929" w14:paraId="5BE9F872" w14:textId="77777777">
        <w:trPr>
          <w:trHeight w:val="397"/>
        </w:trPr>
        <w:tc>
          <w:tcPr>
            <w:tcW w:w="395" w:type="pct"/>
            <w:vMerge/>
            <w:vAlign w:val="center"/>
          </w:tcPr>
          <w:p w14:paraId="0C0A01BF" w14:textId="77777777" w:rsidR="00C02929" w:rsidRDefault="00C02929">
            <w:pPr>
              <w:adjustRightInd w:val="0"/>
              <w:snapToGrid w:val="0"/>
              <w:rPr>
                <w:rFonts w:ascii="Times New Roman" w:hAnsi="Times New Roman" w:cs="Times New Roman"/>
                <w:color w:val="000000"/>
                <w:sz w:val="21"/>
                <w:szCs w:val="21"/>
              </w:rPr>
            </w:pPr>
          </w:p>
        </w:tc>
        <w:tc>
          <w:tcPr>
            <w:tcW w:w="583" w:type="pct"/>
            <w:shd w:val="clear" w:color="000000" w:fill="FFFFFF"/>
            <w:noWrap/>
            <w:vAlign w:val="center"/>
          </w:tcPr>
          <w:p w14:paraId="76F1B4BB"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66" w:type="pct"/>
            <w:shd w:val="clear" w:color="000000" w:fill="FFFFFF"/>
            <w:noWrap/>
            <w:vAlign w:val="center"/>
          </w:tcPr>
          <w:p w14:paraId="31AF5A8D"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10,326.14</w:t>
            </w:r>
          </w:p>
        </w:tc>
        <w:tc>
          <w:tcPr>
            <w:tcW w:w="665" w:type="pct"/>
            <w:shd w:val="clear" w:color="000000" w:fill="FFFFFF"/>
            <w:noWrap/>
            <w:vAlign w:val="center"/>
          </w:tcPr>
          <w:p w14:paraId="2F31AD5D"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69.11%</w:t>
            </w:r>
          </w:p>
        </w:tc>
        <w:tc>
          <w:tcPr>
            <w:tcW w:w="666" w:type="pct"/>
            <w:shd w:val="clear" w:color="000000" w:fill="FFFFFF"/>
            <w:noWrap/>
            <w:vAlign w:val="center"/>
          </w:tcPr>
          <w:p w14:paraId="1FD48FF8"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6,911.95</w:t>
            </w:r>
          </w:p>
        </w:tc>
        <w:tc>
          <w:tcPr>
            <w:tcW w:w="665" w:type="pct"/>
            <w:shd w:val="clear" w:color="000000" w:fill="FFFFFF"/>
            <w:noWrap/>
            <w:vAlign w:val="center"/>
          </w:tcPr>
          <w:p w14:paraId="38A3E600"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68.03%</w:t>
            </w:r>
          </w:p>
        </w:tc>
        <w:tc>
          <w:tcPr>
            <w:tcW w:w="582" w:type="pct"/>
            <w:shd w:val="clear" w:color="000000" w:fill="FFFFFF"/>
            <w:noWrap/>
            <w:vAlign w:val="center"/>
          </w:tcPr>
          <w:p w14:paraId="02BB5DBA"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33.06%</w:t>
            </w:r>
          </w:p>
        </w:tc>
        <w:tc>
          <w:tcPr>
            <w:tcW w:w="778" w:type="pct"/>
            <w:shd w:val="clear" w:color="auto" w:fill="auto"/>
            <w:noWrap/>
            <w:vAlign w:val="center"/>
          </w:tcPr>
          <w:p w14:paraId="6907663C"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0.43%</w:t>
            </w:r>
          </w:p>
        </w:tc>
      </w:tr>
      <w:tr w:rsidR="00C02929" w14:paraId="32D64C87" w14:textId="77777777">
        <w:trPr>
          <w:trHeight w:val="397"/>
        </w:trPr>
        <w:tc>
          <w:tcPr>
            <w:tcW w:w="395" w:type="pct"/>
            <w:vMerge w:val="restart"/>
            <w:shd w:val="clear" w:color="000000" w:fill="FFFFFF"/>
            <w:noWrap/>
            <w:vAlign w:val="center"/>
          </w:tcPr>
          <w:p w14:paraId="39ED066E"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2018</w:t>
            </w:r>
            <w:r>
              <w:rPr>
                <w:rFonts w:ascii="Times New Roman" w:hAnsi="Times New Roman" w:cs="Times New Roman" w:hint="eastAsia"/>
                <w:color w:val="000000"/>
                <w:sz w:val="21"/>
                <w:szCs w:val="21"/>
              </w:rPr>
              <w:t>年度</w:t>
            </w:r>
          </w:p>
        </w:tc>
        <w:tc>
          <w:tcPr>
            <w:tcW w:w="583" w:type="pct"/>
            <w:shd w:val="clear" w:color="000000" w:fill="FFFFFF"/>
            <w:vAlign w:val="center"/>
          </w:tcPr>
          <w:p w14:paraId="551C7BB5" w14:textId="77777777" w:rsidR="00C02929" w:rsidRDefault="006116D1">
            <w:pPr>
              <w:adjustRightInd w:val="0"/>
              <w:snapToGrid w:val="0"/>
              <w:jc w:val="both"/>
              <w:rPr>
                <w:rFonts w:ascii="Times New Roman" w:hAnsi="Times New Roman" w:cs="Times New Roman"/>
                <w:sz w:val="21"/>
                <w:szCs w:val="21"/>
              </w:rPr>
            </w:pPr>
            <w:r>
              <w:rPr>
                <w:rFonts w:ascii="Times New Roman" w:hAnsi="Times New Roman" w:cs="Times New Roman" w:hint="eastAsia"/>
                <w:sz w:val="21"/>
                <w:szCs w:val="21"/>
              </w:rPr>
              <w:t>定制化集成</w:t>
            </w:r>
          </w:p>
        </w:tc>
        <w:tc>
          <w:tcPr>
            <w:tcW w:w="666" w:type="pct"/>
            <w:shd w:val="clear" w:color="000000" w:fill="FFFFFF"/>
            <w:noWrap/>
            <w:vAlign w:val="center"/>
          </w:tcPr>
          <w:p w14:paraId="40C2AF1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890.75</w:t>
            </w:r>
          </w:p>
        </w:tc>
        <w:tc>
          <w:tcPr>
            <w:tcW w:w="665" w:type="pct"/>
            <w:shd w:val="clear" w:color="000000" w:fill="FFFFFF"/>
            <w:noWrap/>
            <w:vAlign w:val="center"/>
          </w:tcPr>
          <w:p w14:paraId="07C4B5A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666" w:type="pct"/>
            <w:shd w:val="clear" w:color="000000" w:fill="FFFFFF"/>
            <w:noWrap/>
            <w:vAlign w:val="center"/>
          </w:tcPr>
          <w:p w14:paraId="207920B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437.38</w:t>
            </w:r>
          </w:p>
        </w:tc>
        <w:tc>
          <w:tcPr>
            <w:tcW w:w="665" w:type="pct"/>
            <w:shd w:val="clear" w:color="000000" w:fill="FFFFFF"/>
            <w:noWrap/>
            <w:vAlign w:val="center"/>
          </w:tcPr>
          <w:p w14:paraId="61E8883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582" w:type="pct"/>
            <w:shd w:val="clear" w:color="000000" w:fill="FFFFFF"/>
            <w:noWrap/>
            <w:vAlign w:val="center"/>
          </w:tcPr>
          <w:p w14:paraId="30BE4BE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50.90%</w:t>
            </w:r>
          </w:p>
        </w:tc>
        <w:tc>
          <w:tcPr>
            <w:tcW w:w="778" w:type="pct"/>
            <w:shd w:val="clear" w:color="000000" w:fill="FFFFFF"/>
            <w:noWrap/>
            <w:vAlign w:val="center"/>
          </w:tcPr>
          <w:p w14:paraId="0F726696"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C02929" w14:paraId="4B49359E" w14:textId="77777777">
        <w:trPr>
          <w:trHeight w:val="397"/>
        </w:trPr>
        <w:tc>
          <w:tcPr>
            <w:tcW w:w="395" w:type="pct"/>
            <w:vMerge/>
            <w:vAlign w:val="center"/>
          </w:tcPr>
          <w:p w14:paraId="6242AE2F" w14:textId="77777777" w:rsidR="00C02929" w:rsidRDefault="00C02929">
            <w:pPr>
              <w:adjustRightInd w:val="0"/>
              <w:snapToGrid w:val="0"/>
              <w:rPr>
                <w:rFonts w:ascii="Times New Roman" w:hAnsi="Times New Roman" w:cs="Times New Roman"/>
                <w:color w:val="000000"/>
                <w:sz w:val="21"/>
                <w:szCs w:val="21"/>
              </w:rPr>
            </w:pPr>
          </w:p>
        </w:tc>
        <w:tc>
          <w:tcPr>
            <w:tcW w:w="583" w:type="pct"/>
            <w:shd w:val="clear" w:color="000000" w:fill="FFFFFF"/>
            <w:vAlign w:val="center"/>
          </w:tcPr>
          <w:p w14:paraId="3321246E" w14:textId="77777777" w:rsidR="00C02929" w:rsidRDefault="006116D1">
            <w:pPr>
              <w:adjustRightInd w:val="0"/>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机器人及配套</w:t>
            </w:r>
          </w:p>
        </w:tc>
        <w:tc>
          <w:tcPr>
            <w:tcW w:w="666" w:type="pct"/>
            <w:shd w:val="clear" w:color="000000" w:fill="FFFFFF"/>
            <w:noWrap/>
            <w:vAlign w:val="center"/>
          </w:tcPr>
          <w:p w14:paraId="197F6442"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5,215.34</w:t>
            </w:r>
          </w:p>
        </w:tc>
        <w:tc>
          <w:tcPr>
            <w:tcW w:w="665" w:type="pct"/>
            <w:shd w:val="clear" w:color="000000" w:fill="FFFFFF"/>
            <w:noWrap/>
            <w:vAlign w:val="center"/>
          </w:tcPr>
          <w:p w14:paraId="4735F8B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666" w:type="pct"/>
            <w:shd w:val="clear" w:color="000000" w:fill="FFFFFF"/>
            <w:noWrap/>
            <w:vAlign w:val="center"/>
          </w:tcPr>
          <w:p w14:paraId="7C935BE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3,676.06</w:t>
            </w:r>
          </w:p>
        </w:tc>
        <w:tc>
          <w:tcPr>
            <w:tcW w:w="665" w:type="pct"/>
            <w:shd w:val="clear" w:color="000000" w:fill="FFFFFF"/>
            <w:noWrap/>
            <w:vAlign w:val="center"/>
          </w:tcPr>
          <w:p w14:paraId="3C3A459A"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c>
          <w:tcPr>
            <w:tcW w:w="582" w:type="pct"/>
            <w:shd w:val="clear" w:color="000000" w:fill="FFFFFF"/>
            <w:noWrap/>
            <w:vAlign w:val="center"/>
          </w:tcPr>
          <w:p w14:paraId="228CE8E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29.51%</w:t>
            </w:r>
          </w:p>
        </w:tc>
        <w:tc>
          <w:tcPr>
            <w:tcW w:w="778" w:type="pct"/>
            <w:shd w:val="clear" w:color="000000" w:fill="FFFFFF"/>
            <w:noWrap/>
            <w:vAlign w:val="center"/>
          </w:tcPr>
          <w:p w14:paraId="12CFDC7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hint="eastAsia"/>
                <w:color w:val="000000"/>
                <w:sz w:val="21"/>
                <w:szCs w:val="21"/>
              </w:rPr>
              <w:t>-</w:t>
            </w:r>
          </w:p>
        </w:tc>
      </w:tr>
      <w:tr w:rsidR="00C02929" w14:paraId="75E040C2" w14:textId="77777777">
        <w:trPr>
          <w:trHeight w:val="397"/>
        </w:trPr>
        <w:tc>
          <w:tcPr>
            <w:tcW w:w="395" w:type="pct"/>
            <w:vMerge/>
            <w:vAlign w:val="center"/>
          </w:tcPr>
          <w:p w14:paraId="529AC251" w14:textId="77777777" w:rsidR="00C02929" w:rsidRDefault="00C02929">
            <w:pPr>
              <w:adjustRightInd w:val="0"/>
              <w:snapToGrid w:val="0"/>
              <w:rPr>
                <w:rFonts w:ascii="Times New Roman" w:hAnsi="Times New Roman" w:cs="Times New Roman"/>
                <w:color w:val="000000"/>
                <w:sz w:val="21"/>
                <w:szCs w:val="21"/>
              </w:rPr>
            </w:pPr>
          </w:p>
        </w:tc>
        <w:tc>
          <w:tcPr>
            <w:tcW w:w="583" w:type="pct"/>
            <w:shd w:val="clear" w:color="000000" w:fill="FFFFFF"/>
            <w:noWrap/>
            <w:vAlign w:val="center"/>
          </w:tcPr>
          <w:p w14:paraId="161D880D"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66" w:type="pct"/>
            <w:shd w:val="clear" w:color="000000" w:fill="FFFFFF"/>
            <w:noWrap/>
            <w:vAlign w:val="center"/>
          </w:tcPr>
          <w:p w14:paraId="05F92069"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6,106.09</w:t>
            </w:r>
          </w:p>
        </w:tc>
        <w:tc>
          <w:tcPr>
            <w:tcW w:w="665" w:type="pct"/>
            <w:shd w:val="clear" w:color="000000" w:fill="FFFFFF"/>
            <w:noWrap/>
            <w:vAlign w:val="center"/>
          </w:tcPr>
          <w:p w14:paraId="415D0CC6"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p>
        </w:tc>
        <w:tc>
          <w:tcPr>
            <w:tcW w:w="666" w:type="pct"/>
            <w:shd w:val="clear" w:color="000000" w:fill="FFFFFF"/>
            <w:noWrap/>
            <w:vAlign w:val="center"/>
          </w:tcPr>
          <w:p w14:paraId="29BFDD5A"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4,113.44</w:t>
            </w:r>
          </w:p>
        </w:tc>
        <w:tc>
          <w:tcPr>
            <w:tcW w:w="665" w:type="pct"/>
            <w:shd w:val="clear" w:color="000000" w:fill="FFFFFF"/>
            <w:noWrap/>
            <w:vAlign w:val="center"/>
          </w:tcPr>
          <w:p w14:paraId="409B7BDE"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p>
        </w:tc>
        <w:tc>
          <w:tcPr>
            <w:tcW w:w="582" w:type="pct"/>
            <w:shd w:val="clear" w:color="000000" w:fill="FFFFFF"/>
            <w:noWrap/>
            <w:vAlign w:val="center"/>
          </w:tcPr>
          <w:p w14:paraId="27EBDA01"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32.63%</w:t>
            </w:r>
          </w:p>
        </w:tc>
        <w:tc>
          <w:tcPr>
            <w:tcW w:w="778" w:type="pct"/>
            <w:shd w:val="clear" w:color="000000" w:fill="FFFFFF"/>
            <w:noWrap/>
            <w:vAlign w:val="center"/>
          </w:tcPr>
          <w:p w14:paraId="1E17107D" w14:textId="77777777" w:rsidR="00C02929" w:rsidRDefault="006116D1">
            <w:pPr>
              <w:adjustRightInd w:val="0"/>
              <w:snapToGrid w:val="0"/>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p>
        </w:tc>
      </w:tr>
    </w:tbl>
    <w:p w14:paraId="372138E8"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2020</w:t>
      </w:r>
      <w:r>
        <w:rPr>
          <w:rFonts w:ascii="Times New Roman" w:hAnsi="Times New Roman" w:cs="Times New Roman"/>
        </w:rPr>
        <w:t>年</w:t>
      </w:r>
      <w:r>
        <w:rPr>
          <w:rFonts w:ascii="Times New Roman" w:hAnsi="Times New Roman" w:cs="Times New Roman" w:hint="eastAsia"/>
        </w:rPr>
        <w:t>，标的公司</w:t>
      </w:r>
      <w:r>
        <w:rPr>
          <w:rFonts w:ascii="Times New Roman" w:hAnsi="Times New Roman" w:cs="Times New Roman"/>
        </w:rPr>
        <w:t>定制化集成业务</w:t>
      </w:r>
      <w:r>
        <w:rPr>
          <w:rFonts w:ascii="Times New Roman" w:hAnsi="Times New Roman" w:cs="Times New Roman" w:hint="eastAsia"/>
        </w:rPr>
        <w:t>产生的营业</w:t>
      </w:r>
      <w:r>
        <w:rPr>
          <w:rFonts w:ascii="Times New Roman" w:hAnsi="Times New Roman" w:cs="Times New Roman"/>
        </w:rPr>
        <w:t>收入</w:t>
      </w:r>
      <w:r>
        <w:rPr>
          <w:rFonts w:ascii="Times New Roman" w:hAnsi="Times New Roman" w:cs="Times New Roman" w:hint="eastAsia"/>
        </w:rPr>
        <w:t>、营业成本</w:t>
      </w:r>
      <w:r>
        <w:rPr>
          <w:rFonts w:ascii="Times New Roman" w:hAnsi="Times New Roman" w:cs="Times New Roman"/>
        </w:rPr>
        <w:t>较</w:t>
      </w:r>
      <w:r>
        <w:rPr>
          <w:rFonts w:ascii="Times New Roman" w:hAnsi="Times New Roman" w:cs="Times New Roman"/>
        </w:rPr>
        <w:t>2019</w:t>
      </w:r>
      <w:r>
        <w:rPr>
          <w:rFonts w:ascii="Times New Roman" w:hAnsi="Times New Roman" w:cs="Times New Roman"/>
        </w:rPr>
        <w:t>年</w:t>
      </w:r>
      <w:r>
        <w:rPr>
          <w:rFonts w:ascii="Times New Roman" w:hAnsi="Times New Roman" w:cs="Times New Roman" w:hint="eastAsia"/>
        </w:rPr>
        <w:t>分别</w:t>
      </w:r>
      <w:r>
        <w:rPr>
          <w:rFonts w:ascii="Times New Roman" w:hAnsi="Times New Roman" w:cs="Times New Roman"/>
        </w:rPr>
        <w:t>减少</w:t>
      </w:r>
      <w:r>
        <w:rPr>
          <w:rFonts w:ascii="Times New Roman" w:hAnsi="Times New Roman" w:cs="Times New Roman"/>
        </w:rPr>
        <w:t>2.58%</w:t>
      </w:r>
      <w:r>
        <w:rPr>
          <w:rFonts w:ascii="Times New Roman" w:hAnsi="Times New Roman" w:cs="Times New Roman" w:hint="eastAsia"/>
        </w:rPr>
        <w:t>、</w:t>
      </w:r>
      <w:r>
        <w:rPr>
          <w:rFonts w:ascii="Times New Roman" w:hAnsi="Times New Roman" w:cs="Times New Roman"/>
        </w:rPr>
        <w:t>25.54%</w:t>
      </w:r>
      <w:r>
        <w:rPr>
          <w:rFonts w:ascii="Times New Roman" w:hAnsi="Times New Roman" w:cs="Times New Roman"/>
        </w:rPr>
        <w:t>，主要系</w:t>
      </w:r>
      <w:r>
        <w:rPr>
          <w:rFonts w:ascii="Times New Roman" w:hAnsi="Times New Roman" w:cs="Times New Roman" w:hint="eastAsia"/>
        </w:rPr>
        <w:t>高毛利率的企业信息化业务规模大幅增长所致</w:t>
      </w:r>
      <w:r>
        <w:rPr>
          <w:rFonts w:ascii="Times New Roman" w:hAnsi="Times New Roman" w:cs="Times New Roman"/>
        </w:rPr>
        <w:t>。</w:t>
      </w:r>
      <w:r>
        <w:rPr>
          <w:rFonts w:ascii="Times New Roman" w:hAnsi="Times New Roman" w:cs="Times New Roman" w:hint="eastAsia"/>
        </w:rPr>
        <w:t>报告期内，</w:t>
      </w:r>
      <w:r>
        <w:rPr>
          <w:rFonts w:ascii="Times New Roman" w:hAnsi="Times New Roman" w:cs="Times New Roman"/>
        </w:rPr>
        <w:t>标的公司各类</w:t>
      </w:r>
      <w:r>
        <w:rPr>
          <w:rFonts w:ascii="Times New Roman" w:hAnsi="Times New Roman" w:cs="Times New Roman" w:hint="eastAsia"/>
        </w:rPr>
        <w:t>业务</w:t>
      </w:r>
      <w:r>
        <w:rPr>
          <w:rFonts w:ascii="Times New Roman" w:hAnsi="Times New Roman" w:cs="Times New Roman"/>
        </w:rPr>
        <w:t>营业收入与营业成本同比变动情况</w:t>
      </w:r>
      <w:r>
        <w:rPr>
          <w:rFonts w:ascii="Times New Roman" w:hAnsi="Times New Roman" w:cs="Times New Roman" w:hint="eastAsia"/>
        </w:rPr>
        <w:t>基本</w:t>
      </w:r>
      <w:r>
        <w:rPr>
          <w:rFonts w:ascii="Times New Roman" w:hAnsi="Times New Roman" w:cs="Times New Roman"/>
        </w:rPr>
        <w:t>相匹配</w:t>
      </w:r>
      <w:r>
        <w:rPr>
          <w:rFonts w:ascii="Times New Roman" w:hAnsi="Times New Roman" w:cs="Times New Roman" w:hint="eastAsia"/>
        </w:rPr>
        <w:t>。北洋天青成本结转准确，与营业收入确认相匹配</w:t>
      </w:r>
      <w:r>
        <w:rPr>
          <w:rFonts w:ascii="Times New Roman" w:hAnsi="Times New Roman" w:cs="Times New Roman"/>
        </w:rPr>
        <w:t>。</w:t>
      </w:r>
    </w:p>
    <w:p w14:paraId="1090DB73"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lastRenderedPageBreak/>
        <w:t>二、补充披露情况</w:t>
      </w:r>
    </w:p>
    <w:p w14:paraId="203F82FA"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管理层讨论与分析”之“三、标的公司报告期财务状况和经营成果的讨论分析”之“（二）盈利能力分析”进行了补充披露。</w:t>
      </w:r>
    </w:p>
    <w:p w14:paraId="3F906D23" w14:textId="4C6FDBD4"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w:t>
      </w:r>
      <w:r w:rsidR="00AA3DAA" w:rsidRP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22B7BA06"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通过比对项目实际归集成本与预算采购清单、合同内容的一致性，检查期后大额付款凭证，对主要供应商进行函证等实质性程序，并对营业收入、营业成本变动趋势进行合理性分析，独立财务顾问认为：北洋天青成本结转准确，与营业收入确认相匹配，符合企业会计准则的相关规定。</w:t>
      </w:r>
    </w:p>
    <w:p w14:paraId="7D6837A4" w14:textId="77777777" w:rsidR="00C02929" w:rsidRDefault="00C02929">
      <w:pPr>
        <w:spacing w:beforeLines="50" w:before="156" w:line="360" w:lineRule="auto"/>
        <w:ind w:firstLineChars="200" w:firstLine="562"/>
        <w:jc w:val="both"/>
        <w:outlineLvl w:val="0"/>
        <w:rPr>
          <w:rFonts w:ascii="Times New Roman" w:eastAsia="黑体" w:hAnsi="Times New Roman" w:cs="Times New Roman"/>
          <w:b/>
          <w:color w:val="000000"/>
          <w:sz w:val="28"/>
          <w:szCs w:val="28"/>
        </w:rPr>
        <w:sectPr w:rsidR="00C02929">
          <w:pgSz w:w="11906" w:h="16838"/>
          <w:pgMar w:top="1440" w:right="1800" w:bottom="1440" w:left="1800" w:header="851" w:footer="992" w:gutter="0"/>
          <w:cols w:space="720"/>
          <w:docGrid w:type="lines" w:linePitch="312"/>
        </w:sectPr>
      </w:pPr>
      <w:bookmarkStart w:id="58" w:name="_Toc69256876"/>
      <w:bookmarkStart w:id="59" w:name="_Toc69256858"/>
      <w:bookmarkEnd w:id="55"/>
      <w:bookmarkEnd w:id="56"/>
    </w:p>
    <w:p w14:paraId="222B8903" w14:textId="77777777" w:rsidR="00C02929" w:rsidRDefault="006116D1">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r>
        <w:rPr>
          <w:rFonts w:ascii="Times New Roman" w:eastAsia="黑体" w:hAnsi="Times New Roman" w:cs="Times New Roman" w:hint="eastAsia"/>
          <w:b/>
          <w:color w:val="000000"/>
          <w:sz w:val="28"/>
          <w:szCs w:val="28"/>
        </w:rPr>
        <w:lastRenderedPageBreak/>
        <w:t>第十题</w:t>
      </w:r>
    </w:p>
    <w:p w14:paraId="7B340A6F"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申请文件显示，报告期各期末，标的资产流动比率分别为</w:t>
      </w:r>
      <w:r>
        <w:rPr>
          <w:rFonts w:ascii="Times New Roman" w:eastAsia="黑体" w:hAnsi="Times New Roman" w:cs="Times New Roman" w:hint="eastAsia"/>
          <w:b/>
          <w:color w:val="000000"/>
          <w:szCs w:val="21"/>
        </w:rPr>
        <w:t>2.26</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2.51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1.39</w:t>
      </w:r>
      <w:r>
        <w:rPr>
          <w:rFonts w:ascii="Times New Roman" w:eastAsia="黑体" w:hAnsi="Times New Roman" w:cs="Times New Roman" w:hint="eastAsia"/>
          <w:b/>
          <w:color w:val="000000"/>
          <w:szCs w:val="21"/>
        </w:rPr>
        <w:t>，速动比率分别为</w:t>
      </w:r>
      <w:r>
        <w:rPr>
          <w:rFonts w:ascii="Times New Roman" w:eastAsia="黑体" w:hAnsi="Times New Roman" w:cs="Times New Roman" w:hint="eastAsia"/>
          <w:b/>
          <w:color w:val="000000"/>
          <w:szCs w:val="21"/>
        </w:rPr>
        <w:t>1.60</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2.03</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1.14</w:t>
      </w:r>
      <w:r>
        <w:rPr>
          <w:rFonts w:ascii="Times New Roman" w:eastAsia="黑体" w:hAnsi="Times New Roman" w:cs="Times New Roman" w:hint="eastAsia"/>
          <w:b/>
          <w:color w:val="000000"/>
          <w:szCs w:val="21"/>
        </w:rPr>
        <w:t>，资产负债率分别为</w:t>
      </w:r>
      <w:r>
        <w:rPr>
          <w:rFonts w:ascii="Times New Roman" w:eastAsia="黑体" w:hAnsi="Times New Roman" w:cs="Times New Roman" w:hint="eastAsia"/>
          <w:b/>
          <w:color w:val="000000"/>
          <w:szCs w:val="21"/>
        </w:rPr>
        <w:t>43.41%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39.31%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70.50%</w:t>
      </w:r>
      <w:r>
        <w:rPr>
          <w:rFonts w:ascii="Times New Roman" w:eastAsia="黑体" w:hAnsi="Times New Roman" w:cs="Times New Roman" w:hint="eastAsia"/>
          <w:b/>
          <w:color w:val="000000"/>
          <w:szCs w:val="21"/>
        </w:rPr>
        <w:t>。报告期流动负债分别为</w:t>
      </w:r>
      <w:r>
        <w:rPr>
          <w:rFonts w:ascii="Times New Roman" w:eastAsia="黑体" w:hAnsi="Times New Roman" w:cs="Times New Roman" w:hint="eastAsia"/>
          <w:b/>
          <w:color w:val="000000"/>
          <w:szCs w:val="21"/>
        </w:rPr>
        <w:t>3,405.11</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3,638.10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14,034.05</w:t>
      </w:r>
      <w:r>
        <w:rPr>
          <w:rFonts w:ascii="Times New Roman" w:eastAsia="黑体" w:hAnsi="Times New Roman" w:cs="Times New Roman" w:hint="eastAsia"/>
          <w:b/>
          <w:color w:val="000000"/>
          <w:szCs w:val="21"/>
        </w:rPr>
        <w:t>万元，增长较快，报告期流动负债占比均达</w:t>
      </w:r>
      <w:r>
        <w:rPr>
          <w:rFonts w:ascii="Times New Roman" w:eastAsia="黑体" w:hAnsi="Times New Roman" w:cs="Times New Roman" w:hint="eastAsia"/>
          <w:b/>
          <w:color w:val="000000"/>
          <w:szCs w:val="21"/>
        </w:rPr>
        <w:t>97%</w:t>
      </w:r>
      <w:r>
        <w:rPr>
          <w:rFonts w:ascii="Times New Roman" w:eastAsia="黑体" w:hAnsi="Times New Roman" w:cs="Times New Roman" w:hint="eastAsia"/>
          <w:b/>
          <w:color w:val="000000"/>
          <w:szCs w:val="21"/>
        </w:rPr>
        <w:t>以上。请你公司补充披露：标的资产流动负债增长较快、偿债能力减弱的原因，与同行业可比公司和行业平均水平是否存在重大差异，是否存在较高的财务风险及应对措施。请独立财务顾问和会计师核查并发表明确意见。</w:t>
      </w:r>
    </w:p>
    <w:p w14:paraId="16813611" w14:textId="77777777" w:rsidR="00C02929" w:rsidRDefault="006116D1">
      <w:pPr>
        <w:pStyle w:val="affffd"/>
        <w:spacing w:before="156"/>
        <w:ind w:firstLine="482"/>
        <w:rPr>
          <w:b/>
        </w:rPr>
      </w:pPr>
      <w:r>
        <w:rPr>
          <w:rFonts w:hint="eastAsia"/>
          <w:b/>
        </w:rPr>
        <w:t>【回复说明】</w:t>
      </w:r>
    </w:p>
    <w:p w14:paraId="7603F9D2"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一、标的资产流动负债增长较快、偿债能力减弱的原因</w:t>
      </w:r>
    </w:p>
    <w:p w14:paraId="1193F0B7"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（一）标的资产流动负债增长较快的原因</w:t>
      </w:r>
    </w:p>
    <w:p w14:paraId="73866708"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报告期各期末，标的公司的流动负债主要由应付票据、应付账款及合同负债构成。</w:t>
      </w:r>
    </w:p>
    <w:p w14:paraId="062B93D9" w14:textId="77777777" w:rsidR="00C02929" w:rsidRDefault="006116D1">
      <w:pPr>
        <w:spacing w:beforeLines="50" w:before="156" w:line="360" w:lineRule="auto"/>
        <w:ind w:firstLineChars="200" w:firstLine="482"/>
        <w:jc w:val="both"/>
        <w:rPr>
          <w:rFonts w:ascii="Times New Roman" w:hAnsi="Times New Roman" w:cs="Times New Roman"/>
          <w:b/>
          <w:bCs/>
          <w:color w:val="000000"/>
          <w:lang w:val="en-GB"/>
        </w:rPr>
      </w:pPr>
      <w:r>
        <w:rPr>
          <w:rFonts w:ascii="Times New Roman" w:hAnsi="Times New Roman" w:cs="Times New Roman"/>
          <w:b/>
          <w:bCs/>
          <w:color w:val="000000"/>
          <w:lang w:val="en-GB"/>
        </w:rPr>
        <w:t>1</w:t>
      </w:r>
      <w:r>
        <w:rPr>
          <w:rFonts w:ascii="Times New Roman" w:hAnsi="Times New Roman" w:cs="Times New Roman" w:hint="eastAsia"/>
          <w:b/>
          <w:bCs/>
          <w:color w:val="000000"/>
          <w:lang w:val="en-GB"/>
        </w:rPr>
        <w:t>、应付票据</w:t>
      </w:r>
    </w:p>
    <w:p w14:paraId="50D39BB6"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9"/>
        <w:gridCol w:w="2237"/>
        <w:gridCol w:w="2238"/>
        <w:gridCol w:w="2238"/>
      </w:tblGrid>
      <w:tr w:rsidR="00C02929" w14:paraId="5DC9E9A1" w14:textId="77777777">
        <w:trPr>
          <w:trHeight w:val="397"/>
          <w:tblHeader/>
        </w:trPr>
        <w:tc>
          <w:tcPr>
            <w:tcW w:w="1061" w:type="pct"/>
            <w:shd w:val="clear" w:color="auto" w:fill="auto"/>
            <w:vAlign w:val="center"/>
          </w:tcPr>
          <w:p w14:paraId="61097194"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票据种类</w:t>
            </w:r>
          </w:p>
        </w:tc>
        <w:tc>
          <w:tcPr>
            <w:tcW w:w="1312" w:type="pct"/>
            <w:shd w:val="clear" w:color="auto" w:fill="auto"/>
            <w:vAlign w:val="center"/>
          </w:tcPr>
          <w:p w14:paraId="42571A2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313" w:type="pct"/>
            <w:shd w:val="clear" w:color="auto" w:fill="auto"/>
            <w:vAlign w:val="center"/>
          </w:tcPr>
          <w:p w14:paraId="2293066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313" w:type="pct"/>
            <w:shd w:val="clear" w:color="auto" w:fill="auto"/>
            <w:vAlign w:val="center"/>
          </w:tcPr>
          <w:p w14:paraId="7D69C57B"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C02929" w14:paraId="27309DAF" w14:textId="77777777">
        <w:trPr>
          <w:trHeight w:val="397"/>
        </w:trPr>
        <w:tc>
          <w:tcPr>
            <w:tcW w:w="1061" w:type="pct"/>
            <w:shd w:val="clear" w:color="auto" w:fill="auto"/>
            <w:vAlign w:val="center"/>
          </w:tcPr>
          <w:p w14:paraId="2614BFB3"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银行承兑汇票</w:t>
            </w:r>
          </w:p>
        </w:tc>
        <w:tc>
          <w:tcPr>
            <w:tcW w:w="1312" w:type="pct"/>
            <w:shd w:val="clear" w:color="auto" w:fill="auto"/>
            <w:vAlign w:val="center"/>
          </w:tcPr>
          <w:p w14:paraId="050AF35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4,562.31</w:t>
            </w:r>
          </w:p>
        </w:tc>
        <w:tc>
          <w:tcPr>
            <w:tcW w:w="1313" w:type="pct"/>
            <w:shd w:val="clear" w:color="auto" w:fill="auto"/>
            <w:vAlign w:val="center"/>
          </w:tcPr>
          <w:p w14:paraId="10255A9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786.14</w:t>
            </w:r>
          </w:p>
        </w:tc>
        <w:tc>
          <w:tcPr>
            <w:tcW w:w="1313" w:type="pct"/>
            <w:shd w:val="clear" w:color="auto" w:fill="auto"/>
            <w:vAlign w:val="center"/>
          </w:tcPr>
          <w:p w14:paraId="04114FD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976.42</w:t>
            </w:r>
          </w:p>
        </w:tc>
      </w:tr>
    </w:tbl>
    <w:p w14:paraId="0F1E0D5B"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报告期各期末，标的公司应付票据分别为</w:t>
      </w:r>
      <w:r>
        <w:rPr>
          <w:rFonts w:ascii="Times New Roman" w:hAnsi="Times New Roman" w:cs="Times New Roman" w:hint="eastAsia"/>
          <w:bCs/>
          <w:color w:val="000000"/>
          <w:lang w:val="en-GB"/>
        </w:rPr>
        <w:t>976.42</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786.14</w:t>
      </w:r>
      <w:r>
        <w:rPr>
          <w:rFonts w:ascii="Times New Roman" w:hAnsi="Times New Roman" w:cs="Times New Roman" w:hint="eastAsia"/>
          <w:bCs/>
          <w:color w:val="000000"/>
          <w:lang w:val="en-GB"/>
        </w:rPr>
        <w:t>万元和</w:t>
      </w:r>
      <w:r>
        <w:rPr>
          <w:rFonts w:ascii="Times New Roman" w:hAnsi="Times New Roman" w:cs="Times New Roman" w:hint="eastAsia"/>
          <w:bCs/>
          <w:color w:val="000000"/>
          <w:lang w:val="en-GB"/>
        </w:rPr>
        <w:t>4,562.31</w:t>
      </w:r>
      <w:r>
        <w:rPr>
          <w:rFonts w:ascii="Times New Roman" w:hAnsi="Times New Roman" w:cs="Times New Roman" w:hint="eastAsia"/>
          <w:bCs/>
          <w:color w:val="000000"/>
          <w:lang w:val="en-GB"/>
        </w:rPr>
        <w:t>万元，占总负债的比例分别为</w:t>
      </w:r>
      <w:r>
        <w:rPr>
          <w:rFonts w:ascii="Times New Roman" w:hAnsi="Times New Roman" w:cs="Times New Roman" w:hint="eastAsia"/>
          <w:bCs/>
          <w:color w:val="000000"/>
          <w:lang w:val="en-GB"/>
        </w:rPr>
        <w:t>28.68%</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20.98</w:t>
      </w:r>
      <w:r>
        <w:rPr>
          <w:rFonts w:ascii="Times New Roman" w:hAnsi="Times New Roman" w:cs="Times New Roman" w:hint="eastAsia"/>
          <w:bCs/>
          <w:lang w:val="en-GB"/>
        </w:rPr>
        <w:t>%</w:t>
      </w:r>
      <w:r>
        <w:rPr>
          <w:rFonts w:ascii="Times New Roman" w:hAnsi="Times New Roman" w:cs="Times New Roman" w:hint="eastAsia"/>
          <w:bCs/>
          <w:lang w:val="en-GB"/>
        </w:rPr>
        <w:t>和</w:t>
      </w:r>
      <w:r>
        <w:rPr>
          <w:rFonts w:ascii="Times New Roman" w:hAnsi="Times New Roman" w:cs="Times New Roman"/>
          <w:bCs/>
        </w:rPr>
        <w:t>24.80</w:t>
      </w:r>
      <w:r>
        <w:rPr>
          <w:rFonts w:ascii="Times New Roman" w:hAnsi="Times New Roman" w:cs="Times New Roman" w:hint="eastAsia"/>
          <w:bCs/>
          <w:lang w:val="en-GB"/>
        </w:rPr>
        <w:t>%</w:t>
      </w:r>
      <w:r>
        <w:rPr>
          <w:rFonts w:ascii="Times New Roman" w:hAnsi="Times New Roman" w:cs="Times New Roman" w:hint="eastAsia"/>
          <w:bCs/>
          <w:lang w:val="en-GB"/>
        </w:rPr>
        <w:t>，全部为银行承兑汇票。</w:t>
      </w:r>
      <w:r>
        <w:rPr>
          <w:rFonts w:ascii="Times New Roman" w:hAnsi="Times New Roman" w:cs="Times New Roman" w:hint="eastAsia"/>
          <w:bCs/>
          <w:lang w:val="en-GB"/>
        </w:rPr>
        <w:t>2020</w:t>
      </w:r>
      <w:r>
        <w:rPr>
          <w:rFonts w:ascii="Times New Roman" w:hAnsi="Times New Roman" w:cs="Times New Roman" w:hint="eastAsia"/>
          <w:bCs/>
          <w:lang w:val="en-GB"/>
        </w:rPr>
        <w:t>年末，标的公司应付票据较</w:t>
      </w:r>
      <w:r>
        <w:rPr>
          <w:rFonts w:ascii="Times New Roman" w:hAnsi="Times New Roman" w:cs="Times New Roman" w:hint="eastAsia"/>
          <w:bCs/>
          <w:lang w:val="en-GB"/>
        </w:rPr>
        <w:t>2019</w:t>
      </w:r>
      <w:r>
        <w:rPr>
          <w:rFonts w:ascii="Times New Roman" w:hAnsi="Times New Roman" w:cs="Times New Roman" w:hint="eastAsia"/>
          <w:bCs/>
          <w:lang w:val="en-GB"/>
        </w:rPr>
        <w:t>年末增加</w:t>
      </w:r>
      <w:r>
        <w:rPr>
          <w:rFonts w:ascii="Times New Roman" w:hAnsi="Times New Roman" w:cs="Times New Roman"/>
          <w:bCs/>
        </w:rPr>
        <w:t>3</w:t>
      </w:r>
      <w:r>
        <w:rPr>
          <w:rFonts w:ascii="Times New Roman" w:hAnsi="Times New Roman" w:cs="Times New Roman" w:hint="eastAsia"/>
          <w:bCs/>
        </w:rPr>
        <w:t>,</w:t>
      </w:r>
      <w:r>
        <w:rPr>
          <w:rFonts w:ascii="Times New Roman" w:hAnsi="Times New Roman" w:cs="Times New Roman"/>
          <w:bCs/>
        </w:rPr>
        <w:t>776.17</w:t>
      </w:r>
      <w:r>
        <w:rPr>
          <w:rFonts w:ascii="Times New Roman" w:hAnsi="Times New Roman" w:cs="Times New Roman" w:hint="eastAsia"/>
          <w:bCs/>
          <w:lang w:val="en-GB"/>
        </w:rPr>
        <w:t>万元，增幅</w:t>
      </w:r>
      <w:r>
        <w:rPr>
          <w:rFonts w:ascii="Times New Roman" w:hAnsi="Times New Roman" w:cs="Times New Roman"/>
          <w:bCs/>
        </w:rPr>
        <w:t>480.34</w:t>
      </w:r>
      <w:r>
        <w:rPr>
          <w:rFonts w:ascii="Times New Roman" w:hAnsi="Times New Roman" w:cs="Times New Roman" w:hint="eastAsia"/>
          <w:bCs/>
          <w:lang w:val="en-GB"/>
        </w:rPr>
        <w:t>%</w:t>
      </w:r>
      <w:r>
        <w:rPr>
          <w:rFonts w:ascii="Times New Roman" w:hAnsi="Times New Roman" w:cs="Times New Roman" w:hint="eastAsia"/>
          <w:bCs/>
          <w:lang w:val="en-GB"/>
        </w:rPr>
        <w:t>，</w:t>
      </w:r>
      <w:r>
        <w:rPr>
          <w:rFonts w:ascii="Times New Roman" w:hAnsi="Times New Roman" w:cs="Times New Roman" w:hint="eastAsia"/>
          <w:bCs/>
          <w:color w:val="000000"/>
          <w:lang w:val="en-GB"/>
        </w:rPr>
        <w:t>主要系标的公司业务规模扩张及采用开具承兑汇票结算方式支付的货款增加所致。截至</w:t>
      </w:r>
      <w:r>
        <w:rPr>
          <w:rFonts w:ascii="Times New Roman" w:hAnsi="Times New Roman" w:cs="Times New Roman"/>
          <w:bCs/>
          <w:color w:val="000000"/>
          <w:lang w:val="en-GB"/>
        </w:rPr>
        <w:t>2020</w:t>
      </w:r>
      <w:r>
        <w:rPr>
          <w:rFonts w:ascii="Times New Roman" w:hAnsi="Times New Roman" w:cs="Times New Roman"/>
          <w:bCs/>
          <w:color w:val="000000"/>
          <w:lang w:val="en-GB"/>
        </w:rPr>
        <w:t>年</w:t>
      </w:r>
      <w:r>
        <w:rPr>
          <w:rFonts w:ascii="Times New Roman" w:hAnsi="Times New Roman" w:cs="Times New Roman"/>
          <w:bCs/>
          <w:color w:val="000000"/>
          <w:lang w:val="en-GB"/>
        </w:rPr>
        <w:t>12</w:t>
      </w:r>
      <w:r>
        <w:rPr>
          <w:rFonts w:ascii="Times New Roman" w:hAnsi="Times New Roman" w:cs="Times New Roman"/>
          <w:bCs/>
          <w:color w:val="000000"/>
          <w:lang w:val="en-GB"/>
        </w:rPr>
        <w:t>月</w:t>
      </w:r>
      <w:r>
        <w:rPr>
          <w:rFonts w:ascii="Times New Roman" w:hAnsi="Times New Roman" w:cs="Times New Roman"/>
          <w:bCs/>
          <w:color w:val="000000"/>
          <w:lang w:val="en-GB"/>
        </w:rPr>
        <w:t>31</w:t>
      </w:r>
      <w:r>
        <w:rPr>
          <w:rFonts w:ascii="Times New Roman" w:hAnsi="Times New Roman" w:cs="Times New Roman"/>
          <w:bCs/>
          <w:color w:val="000000"/>
          <w:lang w:val="en-GB"/>
        </w:rPr>
        <w:t>日，北洋天青</w:t>
      </w:r>
      <w:r>
        <w:rPr>
          <w:rFonts w:ascii="Times New Roman" w:hAnsi="Times New Roman" w:cs="Times New Roman" w:hint="eastAsia"/>
          <w:bCs/>
          <w:color w:val="000000"/>
          <w:lang w:val="en-GB"/>
        </w:rPr>
        <w:t>应付票据按供应商归集主要</w:t>
      </w:r>
      <w:r>
        <w:rPr>
          <w:rFonts w:ascii="Times New Roman" w:hAnsi="Times New Roman" w:cs="Times New Roman"/>
          <w:bCs/>
          <w:color w:val="000000"/>
          <w:lang w:val="en-GB"/>
        </w:rPr>
        <w:t>情况具体如下：</w:t>
      </w:r>
    </w:p>
    <w:p w14:paraId="0EF31A2D"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4455"/>
        <w:gridCol w:w="2289"/>
        <w:gridCol w:w="1778"/>
      </w:tblGrid>
      <w:tr w:rsidR="00C02929" w14:paraId="5ADB9317" w14:textId="77777777">
        <w:trPr>
          <w:trHeight w:val="397"/>
          <w:tblHeader/>
        </w:trPr>
        <w:tc>
          <w:tcPr>
            <w:tcW w:w="2614" w:type="pct"/>
            <w:vAlign w:val="center"/>
          </w:tcPr>
          <w:p w14:paraId="1F3FFA14"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供应商名称</w:t>
            </w:r>
          </w:p>
        </w:tc>
        <w:tc>
          <w:tcPr>
            <w:tcW w:w="1343" w:type="pct"/>
            <w:vAlign w:val="center"/>
          </w:tcPr>
          <w:p w14:paraId="7469A0E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hint="eastAsia"/>
                <w:b/>
                <w:bCs/>
                <w:color w:val="000000"/>
                <w:sz w:val="21"/>
                <w:szCs w:val="21"/>
              </w:rPr>
              <w:t>日</w:t>
            </w:r>
            <w:r>
              <w:rPr>
                <w:rFonts w:ascii="Times New Roman" w:hAnsi="Times New Roman" w:cs="Times New Roman"/>
                <w:b/>
                <w:bCs/>
                <w:color w:val="000000"/>
                <w:sz w:val="21"/>
                <w:szCs w:val="21"/>
              </w:rPr>
              <w:t>余额</w:t>
            </w:r>
          </w:p>
        </w:tc>
        <w:tc>
          <w:tcPr>
            <w:tcW w:w="1043" w:type="pct"/>
            <w:vAlign w:val="center"/>
          </w:tcPr>
          <w:p w14:paraId="134F0E12"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占比</w:t>
            </w:r>
          </w:p>
        </w:tc>
      </w:tr>
      <w:tr w:rsidR="00C02929" w14:paraId="786D479C" w14:textId="77777777">
        <w:trPr>
          <w:trHeight w:val="397"/>
        </w:trPr>
        <w:tc>
          <w:tcPr>
            <w:tcW w:w="2614" w:type="pct"/>
            <w:vAlign w:val="center"/>
          </w:tcPr>
          <w:p w14:paraId="34A6CF4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沃得精机（中国）有限公司</w:t>
            </w:r>
          </w:p>
        </w:tc>
        <w:tc>
          <w:tcPr>
            <w:tcW w:w="1343" w:type="pct"/>
            <w:vAlign w:val="center"/>
          </w:tcPr>
          <w:p w14:paraId="7E6B4656"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565.90</w:t>
            </w:r>
          </w:p>
        </w:tc>
        <w:tc>
          <w:tcPr>
            <w:tcW w:w="1043" w:type="pct"/>
            <w:vAlign w:val="center"/>
          </w:tcPr>
          <w:p w14:paraId="7476462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12.40%</w:t>
            </w:r>
          </w:p>
        </w:tc>
      </w:tr>
      <w:tr w:rsidR="00C02929" w14:paraId="1D7256C4" w14:textId="77777777">
        <w:trPr>
          <w:trHeight w:val="397"/>
        </w:trPr>
        <w:tc>
          <w:tcPr>
            <w:tcW w:w="2614" w:type="pct"/>
            <w:vAlign w:val="center"/>
          </w:tcPr>
          <w:p w14:paraId="136133F8"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青岛海德马克智能装备有限公司</w:t>
            </w:r>
          </w:p>
        </w:tc>
        <w:tc>
          <w:tcPr>
            <w:tcW w:w="1343" w:type="pct"/>
            <w:vAlign w:val="center"/>
          </w:tcPr>
          <w:p w14:paraId="1313742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331.20</w:t>
            </w:r>
          </w:p>
        </w:tc>
        <w:tc>
          <w:tcPr>
            <w:tcW w:w="1043" w:type="pct"/>
            <w:vAlign w:val="center"/>
          </w:tcPr>
          <w:p w14:paraId="6C5BEBC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7.26%</w:t>
            </w:r>
          </w:p>
        </w:tc>
      </w:tr>
      <w:tr w:rsidR="00C02929" w14:paraId="6670EAE8" w14:textId="77777777">
        <w:trPr>
          <w:trHeight w:val="397"/>
        </w:trPr>
        <w:tc>
          <w:tcPr>
            <w:tcW w:w="2614" w:type="pct"/>
            <w:vAlign w:val="center"/>
          </w:tcPr>
          <w:p w14:paraId="46776CB4"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lastRenderedPageBreak/>
              <w:t>福仁得智能装备（苏州）有限公司</w:t>
            </w:r>
          </w:p>
        </w:tc>
        <w:tc>
          <w:tcPr>
            <w:tcW w:w="1343" w:type="pct"/>
            <w:vAlign w:val="center"/>
          </w:tcPr>
          <w:p w14:paraId="6E92048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260.70</w:t>
            </w:r>
          </w:p>
        </w:tc>
        <w:tc>
          <w:tcPr>
            <w:tcW w:w="1043" w:type="pct"/>
            <w:vAlign w:val="center"/>
          </w:tcPr>
          <w:p w14:paraId="72C40E9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5.71%</w:t>
            </w:r>
          </w:p>
        </w:tc>
      </w:tr>
      <w:tr w:rsidR="00C02929" w14:paraId="5B734691" w14:textId="77777777">
        <w:trPr>
          <w:trHeight w:val="397"/>
        </w:trPr>
        <w:tc>
          <w:tcPr>
            <w:tcW w:w="2614" w:type="pct"/>
            <w:vAlign w:val="center"/>
          </w:tcPr>
          <w:p w14:paraId="14F0B2B5"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昆山欧赛斯悬挂输送系统有限公司</w:t>
            </w:r>
          </w:p>
        </w:tc>
        <w:tc>
          <w:tcPr>
            <w:tcW w:w="1343" w:type="pct"/>
            <w:vAlign w:val="center"/>
          </w:tcPr>
          <w:p w14:paraId="710476D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241.50</w:t>
            </w:r>
          </w:p>
        </w:tc>
        <w:tc>
          <w:tcPr>
            <w:tcW w:w="1043" w:type="pct"/>
            <w:vAlign w:val="center"/>
          </w:tcPr>
          <w:p w14:paraId="5350BD1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5.29%</w:t>
            </w:r>
          </w:p>
        </w:tc>
      </w:tr>
      <w:tr w:rsidR="00C02929" w14:paraId="176A1D1F" w14:textId="77777777">
        <w:trPr>
          <w:trHeight w:val="397"/>
        </w:trPr>
        <w:tc>
          <w:tcPr>
            <w:tcW w:w="2614" w:type="pct"/>
            <w:vAlign w:val="center"/>
          </w:tcPr>
          <w:p w14:paraId="70670463"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安徽省科昌机械制造股份有限公司</w:t>
            </w:r>
          </w:p>
        </w:tc>
        <w:tc>
          <w:tcPr>
            <w:tcW w:w="1343" w:type="pct"/>
            <w:vAlign w:val="center"/>
          </w:tcPr>
          <w:p w14:paraId="3B20306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223.80</w:t>
            </w:r>
          </w:p>
        </w:tc>
        <w:tc>
          <w:tcPr>
            <w:tcW w:w="1043" w:type="pct"/>
            <w:vAlign w:val="center"/>
          </w:tcPr>
          <w:p w14:paraId="5CED51D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4.91%</w:t>
            </w:r>
          </w:p>
        </w:tc>
      </w:tr>
      <w:tr w:rsidR="00C02929" w14:paraId="5F184437" w14:textId="77777777">
        <w:trPr>
          <w:trHeight w:val="397"/>
        </w:trPr>
        <w:tc>
          <w:tcPr>
            <w:tcW w:w="2614" w:type="pct"/>
            <w:vAlign w:val="center"/>
          </w:tcPr>
          <w:p w14:paraId="5CEBEA94"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青岛海西鸿皓源机电有限公司</w:t>
            </w:r>
          </w:p>
        </w:tc>
        <w:tc>
          <w:tcPr>
            <w:tcW w:w="1343" w:type="pct"/>
            <w:vAlign w:val="center"/>
          </w:tcPr>
          <w:p w14:paraId="6193121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172.74</w:t>
            </w:r>
          </w:p>
        </w:tc>
        <w:tc>
          <w:tcPr>
            <w:tcW w:w="1043" w:type="pct"/>
            <w:vAlign w:val="center"/>
          </w:tcPr>
          <w:p w14:paraId="6229225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3.79%</w:t>
            </w:r>
          </w:p>
        </w:tc>
      </w:tr>
      <w:tr w:rsidR="00C02929" w14:paraId="00ACB9D7" w14:textId="77777777">
        <w:trPr>
          <w:trHeight w:val="397"/>
        </w:trPr>
        <w:tc>
          <w:tcPr>
            <w:tcW w:w="2614" w:type="pct"/>
            <w:vAlign w:val="center"/>
          </w:tcPr>
          <w:p w14:paraId="40FDEA8A"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青岛环海新时代科技有限公司</w:t>
            </w:r>
          </w:p>
        </w:tc>
        <w:tc>
          <w:tcPr>
            <w:tcW w:w="1343" w:type="pct"/>
            <w:vAlign w:val="center"/>
          </w:tcPr>
          <w:p w14:paraId="681B93E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170.91</w:t>
            </w:r>
          </w:p>
        </w:tc>
        <w:tc>
          <w:tcPr>
            <w:tcW w:w="1043" w:type="pct"/>
            <w:vAlign w:val="center"/>
          </w:tcPr>
          <w:p w14:paraId="050735E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3.75%</w:t>
            </w:r>
          </w:p>
        </w:tc>
      </w:tr>
      <w:tr w:rsidR="00C02929" w14:paraId="447D5230" w14:textId="77777777">
        <w:trPr>
          <w:trHeight w:val="397"/>
        </w:trPr>
        <w:tc>
          <w:tcPr>
            <w:tcW w:w="2614" w:type="pct"/>
            <w:vAlign w:val="center"/>
          </w:tcPr>
          <w:p w14:paraId="7D62206E"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上海松科快换自动化股份有限公司</w:t>
            </w:r>
          </w:p>
        </w:tc>
        <w:tc>
          <w:tcPr>
            <w:tcW w:w="1343" w:type="pct"/>
            <w:vAlign w:val="center"/>
          </w:tcPr>
          <w:p w14:paraId="38830610"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151.69</w:t>
            </w:r>
          </w:p>
        </w:tc>
        <w:tc>
          <w:tcPr>
            <w:tcW w:w="1043" w:type="pct"/>
            <w:vAlign w:val="center"/>
          </w:tcPr>
          <w:p w14:paraId="158C5A9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3.32%</w:t>
            </w:r>
          </w:p>
        </w:tc>
      </w:tr>
      <w:tr w:rsidR="00C02929" w14:paraId="09EFBA61" w14:textId="77777777">
        <w:trPr>
          <w:trHeight w:val="397"/>
        </w:trPr>
        <w:tc>
          <w:tcPr>
            <w:tcW w:w="2614" w:type="pct"/>
            <w:vAlign w:val="center"/>
          </w:tcPr>
          <w:p w14:paraId="16C6DFC5"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青岛信合泰物资有限公司</w:t>
            </w:r>
          </w:p>
        </w:tc>
        <w:tc>
          <w:tcPr>
            <w:tcW w:w="1343" w:type="pct"/>
            <w:vAlign w:val="center"/>
          </w:tcPr>
          <w:p w14:paraId="6683445B"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142.87</w:t>
            </w:r>
          </w:p>
        </w:tc>
        <w:tc>
          <w:tcPr>
            <w:tcW w:w="1043" w:type="pct"/>
            <w:vAlign w:val="center"/>
          </w:tcPr>
          <w:p w14:paraId="54E2555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3.13%</w:t>
            </w:r>
          </w:p>
        </w:tc>
      </w:tr>
      <w:tr w:rsidR="00C02929" w14:paraId="23232677" w14:textId="77777777">
        <w:trPr>
          <w:trHeight w:val="397"/>
        </w:trPr>
        <w:tc>
          <w:tcPr>
            <w:tcW w:w="2614" w:type="pct"/>
            <w:vAlign w:val="center"/>
          </w:tcPr>
          <w:p w14:paraId="4CCDC652"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绍兴西爱西尔数控科技有限公司</w:t>
            </w:r>
          </w:p>
        </w:tc>
        <w:tc>
          <w:tcPr>
            <w:tcW w:w="1343" w:type="pct"/>
            <w:vAlign w:val="center"/>
          </w:tcPr>
          <w:p w14:paraId="0D3E22A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129.95</w:t>
            </w:r>
          </w:p>
        </w:tc>
        <w:tc>
          <w:tcPr>
            <w:tcW w:w="1043" w:type="pct"/>
            <w:vAlign w:val="center"/>
          </w:tcPr>
          <w:p w14:paraId="23C3A1C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2.85%</w:t>
            </w:r>
          </w:p>
        </w:tc>
      </w:tr>
      <w:tr w:rsidR="00C02929" w14:paraId="7D40F407" w14:textId="77777777">
        <w:trPr>
          <w:trHeight w:val="397"/>
        </w:trPr>
        <w:tc>
          <w:tcPr>
            <w:tcW w:w="2614" w:type="pct"/>
            <w:vAlign w:val="center"/>
          </w:tcPr>
          <w:p w14:paraId="168779C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343" w:type="pct"/>
            <w:vAlign w:val="center"/>
          </w:tcPr>
          <w:p w14:paraId="665772E6"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2,391.25</w:t>
            </w:r>
          </w:p>
        </w:tc>
        <w:tc>
          <w:tcPr>
            <w:tcW w:w="1043" w:type="pct"/>
            <w:vAlign w:val="center"/>
          </w:tcPr>
          <w:p w14:paraId="43DFD6D1"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52.41%</w:t>
            </w:r>
          </w:p>
        </w:tc>
      </w:tr>
    </w:tbl>
    <w:p w14:paraId="3FDEA428" w14:textId="77777777" w:rsidR="00C02929" w:rsidRDefault="006116D1">
      <w:pPr>
        <w:spacing w:beforeLines="50" w:before="156" w:line="360" w:lineRule="auto"/>
        <w:ind w:firstLineChars="200" w:firstLine="482"/>
        <w:jc w:val="both"/>
        <w:rPr>
          <w:rFonts w:ascii="Times New Roman" w:hAnsi="Times New Roman" w:cs="Times New Roman"/>
          <w:b/>
          <w:bCs/>
          <w:color w:val="000000"/>
          <w:lang w:val="en-GB"/>
        </w:rPr>
      </w:pPr>
      <w:r>
        <w:rPr>
          <w:rFonts w:ascii="Times New Roman" w:hAnsi="Times New Roman" w:cs="Times New Roman"/>
          <w:b/>
          <w:bCs/>
          <w:color w:val="000000"/>
          <w:lang w:val="en-GB"/>
        </w:rPr>
        <w:t>2</w:t>
      </w:r>
      <w:r>
        <w:rPr>
          <w:rFonts w:ascii="Times New Roman" w:hAnsi="Times New Roman" w:cs="Times New Roman" w:hint="eastAsia"/>
          <w:b/>
          <w:bCs/>
          <w:color w:val="000000"/>
          <w:lang w:val="en-GB"/>
        </w:rPr>
        <w:t>、应付账款</w:t>
      </w:r>
    </w:p>
    <w:p w14:paraId="5B4C76DC"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34"/>
        <w:gridCol w:w="1081"/>
        <w:gridCol w:w="1082"/>
        <w:gridCol w:w="1081"/>
        <w:gridCol w:w="1082"/>
        <w:gridCol w:w="1081"/>
        <w:gridCol w:w="1081"/>
      </w:tblGrid>
      <w:tr w:rsidR="00C02929" w14:paraId="6230A3DB" w14:textId="77777777">
        <w:trPr>
          <w:trHeight w:val="397"/>
          <w:tblHeader/>
        </w:trPr>
        <w:tc>
          <w:tcPr>
            <w:tcW w:w="1193" w:type="pct"/>
            <w:vMerge w:val="restart"/>
            <w:shd w:val="clear" w:color="auto" w:fill="auto"/>
            <w:vAlign w:val="center"/>
          </w:tcPr>
          <w:p w14:paraId="1F78B81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269" w:type="pct"/>
            <w:gridSpan w:val="2"/>
            <w:shd w:val="clear" w:color="auto" w:fill="auto"/>
            <w:vAlign w:val="center"/>
          </w:tcPr>
          <w:p w14:paraId="753AAF2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w:t>
            </w:r>
            <w:r>
              <w:rPr>
                <w:rFonts w:ascii="Times New Roman" w:hAnsi="Times New Roman" w:cs="Times New Roman"/>
                <w:b/>
                <w:bCs/>
                <w:color w:val="000000"/>
                <w:sz w:val="21"/>
                <w:szCs w:val="21"/>
              </w:rPr>
              <w:t>1</w:t>
            </w:r>
            <w:r>
              <w:rPr>
                <w:rFonts w:ascii="Times New Roman" w:hAnsi="Times New Roman" w:cs="Times New Roman" w:hint="eastAsia"/>
                <w:b/>
                <w:bCs/>
                <w:color w:val="000000"/>
                <w:sz w:val="21"/>
                <w:szCs w:val="21"/>
                <w:lang w:val="en-GB"/>
              </w:rPr>
              <w:t>日</w:t>
            </w:r>
          </w:p>
        </w:tc>
        <w:tc>
          <w:tcPr>
            <w:tcW w:w="1269" w:type="pct"/>
            <w:gridSpan w:val="2"/>
            <w:shd w:val="clear" w:color="auto" w:fill="auto"/>
            <w:vAlign w:val="center"/>
          </w:tcPr>
          <w:p w14:paraId="675E6DD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268" w:type="pct"/>
            <w:gridSpan w:val="2"/>
            <w:shd w:val="clear" w:color="auto" w:fill="auto"/>
            <w:vAlign w:val="center"/>
          </w:tcPr>
          <w:p w14:paraId="2CA8C8EB"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C02929" w14:paraId="194EFB02" w14:textId="77777777">
        <w:trPr>
          <w:trHeight w:val="397"/>
          <w:tblHeader/>
        </w:trPr>
        <w:tc>
          <w:tcPr>
            <w:tcW w:w="1193" w:type="pct"/>
            <w:vMerge/>
            <w:shd w:val="clear" w:color="auto" w:fill="auto"/>
            <w:vAlign w:val="center"/>
          </w:tcPr>
          <w:p w14:paraId="7F0AE325" w14:textId="77777777" w:rsidR="00C02929" w:rsidRDefault="00C02929">
            <w:pPr>
              <w:rPr>
                <w:rFonts w:ascii="Times New Roman" w:hAnsi="Times New Roman" w:cs="Times New Roman"/>
                <w:b/>
                <w:bCs/>
                <w:color w:val="000000"/>
                <w:sz w:val="21"/>
                <w:szCs w:val="21"/>
              </w:rPr>
            </w:pPr>
          </w:p>
        </w:tc>
        <w:tc>
          <w:tcPr>
            <w:tcW w:w="634" w:type="pct"/>
            <w:shd w:val="clear" w:color="auto" w:fill="auto"/>
            <w:noWrap/>
            <w:vAlign w:val="center"/>
          </w:tcPr>
          <w:p w14:paraId="5FB8F36F"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634" w:type="pct"/>
            <w:shd w:val="clear" w:color="auto" w:fill="auto"/>
            <w:noWrap/>
            <w:vAlign w:val="center"/>
          </w:tcPr>
          <w:p w14:paraId="555FBFD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比例</w:t>
            </w:r>
          </w:p>
        </w:tc>
        <w:tc>
          <w:tcPr>
            <w:tcW w:w="634" w:type="pct"/>
            <w:shd w:val="clear" w:color="auto" w:fill="auto"/>
            <w:noWrap/>
            <w:vAlign w:val="center"/>
          </w:tcPr>
          <w:p w14:paraId="5550799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634" w:type="pct"/>
            <w:shd w:val="clear" w:color="auto" w:fill="auto"/>
            <w:noWrap/>
            <w:vAlign w:val="center"/>
          </w:tcPr>
          <w:p w14:paraId="0B5697A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比例</w:t>
            </w:r>
          </w:p>
        </w:tc>
        <w:tc>
          <w:tcPr>
            <w:tcW w:w="634" w:type="pct"/>
            <w:shd w:val="clear" w:color="auto" w:fill="auto"/>
            <w:noWrap/>
            <w:vAlign w:val="center"/>
          </w:tcPr>
          <w:p w14:paraId="1405128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金额</w:t>
            </w:r>
          </w:p>
        </w:tc>
        <w:tc>
          <w:tcPr>
            <w:tcW w:w="634" w:type="pct"/>
            <w:shd w:val="clear" w:color="auto" w:fill="auto"/>
            <w:noWrap/>
            <w:vAlign w:val="center"/>
          </w:tcPr>
          <w:p w14:paraId="21A385C1"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比例</w:t>
            </w:r>
          </w:p>
        </w:tc>
      </w:tr>
      <w:tr w:rsidR="00C02929" w14:paraId="1B9F415D" w14:textId="77777777">
        <w:trPr>
          <w:trHeight w:val="397"/>
        </w:trPr>
        <w:tc>
          <w:tcPr>
            <w:tcW w:w="1193" w:type="pct"/>
            <w:shd w:val="clear" w:color="auto" w:fill="auto"/>
            <w:vAlign w:val="center"/>
          </w:tcPr>
          <w:p w14:paraId="0600308E" w14:textId="77777777" w:rsidR="00C02929" w:rsidRDefault="006116D1">
            <w:pPr>
              <w:ind w:rightChars="-43" w:right="-103"/>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年以内（含</w:t>
            </w: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50536D3C"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4,572.96</w:t>
            </w:r>
          </w:p>
        </w:tc>
        <w:tc>
          <w:tcPr>
            <w:tcW w:w="634" w:type="pct"/>
            <w:shd w:val="clear" w:color="auto" w:fill="auto"/>
            <w:vAlign w:val="center"/>
          </w:tcPr>
          <w:p w14:paraId="2B9272BC"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93.43%</w:t>
            </w:r>
          </w:p>
        </w:tc>
        <w:tc>
          <w:tcPr>
            <w:tcW w:w="634" w:type="pct"/>
            <w:shd w:val="clear" w:color="auto" w:fill="auto"/>
            <w:vAlign w:val="center"/>
          </w:tcPr>
          <w:p w14:paraId="2C486B4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lang w:val="en-GB"/>
              </w:rPr>
              <w:t>1,585.61</w:t>
            </w:r>
          </w:p>
        </w:tc>
        <w:tc>
          <w:tcPr>
            <w:tcW w:w="634" w:type="pct"/>
            <w:shd w:val="clear" w:color="auto" w:fill="auto"/>
            <w:noWrap/>
            <w:vAlign w:val="center"/>
          </w:tcPr>
          <w:p w14:paraId="7147E8C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96.88%</w:t>
            </w:r>
          </w:p>
        </w:tc>
        <w:tc>
          <w:tcPr>
            <w:tcW w:w="634" w:type="pct"/>
            <w:shd w:val="clear" w:color="auto" w:fill="auto"/>
            <w:vAlign w:val="center"/>
          </w:tcPr>
          <w:p w14:paraId="6EBA8C7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320.95</w:t>
            </w:r>
          </w:p>
        </w:tc>
        <w:tc>
          <w:tcPr>
            <w:tcW w:w="634" w:type="pct"/>
            <w:shd w:val="clear" w:color="auto" w:fill="auto"/>
            <w:noWrap/>
            <w:vAlign w:val="center"/>
          </w:tcPr>
          <w:p w14:paraId="05AB671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58.62%</w:t>
            </w:r>
          </w:p>
        </w:tc>
      </w:tr>
      <w:tr w:rsidR="00C02929" w14:paraId="648A2828" w14:textId="77777777">
        <w:trPr>
          <w:trHeight w:val="397"/>
        </w:trPr>
        <w:tc>
          <w:tcPr>
            <w:tcW w:w="1193" w:type="pct"/>
            <w:shd w:val="clear" w:color="auto" w:fill="auto"/>
            <w:vAlign w:val="center"/>
          </w:tcPr>
          <w:p w14:paraId="479B5C5C"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年（含</w:t>
            </w:r>
            <w:r>
              <w:rPr>
                <w:rFonts w:ascii="Times New Roman" w:hAnsi="Times New Roman" w:cs="Times New Roman" w:hint="eastAsia"/>
                <w:color w:val="000000"/>
                <w:sz w:val="21"/>
                <w:szCs w:val="21"/>
                <w:lang w:val="en-GB"/>
              </w:rPr>
              <w:t>2</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2E330B84"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301.26</w:t>
            </w:r>
          </w:p>
        </w:tc>
        <w:tc>
          <w:tcPr>
            <w:tcW w:w="634" w:type="pct"/>
            <w:shd w:val="clear" w:color="auto" w:fill="auto"/>
            <w:vAlign w:val="center"/>
          </w:tcPr>
          <w:p w14:paraId="774D957A"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6.15%</w:t>
            </w:r>
          </w:p>
        </w:tc>
        <w:tc>
          <w:tcPr>
            <w:tcW w:w="634" w:type="pct"/>
            <w:shd w:val="clear" w:color="auto" w:fill="auto"/>
            <w:vAlign w:val="center"/>
          </w:tcPr>
          <w:p w14:paraId="766C50F1"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lang w:val="en-GB"/>
              </w:rPr>
              <w:t>14.97</w:t>
            </w:r>
          </w:p>
        </w:tc>
        <w:tc>
          <w:tcPr>
            <w:tcW w:w="634" w:type="pct"/>
            <w:shd w:val="clear" w:color="auto" w:fill="auto"/>
            <w:noWrap/>
            <w:vAlign w:val="center"/>
          </w:tcPr>
          <w:p w14:paraId="346A35D9"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0.91%</w:t>
            </w:r>
          </w:p>
        </w:tc>
        <w:tc>
          <w:tcPr>
            <w:tcW w:w="634" w:type="pct"/>
            <w:shd w:val="clear" w:color="auto" w:fill="auto"/>
            <w:vAlign w:val="center"/>
          </w:tcPr>
          <w:p w14:paraId="69A088E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226.60</w:t>
            </w:r>
          </w:p>
        </w:tc>
        <w:tc>
          <w:tcPr>
            <w:tcW w:w="634" w:type="pct"/>
            <w:shd w:val="clear" w:color="auto" w:fill="auto"/>
            <w:noWrap/>
            <w:vAlign w:val="center"/>
          </w:tcPr>
          <w:p w14:paraId="4EB0827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41.38%</w:t>
            </w:r>
          </w:p>
        </w:tc>
      </w:tr>
      <w:tr w:rsidR="00C02929" w14:paraId="5C3B5A84" w14:textId="77777777">
        <w:trPr>
          <w:trHeight w:val="397"/>
        </w:trPr>
        <w:tc>
          <w:tcPr>
            <w:tcW w:w="1193" w:type="pct"/>
            <w:shd w:val="clear" w:color="auto" w:fill="auto"/>
            <w:vAlign w:val="center"/>
          </w:tcPr>
          <w:p w14:paraId="23337C52"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2-3</w:t>
            </w:r>
            <w:r>
              <w:rPr>
                <w:rFonts w:ascii="Times New Roman" w:hAnsi="Times New Roman" w:cs="Times New Roman" w:hint="eastAsia"/>
                <w:color w:val="000000"/>
                <w:sz w:val="21"/>
                <w:szCs w:val="21"/>
                <w:lang w:val="en-GB"/>
              </w:rPr>
              <w:t>年（含</w:t>
            </w:r>
            <w:r>
              <w:rPr>
                <w:rFonts w:ascii="Times New Roman" w:hAnsi="Times New Roman" w:cs="Times New Roman" w:hint="eastAsia"/>
                <w:color w:val="000000"/>
                <w:sz w:val="21"/>
                <w:szCs w:val="21"/>
                <w:lang w:val="en-GB"/>
              </w:rPr>
              <w:t>3</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09351DF3"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5.84</w:t>
            </w:r>
          </w:p>
        </w:tc>
        <w:tc>
          <w:tcPr>
            <w:tcW w:w="634" w:type="pct"/>
            <w:shd w:val="clear" w:color="auto" w:fill="auto"/>
            <w:vAlign w:val="center"/>
          </w:tcPr>
          <w:p w14:paraId="55CAA3AE"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0.12%</w:t>
            </w:r>
          </w:p>
        </w:tc>
        <w:tc>
          <w:tcPr>
            <w:tcW w:w="634" w:type="pct"/>
            <w:shd w:val="clear" w:color="auto" w:fill="auto"/>
            <w:vAlign w:val="center"/>
          </w:tcPr>
          <w:p w14:paraId="59F63116"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lang w:val="en-GB"/>
              </w:rPr>
              <w:t>36.05</w:t>
            </w:r>
          </w:p>
        </w:tc>
        <w:tc>
          <w:tcPr>
            <w:tcW w:w="634" w:type="pct"/>
            <w:shd w:val="clear" w:color="auto" w:fill="auto"/>
            <w:noWrap/>
            <w:vAlign w:val="center"/>
          </w:tcPr>
          <w:p w14:paraId="54C601E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2.20%</w:t>
            </w:r>
          </w:p>
        </w:tc>
        <w:tc>
          <w:tcPr>
            <w:tcW w:w="634" w:type="pct"/>
            <w:shd w:val="clear" w:color="auto" w:fill="auto"/>
            <w:vAlign w:val="center"/>
          </w:tcPr>
          <w:p w14:paraId="4B436D0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34" w:type="pct"/>
            <w:shd w:val="clear" w:color="auto" w:fill="auto"/>
            <w:noWrap/>
            <w:vAlign w:val="center"/>
          </w:tcPr>
          <w:p w14:paraId="74BB9B2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C02929" w14:paraId="7D1030D4" w14:textId="77777777">
        <w:trPr>
          <w:trHeight w:val="397"/>
        </w:trPr>
        <w:tc>
          <w:tcPr>
            <w:tcW w:w="1193" w:type="pct"/>
            <w:shd w:val="clear" w:color="auto" w:fill="auto"/>
            <w:vAlign w:val="center"/>
          </w:tcPr>
          <w:p w14:paraId="6C0C5AD5" w14:textId="77777777" w:rsidR="00C02929" w:rsidRDefault="006116D1">
            <w:pPr>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3-4</w:t>
            </w:r>
            <w:r>
              <w:rPr>
                <w:rFonts w:ascii="Times New Roman" w:hAnsi="Times New Roman" w:cs="Times New Roman" w:hint="eastAsia"/>
                <w:color w:val="000000"/>
                <w:sz w:val="21"/>
                <w:szCs w:val="21"/>
                <w:lang w:val="en-GB"/>
              </w:rPr>
              <w:t>年（含</w:t>
            </w:r>
            <w:r>
              <w:rPr>
                <w:rFonts w:ascii="Times New Roman" w:hAnsi="Times New Roman" w:cs="Times New Roman" w:hint="eastAsia"/>
                <w:color w:val="000000"/>
                <w:sz w:val="21"/>
                <w:szCs w:val="21"/>
                <w:lang w:val="en-GB"/>
              </w:rPr>
              <w:t>4</w:t>
            </w:r>
            <w:r>
              <w:rPr>
                <w:rFonts w:ascii="Times New Roman" w:hAnsi="Times New Roman" w:cs="Times New Roman" w:hint="eastAsia"/>
                <w:color w:val="000000"/>
                <w:sz w:val="21"/>
                <w:szCs w:val="21"/>
                <w:lang w:val="en-GB"/>
              </w:rPr>
              <w:t>年）</w:t>
            </w:r>
          </w:p>
        </w:tc>
        <w:tc>
          <w:tcPr>
            <w:tcW w:w="634" w:type="pct"/>
            <w:shd w:val="clear" w:color="auto" w:fill="auto"/>
            <w:vAlign w:val="center"/>
          </w:tcPr>
          <w:p w14:paraId="31059843"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14.49</w:t>
            </w:r>
          </w:p>
        </w:tc>
        <w:tc>
          <w:tcPr>
            <w:tcW w:w="634" w:type="pct"/>
            <w:shd w:val="clear" w:color="auto" w:fill="auto"/>
            <w:vAlign w:val="center"/>
          </w:tcPr>
          <w:p w14:paraId="3EAF17FC" w14:textId="77777777" w:rsidR="00C02929" w:rsidRDefault="006116D1">
            <w:pPr>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0.30%</w:t>
            </w:r>
          </w:p>
        </w:tc>
        <w:tc>
          <w:tcPr>
            <w:tcW w:w="634" w:type="pct"/>
            <w:shd w:val="clear" w:color="auto" w:fill="auto"/>
            <w:vAlign w:val="center"/>
          </w:tcPr>
          <w:p w14:paraId="5E37E9A0" w14:textId="77777777" w:rsidR="00C02929" w:rsidRDefault="00C02929">
            <w:pPr>
              <w:jc w:val="right"/>
              <w:rPr>
                <w:rFonts w:ascii="Times New Roman" w:eastAsia="等线" w:hAnsi="Times New Roman" w:cs="Times New Roman"/>
                <w:color w:val="000000"/>
                <w:sz w:val="21"/>
                <w:szCs w:val="21"/>
                <w:lang w:val="en-GB"/>
              </w:rPr>
            </w:pPr>
          </w:p>
        </w:tc>
        <w:tc>
          <w:tcPr>
            <w:tcW w:w="634" w:type="pct"/>
            <w:shd w:val="clear" w:color="auto" w:fill="auto"/>
            <w:noWrap/>
            <w:vAlign w:val="center"/>
          </w:tcPr>
          <w:p w14:paraId="220A791E" w14:textId="77777777" w:rsidR="00C02929" w:rsidRDefault="00C02929">
            <w:pPr>
              <w:jc w:val="right"/>
              <w:rPr>
                <w:rFonts w:ascii="Times New Roman" w:eastAsia="等线" w:hAnsi="Times New Roman" w:cs="Times New Roman"/>
                <w:color w:val="000000"/>
                <w:sz w:val="21"/>
                <w:szCs w:val="21"/>
              </w:rPr>
            </w:pPr>
          </w:p>
        </w:tc>
        <w:tc>
          <w:tcPr>
            <w:tcW w:w="634" w:type="pct"/>
            <w:shd w:val="clear" w:color="auto" w:fill="auto"/>
            <w:vAlign w:val="center"/>
          </w:tcPr>
          <w:p w14:paraId="06D52D26" w14:textId="77777777" w:rsidR="00C02929" w:rsidRDefault="00C02929">
            <w:pPr>
              <w:jc w:val="right"/>
              <w:rPr>
                <w:rFonts w:ascii="Times New Roman" w:hAnsi="Times New Roman" w:cs="Times New Roman"/>
                <w:color w:val="000000"/>
                <w:sz w:val="21"/>
                <w:szCs w:val="21"/>
              </w:rPr>
            </w:pPr>
          </w:p>
        </w:tc>
        <w:tc>
          <w:tcPr>
            <w:tcW w:w="634" w:type="pct"/>
            <w:shd w:val="clear" w:color="auto" w:fill="auto"/>
            <w:noWrap/>
            <w:vAlign w:val="center"/>
          </w:tcPr>
          <w:p w14:paraId="3B31B597" w14:textId="77777777" w:rsidR="00C02929" w:rsidRDefault="00C02929">
            <w:pPr>
              <w:jc w:val="right"/>
              <w:rPr>
                <w:rFonts w:ascii="Times New Roman" w:hAnsi="Times New Roman" w:cs="Times New Roman"/>
                <w:color w:val="000000"/>
                <w:sz w:val="21"/>
                <w:szCs w:val="21"/>
              </w:rPr>
            </w:pPr>
          </w:p>
        </w:tc>
      </w:tr>
      <w:tr w:rsidR="00C02929" w14:paraId="7BA3C3A2" w14:textId="77777777">
        <w:trPr>
          <w:trHeight w:val="397"/>
        </w:trPr>
        <w:tc>
          <w:tcPr>
            <w:tcW w:w="1193" w:type="pct"/>
            <w:shd w:val="clear" w:color="auto" w:fill="auto"/>
            <w:vAlign w:val="center"/>
          </w:tcPr>
          <w:p w14:paraId="712E201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634" w:type="pct"/>
            <w:shd w:val="clear" w:color="auto" w:fill="auto"/>
            <w:vAlign w:val="center"/>
          </w:tcPr>
          <w:p w14:paraId="1191DB90" w14:textId="77777777" w:rsidR="00C02929" w:rsidRDefault="006116D1">
            <w:pPr>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4,894.55</w:t>
            </w:r>
          </w:p>
        </w:tc>
        <w:tc>
          <w:tcPr>
            <w:tcW w:w="634" w:type="pct"/>
            <w:shd w:val="clear" w:color="auto" w:fill="auto"/>
            <w:vAlign w:val="center"/>
          </w:tcPr>
          <w:p w14:paraId="23A0E8A0" w14:textId="77777777" w:rsidR="00C02929" w:rsidRDefault="006116D1">
            <w:pPr>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100.00%</w:t>
            </w:r>
          </w:p>
        </w:tc>
        <w:tc>
          <w:tcPr>
            <w:tcW w:w="634" w:type="pct"/>
            <w:shd w:val="clear" w:color="auto" w:fill="auto"/>
            <w:vAlign w:val="center"/>
          </w:tcPr>
          <w:p w14:paraId="6F08F646"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lang w:val="en-GB"/>
              </w:rPr>
              <w:t>1,636.63</w:t>
            </w:r>
          </w:p>
        </w:tc>
        <w:tc>
          <w:tcPr>
            <w:tcW w:w="634" w:type="pct"/>
            <w:shd w:val="clear" w:color="auto" w:fill="auto"/>
            <w:noWrap/>
            <w:vAlign w:val="center"/>
          </w:tcPr>
          <w:p w14:paraId="45DCC574"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100.00%</w:t>
            </w:r>
          </w:p>
        </w:tc>
        <w:tc>
          <w:tcPr>
            <w:tcW w:w="634" w:type="pct"/>
            <w:shd w:val="clear" w:color="auto" w:fill="auto"/>
            <w:vAlign w:val="center"/>
          </w:tcPr>
          <w:p w14:paraId="418FCDE1"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547.55</w:t>
            </w:r>
          </w:p>
        </w:tc>
        <w:tc>
          <w:tcPr>
            <w:tcW w:w="634" w:type="pct"/>
            <w:shd w:val="clear" w:color="auto" w:fill="auto"/>
            <w:noWrap/>
            <w:vAlign w:val="center"/>
          </w:tcPr>
          <w:p w14:paraId="44DA094E"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r>
    </w:tbl>
    <w:p w14:paraId="549516EF"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报告期各期末，标的公司应付账款余额分别为</w:t>
      </w:r>
      <w:r>
        <w:rPr>
          <w:rFonts w:ascii="Times New Roman" w:hAnsi="Times New Roman" w:cs="Times New Roman"/>
          <w:bCs/>
          <w:color w:val="000000"/>
          <w:lang w:val="en-GB"/>
        </w:rPr>
        <w:t>547.55</w:t>
      </w:r>
      <w:r>
        <w:rPr>
          <w:rFonts w:ascii="Times New Roman" w:hAnsi="Times New Roman" w:cs="Times New Roman" w:hint="eastAsia"/>
          <w:bCs/>
          <w:color w:val="000000"/>
          <w:lang w:val="en-GB"/>
        </w:rPr>
        <w:t>万元、</w:t>
      </w:r>
      <w:r>
        <w:rPr>
          <w:rFonts w:ascii="Times New Roman" w:hAnsi="Times New Roman" w:cs="Times New Roman"/>
          <w:bCs/>
          <w:color w:val="000000"/>
          <w:lang w:val="en-GB"/>
        </w:rPr>
        <w:t>1,636.63</w:t>
      </w:r>
      <w:r>
        <w:rPr>
          <w:rFonts w:ascii="Times New Roman" w:hAnsi="Times New Roman" w:cs="Times New Roman" w:hint="eastAsia"/>
          <w:bCs/>
          <w:color w:val="000000"/>
          <w:lang w:val="en-GB"/>
        </w:rPr>
        <w:t>万元和</w:t>
      </w:r>
      <w:r>
        <w:rPr>
          <w:rFonts w:ascii="Times New Roman" w:hAnsi="Times New Roman" w:cs="Times New Roman"/>
          <w:bCs/>
          <w:color w:val="000000"/>
          <w:lang w:val="en-GB"/>
        </w:rPr>
        <w:t>4,894.55</w:t>
      </w:r>
      <w:r>
        <w:rPr>
          <w:rFonts w:ascii="Times New Roman" w:hAnsi="Times New Roman" w:cs="Times New Roman" w:hint="eastAsia"/>
          <w:bCs/>
          <w:color w:val="000000"/>
          <w:lang w:val="en-GB"/>
        </w:rPr>
        <w:t>万元，占总负债的比例分别为</w:t>
      </w:r>
      <w:r>
        <w:rPr>
          <w:rFonts w:ascii="Times New Roman" w:hAnsi="Times New Roman" w:cs="Times New Roman"/>
          <w:bCs/>
          <w:color w:val="000000"/>
          <w:lang w:val="en-GB"/>
        </w:rPr>
        <w:t>16.08%</w:t>
      </w:r>
      <w:r>
        <w:rPr>
          <w:rFonts w:ascii="Times New Roman" w:hAnsi="Times New Roman" w:cs="Times New Roman" w:hint="eastAsia"/>
          <w:bCs/>
          <w:color w:val="000000"/>
          <w:lang w:val="en-GB"/>
        </w:rPr>
        <w:t>、</w:t>
      </w:r>
      <w:r>
        <w:rPr>
          <w:rFonts w:ascii="Times New Roman" w:hAnsi="Times New Roman" w:cs="Times New Roman"/>
          <w:bCs/>
          <w:color w:val="000000"/>
          <w:lang w:val="en-GB"/>
        </w:rPr>
        <w:t>43.67%</w:t>
      </w:r>
      <w:r>
        <w:rPr>
          <w:rFonts w:ascii="Times New Roman" w:hAnsi="Times New Roman" w:cs="Times New Roman" w:hint="eastAsia"/>
          <w:bCs/>
          <w:color w:val="000000"/>
          <w:lang w:val="en-GB"/>
        </w:rPr>
        <w:t>和</w:t>
      </w:r>
      <w:r>
        <w:rPr>
          <w:rFonts w:ascii="Times New Roman" w:hAnsi="Times New Roman" w:cs="Times New Roman"/>
          <w:bCs/>
          <w:color w:val="000000"/>
          <w:lang w:val="en-GB"/>
        </w:rPr>
        <w:t>26.61%</w:t>
      </w:r>
      <w:r>
        <w:rPr>
          <w:rFonts w:ascii="Times New Roman" w:hAnsi="Times New Roman" w:cs="Times New Roman" w:hint="eastAsia"/>
          <w:bCs/>
          <w:color w:val="000000"/>
          <w:lang w:val="en-GB"/>
        </w:rPr>
        <w:t>。报告期内，标的公司应付账款余额持续增长，主要系标的公司新增订单较多，向供应商采购相应增加所致。截至</w:t>
      </w:r>
      <w:r>
        <w:rPr>
          <w:rFonts w:ascii="Times New Roman" w:hAnsi="Times New Roman" w:cs="Times New Roman"/>
          <w:bCs/>
          <w:color w:val="000000"/>
          <w:lang w:val="en-GB"/>
        </w:rPr>
        <w:t>2020</w:t>
      </w:r>
      <w:r>
        <w:rPr>
          <w:rFonts w:ascii="Times New Roman" w:hAnsi="Times New Roman" w:cs="Times New Roman" w:hint="eastAsia"/>
          <w:bCs/>
          <w:color w:val="000000"/>
          <w:lang w:val="en-GB"/>
        </w:rPr>
        <w:t>年</w:t>
      </w:r>
      <w:r>
        <w:rPr>
          <w:rFonts w:ascii="Times New Roman" w:hAnsi="Times New Roman" w:cs="Times New Roman"/>
          <w:bCs/>
          <w:color w:val="000000"/>
          <w:lang w:val="en-GB"/>
        </w:rPr>
        <w:t>12</w:t>
      </w:r>
      <w:r>
        <w:rPr>
          <w:rFonts w:ascii="Times New Roman" w:hAnsi="Times New Roman" w:cs="Times New Roman" w:hint="eastAsia"/>
          <w:bCs/>
          <w:color w:val="000000"/>
          <w:lang w:val="en-GB"/>
        </w:rPr>
        <w:t>月</w:t>
      </w:r>
      <w:r>
        <w:rPr>
          <w:rFonts w:ascii="Times New Roman" w:hAnsi="Times New Roman" w:cs="Times New Roman"/>
          <w:bCs/>
          <w:color w:val="000000"/>
          <w:lang w:val="en-GB"/>
        </w:rPr>
        <w:t>31</w:t>
      </w:r>
      <w:r>
        <w:rPr>
          <w:rFonts w:ascii="Times New Roman" w:hAnsi="Times New Roman" w:cs="Times New Roman" w:hint="eastAsia"/>
          <w:bCs/>
          <w:color w:val="000000"/>
          <w:lang w:val="en-GB"/>
        </w:rPr>
        <w:t>日，北洋天青应付账款余额占比前五的供应商情况具体如下：</w:t>
      </w:r>
    </w:p>
    <w:p w14:paraId="769DBD0A"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000000"/>
          <w:insideV w:val="single" w:sz="4" w:space="0" w:color="000000"/>
        </w:tblBorders>
        <w:tblCellMar>
          <w:top w:w="15" w:type="dxa"/>
          <w:bottom w:w="15" w:type="dxa"/>
        </w:tblCellMar>
        <w:tblLook w:val="04A0" w:firstRow="1" w:lastRow="0" w:firstColumn="1" w:lastColumn="0" w:noHBand="0" w:noVBand="1"/>
      </w:tblPr>
      <w:tblGrid>
        <w:gridCol w:w="4237"/>
        <w:gridCol w:w="2272"/>
        <w:gridCol w:w="2013"/>
      </w:tblGrid>
      <w:tr w:rsidR="00C02929" w14:paraId="27990FA3" w14:textId="77777777">
        <w:trPr>
          <w:trHeight w:val="397"/>
          <w:tblHeader/>
        </w:trPr>
        <w:tc>
          <w:tcPr>
            <w:tcW w:w="2486" w:type="pct"/>
            <w:vAlign w:val="center"/>
          </w:tcPr>
          <w:p w14:paraId="1C6A304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供应商名称</w:t>
            </w:r>
          </w:p>
        </w:tc>
        <w:tc>
          <w:tcPr>
            <w:tcW w:w="1333" w:type="pct"/>
            <w:vAlign w:val="center"/>
          </w:tcPr>
          <w:p w14:paraId="30C9FEC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b/>
                <w:bCs/>
                <w:color w:val="000000"/>
                <w:sz w:val="21"/>
                <w:szCs w:val="21"/>
              </w:rPr>
              <w:t>日余额</w:t>
            </w:r>
          </w:p>
        </w:tc>
        <w:tc>
          <w:tcPr>
            <w:tcW w:w="1181" w:type="pct"/>
            <w:vAlign w:val="center"/>
          </w:tcPr>
          <w:p w14:paraId="503F4DD0"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占比</w:t>
            </w:r>
          </w:p>
        </w:tc>
      </w:tr>
      <w:tr w:rsidR="00C02929" w14:paraId="1F78F0A9" w14:textId="77777777">
        <w:trPr>
          <w:trHeight w:val="397"/>
        </w:trPr>
        <w:tc>
          <w:tcPr>
            <w:tcW w:w="2486" w:type="pct"/>
            <w:vAlign w:val="center"/>
          </w:tcPr>
          <w:p w14:paraId="35F9A959"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北京机械工业自动化研究所有限公司</w:t>
            </w:r>
          </w:p>
        </w:tc>
        <w:tc>
          <w:tcPr>
            <w:tcW w:w="1333" w:type="pct"/>
            <w:vAlign w:val="center"/>
          </w:tcPr>
          <w:p w14:paraId="45E27999"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647.17</w:t>
            </w:r>
          </w:p>
        </w:tc>
        <w:tc>
          <w:tcPr>
            <w:tcW w:w="1181" w:type="pct"/>
            <w:vAlign w:val="center"/>
          </w:tcPr>
          <w:p w14:paraId="1C5FBA4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13.22%</w:t>
            </w:r>
          </w:p>
        </w:tc>
      </w:tr>
      <w:tr w:rsidR="00C02929" w14:paraId="3A320093" w14:textId="77777777">
        <w:trPr>
          <w:trHeight w:val="397"/>
        </w:trPr>
        <w:tc>
          <w:tcPr>
            <w:tcW w:w="2486" w:type="pct"/>
            <w:vAlign w:val="center"/>
          </w:tcPr>
          <w:p w14:paraId="7DB53AD7"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沃得精机（中国）有限公司</w:t>
            </w:r>
          </w:p>
        </w:tc>
        <w:tc>
          <w:tcPr>
            <w:tcW w:w="1333" w:type="pct"/>
            <w:vAlign w:val="center"/>
          </w:tcPr>
          <w:p w14:paraId="2C9F33D5"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520.47</w:t>
            </w:r>
          </w:p>
        </w:tc>
        <w:tc>
          <w:tcPr>
            <w:tcW w:w="1181" w:type="pct"/>
            <w:vAlign w:val="center"/>
          </w:tcPr>
          <w:p w14:paraId="7294313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10.63%</w:t>
            </w:r>
          </w:p>
        </w:tc>
      </w:tr>
      <w:tr w:rsidR="00C02929" w14:paraId="157A2EF0" w14:textId="77777777">
        <w:trPr>
          <w:trHeight w:val="397"/>
        </w:trPr>
        <w:tc>
          <w:tcPr>
            <w:tcW w:w="2486" w:type="pct"/>
            <w:vAlign w:val="center"/>
          </w:tcPr>
          <w:p w14:paraId="2B4CD45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绍兴西爱西尔数控科技有限公司</w:t>
            </w:r>
          </w:p>
        </w:tc>
        <w:tc>
          <w:tcPr>
            <w:tcW w:w="1333" w:type="pct"/>
            <w:vAlign w:val="center"/>
          </w:tcPr>
          <w:p w14:paraId="3D7B6F71"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216.27</w:t>
            </w:r>
          </w:p>
        </w:tc>
        <w:tc>
          <w:tcPr>
            <w:tcW w:w="1181" w:type="pct"/>
            <w:vAlign w:val="center"/>
          </w:tcPr>
          <w:p w14:paraId="436F075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4.42%</w:t>
            </w:r>
          </w:p>
        </w:tc>
      </w:tr>
      <w:tr w:rsidR="00C02929" w14:paraId="3F389AB8" w14:textId="77777777">
        <w:trPr>
          <w:trHeight w:val="397"/>
        </w:trPr>
        <w:tc>
          <w:tcPr>
            <w:tcW w:w="2486" w:type="pct"/>
            <w:vAlign w:val="center"/>
          </w:tcPr>
          <w:p w14:paraId="0B6770DA"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昆山欧赛斯悬挂输送系统有限公司</w:t>
            </w:r>
          </w:p>
        </w:tc>
        <w:tc>
          <w:tcPr>
            <w:tcW w:w="1333" w:type="pct"/>
            <w:vAlign w:val="center"/>
          </w:tcPr>
          <w:p w14:paraId="1A610F7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154.25</w:t>
            </w:r>
          </w:p>
        </w:tc>
        <w:tc>
          <w:tcPr>
            <w:tcW w:w="1181" w:type="pct"/>
            <w:vAlign w:val="center"/>
          </w:tcPr>
          <w:p w14:paraId="189C4CB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3.15%</w:t>
            </w:r>
          </w:p>
        </w:tc>
      </w:tr>
      <w:tr w:rsidR="00C02929" w14:paraId="147F387C" w14:textId="77777777">
        <w:trPr>
          <w:trHeight w:val="397"/>
        </w:trPr>
        <w:tc>
          <w:tcPr>
            <w:tcW w:w="2486" w:type="pct"/>
            <w:vAlign w:val="bottom"/>
          </w:tcPr>
          <w:p w14:paraId="79945730"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青岛好品海智信息技术有限公司</w:t>
            </w:r>
          </w:p>
        </w:tc>
        <w:tc>
          <w:tcPr>
            <w:tcW w:w="1333" w:type="pct"/>
            <w:vAlign w:val="center"/>
          </w:tcPr>
          <w:p w14:paraId="4AE1BE2E"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154.29</w:t>
            </w:r>
          </w:p>
        </w:tc>
        <w:tc>
          <w:tcPr>
            <w:tcW w:w="1181" w:type="pct"/>
            <w:vAlign w:val="center"/>
          </w:tcPr>
          <w:p w14:paraId="5149BA5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3.15%</w:t>
            </w:r>
          </w:p>
        </w:tc>
      </w:tr>
      <w:tr w:rsidR="00C02929" w14:paraId="3980EC44" w14:textId="77777777">
        <w:trPr>
          <w:trHeight w:val="397"/>
        </w:trPr>
        <w:tc>
          <w:tcPr>
            <w:tcW w:w="2486" w:type="pct"/>
            <w:vAlign w:val="center"/>
          </w:tcPr>
          <w:p w14:paraId="6FA6B77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lastRenderedPageBreak/>
              <w:t>合计</w:t>
            </w:r>
          </w:p>
        </w:tc>
        <w:tc>
          <w:tcPr>
            <w:tcW w:w="1333" w:type="pct"/>
            <w:vAlign w:val="center"/>
          </w:tcPr>
          <w:p w14:paraId="69D89EC7"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1,692.44</w:t>
            </w:r>
          </w:p>
        </w:tc>
        <w:tc>
          <w:tcPr>
            <w:tcW w:w="1181" w:type="pct"/>
            <w:vAlign w:val="center"/>
          </w:tcPr>
          <w:p w14:paraId="365016A1"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34.58%</w:t>
            </w:r>
          </w:p>
        </w:tc>
      </w:tr>
    </w:tbl>
    <w:p w14:paraId="21F4B503" w14:textId="77777777" w:rsidR="00C02929" w:rsidRDefault="006116D1">
      <w:pPr>
        <w:spacing w:beforeLines="50" w:before="156" w:line="360" w:lineRule="auto"/>
        <w:ind w:firstLineChars="200" w:firstLine="482"/>
        <w:jc w:val="both"/>
        <w:rPr>
          <w:rFonts w:ascii="Times New Roman" w:hAnsi="Times New Roman" w:cs="Times New Roman"/>
          <w:b/>
          <w:bCs/>
          <w:color w:val="000000"/>
          <w:lang w:val="en-GB"/>
        </w:rPr>
      </w:pPr>
      <w:r>
        <w:rPr>
          <w:rFonts w:ascii="Times New Roman" w:hAnsi="Times New Roman" w:cs="Times New Roman"/>
          <w:b/>
          <w:bCs/>
          <w:color w:val="000000"/>
          <w:lang w:val="en-GB"/>
        </w:rPr>
        <w:t>3</w:t>
      </w:r>
      <w:r>
        <w:rPr>
          <w:rFonts w:ascii="Times New Roman" w:hAnsi="Times New Roman" w:cs="Times New Roman" w:hint="eastAsia"/>
          <w:b/>
          <w:bCs/>
          <w:color w:val="000000"/>
          <w:lang w:val="en-GB"/>
        </w:rPr>
        <w:t>、合同负债</w:t>
      </w:r>
    </w:p>
    <w:p w14:paraId="43D0F26E"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315"/>
        <w:gridCol w:w="2069"/>
        <w:gridCol w:w="2069"/>
        <w:gridCol w:w="2069"/>
      </w:tblGrid>
      <w:tr w:rsidR="00C02929" w14:paraId="474AB7AD" w14:textId="77777777">
        <w:trPr>
          <w:trHeight w:val="397"/>
          <w:tblHeader/>
        </w:trPr>
        <w:tc>
          <w:tcPr>
            <w:tcW w:w="1358" w:type="pct"/>
            <w:shd w:val="clear" w:color="auto" w:fill="auto"/>
            <w:vAlign w:val="center"/>
          </w:tcPr>
          <w:p w14:paraId="41F14498"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214" w:type="pct"/>
            <w:shd w:val="clear" w:color="auto" w:fill="auto"/>
            <w:vAlign w:val="center"/>
          </w:tcPr>
          <w:p w14:paraId="5FE164DE"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w:t>
            </w:r>
            <w:r>
              <w:rPr>
                <w:rFonts w:ascii="Times New Roman" w:hAnsi="Times New Roman" w:cs="Times New Roman"/>
                <w:b/>
                <w:bCs/>
                <w:color w:val="000000"/>
                <w:sz w:val="21"/>
                <w:szCs w:val="21"/>
              </w:rPr>
              <w:t>1</w:t>
            </w:r>
            <w:r>
              <w:rPr>
                <w:rFonts w:ascii="Times New Roman" w:hAnsi="Times New Roman" w:cs="Times New Roman" w:hint="eastAsia"/>
                <w:b/>
                <w:bCs/>
                <w:color w:val="000000"/>
                <w:sz w:val="21"/>
                <w:szCs w:val="21"/>
                <w:lang w:val="en-GB"/>
              </w:rPr>
              <w:t>日</w:t>
            </w:r>
          </w:p>
        </w:tc>
        <w:tc>
          <w:tcPr>
            <w:tcW w:w="1214" w:type="pct"/>
            <w:shd w:val="clear" w:color="auto" w:fill="auto"/>
            <w:vAlign w:val="center"/>
          </w:tcPr>
          <w:p w14:paraId="64E776D5"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c>
          <w:tcPr>
            <w:tcW w:w="1214" w:type="pct"/>
            <w:shd w:val="clear" w:color="auto" w:fill="auto"/>
            <w:vAlign w:val="center"/>
          </w:tcPr>
          <w:p w14:paraId="1EC6AF95"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C02929" w14:paraId="524E5233" w14:textId="77777777">
        <w:trPr>
          <w:trHeight w:val="397"/>
        </w:trPr>
        <w:tc>
          <w:tcPr>
            <w:tcW w:w="1358" w:type="pct"/>
            <w:shd w:val="clear" w:color="auto" w:fill="auto"/>
            <w:vAlign w:val="center"/>
          </w:tcPr>
          <w:p w14:paraId="18754BCE"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预收货款</w:t>
            </w:r>
          </w:p>
        </w:tc>
        <w:tc>
          <w:tcPr>
            <w:tcW w:w="2069" w:type="dxa"/>
            <w:shd w:val="clear" w:color="auto" w:fill="auto"/>
            <w:vAlign w:val="center"/>
          </w:tcPr>
          <w:p w14:paraId="66E9DD2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7,873.56</w:t>
            </w:r>
          </w:p>
        </w:tc>
        <w:tc>
          <w:tcPr>
            <w:tcW w:w="1214" w:type="pct"/>
            <w:shd w:val="clear" w:color="auto" w:fill="auto"/>
            <w:vAlign w:val="center"/>
          </w:tcPr>
          <w:p w14:paraId="34D5E74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1,044.99</w:t>
            </w:r>
          </w:p>
        </w:tc>
        <w:tc>
          <w:tcPr>
            <w:tcW w:w="1214" w:type="pct"/>
            <w:shd w:val="clear" w:color="auto" w:fill="auto"/>
            <w:vAlign w:val="center"/>
          </w:tcPr>
          <w:p w14:paraId="0D174F6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1,718.92</w:t>
            </w:r>
          </w:p>
        </w:tc>
      </w:tr>
      <w:tr w:rsidR="00C02929" w14:paraId="6DD8BBCB" w14:textId="77777777">
        <w:trPr>
          <w:trHeight w:val="397"/>
        </w:trPr>
        <w:tc>
          <w:tcPr>
            <w:tcW w:w="1358" w:type="pct"/>
            <w:shd w:val="clear" w:color="auto" w:fill="auto"/>
            <w:vAlign w:val="center"/>
          </w:tcPr>
          <w:p w14:paraId="21B44D50" w14:textId="77777777" w:rsidR="00C02929" w:rsidRDefault="006116D1">
            <w:pPr>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其中：</w:t>
            </w:r>
            <w:r>
              <w:rPr>
                <w:rFonts w:ascii="Times New Roman" w:hAnsi="Times New Roman" w:cs="Times New Roman"/>
                <w:color w:val="000000"/>
                <w:sz w:val="21"/>
                <w:szCs w:val="21"/>
              </w:rPr>
              <w:t>1</w:t>
            </w:r>
            <w:r>
              <w:rPr>
                <w:rFonts w:ascii="Times New Roman" w:hAnsi="Times New Roman" w:cs="Times New Roman" w:hint="eastAsia"/>
                <w:color w:val="000000"/>
                <w:sz w:val="21"/>
                <w:szCs w:val="21"/>
              </w:rPr>
              <w:t>年以上</w:t>
            </w:r>
          </w:p>
        </w:tc>
        <w:tc>
          <w:tcPr>
            <w:tcW w:w="2069" w:type="dxa"/>
            <w:shd w:val="clear" w:color="auto" w:fill="auto"/>
            <w:vAlign w:val="center"/>
          </w:tcPr>
          <w:p w14:paraId="1D06C74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34.9</w:t>
            </w:r>
            <w:r>
              <w:rPr>
                <w:rFonts w:ascii="Times New Roman" w:hAnsi="Times New Roman" w:cs="Times New Roman"/>
                <w:color w:val="000000"/>
                <w:sz w:val="21"/>
                <w:szCs w:val="21"/>
                <w:lang w:val="en-GB"/>
              </w:rPr>
              <w:t>7</w:t>
            </w:r>
          </w:p>
        </w:tc>
        <w:tc>
          <w:tcPr>
            <w:tcW w:w="1214" w:type="pct"/>
            <w:shd w:val="clear" w:color="auto" w:fill="auto"/>
            <w:vAlign w:val="center"/>
          </w:tcPr>
          <w:p w14:paraId="2818117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w:t>
            </w:r>
          </w:p>
        </w:tc>
        <w:tc>
          <w:tcPr>
            <w:tcW w:w="1214" w:type="pct"/>
            <w:shd w:val="clear" w:color="auto" w:fill="auto"/>
            <w:vAlign w:val="center"/>
          </w:tcPr>
          <w:p w14:paraId="3E62C2D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r>
    </w:tbl>
    <w:p w14:paraId="2EA93BDB"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报告期各期末，标的公司合同负债分别为</w:t>
      </w:r>
      <w:r>
        <w:rPr>
          <w:rFonts w:ascii="Times New Roman" w:hAnsi="Times New Roman" w:cs="Times New Roman" w:hint="eastAsia"/>
          <w:bCs/>
          <w:color w:val="000000"/>
          <w:lang w:val="en-GB"/>
        </w:rPr>
        <w:t>1,718.92</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1,044.99</w:t>
      </w:r>
      <w:r>
        <w:rPr>
          <w:rFonts w:ascii="Times New Roman" w:hAnsi="Times New Roman" w:cs="Times New Roman" w:hint="eastAsia"/>
          <w:bCs/>
          <w:color w:val="000000"/>
          <w:lang w:val="en-GB"/>
        </w:rPr>
        <w:t>万元和</w:t>
      </w:r>
      <w:r>
        <w:rPr>
          <w:rFonts w:ascii="Times New Roman" w:hAnsi="Times New Roman" w:cs="Times New Roman" w:hint="eastAsia"/>
          <w:bCs/>
          <w:color w:val="000000"/>
          <w:lang w:val="en-GB"/>
        </w:rPr>
        <w:t>7,</w:t>
      </w:r>
      <w:r>
        <w:rPr>
          <w:rFonts w:ascii="Times New Roman" w:hAnsi="Times New Roman" w:cs="Times New Roman"/>
          <w:bCs/>
          <w:color w:val="000000"/>
          <w:lang w:val="en-GB"/>
        </w:rPr>
        <w:t>873.56</w:t>
      </w:r>
      <w:r>
        <w:rPr>
          <w:rFonts w:ascii="Times New Roman" w:hAnsi="Times New Roman" w:cs="Times New Roman" w:hint="eastAsia"/>
          <w:bCs/>
          <w:color w:val="000000"/>
          <w:lang w:val="en-GB"/>
        </w:rPr>
        <w:t>万元，占总负债的比例分别为</w:t>
      </w:r>
      <w:r>
        <w:rPr>
          <w:rFonts w:ascii="Times New Roman" w:hAnsi="Times New Roman" w:cs="Times New Roman" w:hint="eastAsia"/>
          <w:bCs/>
          <w:color w:val="000000"/>
          <w:lang w:val="en-GB"/>
        </w:rPr>
        <w:t>50.48%</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27.88%</w:t>
      </w:r>
      <w:r>
        <w:rPr>
          <w:rFonts w:ascii="Times New Roman" w:hAnsi="Times New Roman" w:cs="Times New Roman" w:hint="eastAsia"/>
          <w:bCs/>
          <w:color w:val="000000"/>
          <w:lang w:val="en-GB"/>
        </w:rPr>
        <w:t>和</w:t>
      </w:r>
      <w:r>
        <w:rPr>
          <w:rFonts w:ascii="Times New Roman" w:hAnsi="Times New Roman" w:cs="Times New Roman"/>
          <w:bCs/>
          <w:color w:val="000000"/>
          <w:lang w:val="en-GB"/>
        </w:rPr>
        <w:t>42.80</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。标的公司与客户签订销售合同后，通常会预收客户</w:t>
      </w:r>
      <w:r>
        <w:rPr>
          <w:rFonts w:ascii="Times New Roman" w:hAnsi="Times New Roman" w:cs="Times New Roman" w:hint="eastAsia"/>
          <w:bCs/>
          <w:color w:val="000000"/>
          <w:lang w:val="en-GB"/>
        </w:rPr>
        <w:t>30%</w:t>
      </w:r>
      <w:r>
        <w:rPr>
          <w:rFonts w:ascii="Times New Roman" w:hAnsi="Times New Roman" w:cs="Times New Roman" w:hint="eastAsia"/>
          <w:bCs/>
          <w:color w:val="000000"/>
          <w:lang w:val="en-GB"/>
        </w:rPr>
        <w:t>的合同款，因此合同负债主要由预收客户的货款组成。</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年末，标的公司合同负债较</w:t>
      </w:r>
      <w:r>
        <w:rPr>
          <w:rFonts w:ascii="Times New Roman" w:hAnsi="Times New Roman" w:cs="Times New Roman" w:hint="eastAsia"/>
          <w:bCs/>
          <w:color w:val="000000"/>
          <w:lang w:val="en-GB"/>
        </w:rPr>
        <w:t>2018</w:t>
      </w:r>
      <w:r>
        <w:rPr>
          <w:rFonts w:ascii="Times New Roman" w:hAnsi="Times New Roman" w:cs="Times New Roman" w:hint="eastAsia"/>
          <w:bCs/>
          <w:color w:val="000000"/>
          <w:lang w:val="en-GB"/>
        </w:rPr>
        <w:t>年末减少</w:t>
      </w:r>
      <w:r>
        <w:rPr>
          <w:rFonts w:ascii="Times New Roman" w:hAnsi="Times New Roman" w:cs="Times New Roman" w:hint="eastAsia"/>
          <w:bCs/>
          <w:color w:val="000000"/>
          <w:lang w:val="en-GB"/>
        </w:rPr>
        <w:t>39.21%</w:t>
      </w:r>
      <w:r>
        <w:rPr>
          <w:rFonts w:ascii="Times New Roman" w:hAnsi="Times New Roman" w:cs="Times New Roman" w:hint="eastAsia"/>
          <w:bCs/>
          <w:color w:val="000000"/>
          <w:lang w:val="en-GB"/>
        </w:rPr>
        <w:t>，主要系项目结转所致；</w:t>
      </w:r>
      <w:r>
        <w:rPr>
          <w:rFonts w:ascii="Times New Roman" w:hAnsi="Times New Roman" w:cs="Times New Roman" w:hint="eastAsia"/>
          <w:bCs/>
          <w:color w:val="000000"/>
          <w:lang w:val="en-GB"/>
        </w:rPr>
        <w:t>2020</w:t>
      </w:r>
      <w:r>
        <w:rPr>
          <w:rFonts w:ascii="Times New Roman" w:hAnsi="Times New Roman" w:cs="Times New Roman" w:hint="eastAsia"/>
          <w:bCs/>
          <w:color w:val="000000"/>
          <w:lang w:val="en-GB"/>
        </w:rPr>
        <w:t>年末，标的公司合同负债较</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年末增加</w:t>
      </w:r>
      <w:r>
        <w:rPr>
          <w:rFonts w:ascii="Times New Roman" w:hAnsi="Times New Roman" w:cs="Times New Roman" w:hint="eastAsia"/>
          <w:bCs/>
          <w:color w:val="000000"/>
          <w:lang w:val="en-GB"/>
        </w:rPr>
        <w:t>6</w:t>
      </w:r>
      <w:r>
        <w:rPr>
          <w:rFonts w:ascii="Times New Roman" w:hAnsi="Times New Roman" w:cs="Times New Roman"/>
          <w:bCs/>
          <w:color w:val="000000"/>
          <w:lang w:val="en-GB"/>
        </w:rPr>
        <w:t>53.46</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，主要系受疫情影响，部分项目工期延期，无法确认收入以及标的公司业务规模扩张，预收货款相应增加所致。</w:t>
      </w:r>
    </w:p>
    <w:p w14:paraId="2D6A039F"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bookmarkStart w:id="60" w:name="_Hlk68816502"/>
      <w:r>
        <w:rPr>
          <w:rFonts w:ascii="Times New Roman" w:hAnsi="Times New Roman" w:cs="Times New Roman" w:hint="eastAsia"/>
          <w:bCs/>
          <w:color w:val="000000"/>
          <w:lang w:val="en-GB"/>
        </w:rPr>
        <w:t>截至</w:t>
      </w:r>
      <w:r>
        <w:rPr>
          <w:rFonts w:ascii="Times New Roman" w:hAnsi="Times New Roman" w:cs="Times New Roman"/>
          <w:bCs/>
          <w:color w:val="000000"/>
          <w:lang w:val="en-GB"/>
        </w:rPr>
        <w:t>2020</w:t>
      </w:r>
      <w:r>
        <w:rPr>
          <w:rFonts w:ascii="Times New Roman" w:hAnsi="Times New Roman" w:cs="Times New Roman" w:hint="eastAsia"/>
          <w:bCs/>
          <w:color w:val="000000"/>
          <w:lang w:val="en-GB"/>
        </w:rPr>
        <w:t>年</w:t>
      </w:r>
      <w:r>
        <w:rPr>
          <w:rFonts w:ascii="Times New Roman" w:hAnsi="Times New Roman" w:cs="Times New Roman"/>
          <w:bCs/>
          <w:color w:val="000000"/>
          <w:lang w:val="en-GB"/>
        </w:rPr>
        <w:t>12</w:t>
      </w:r>
      <w:r>
        <w:rPr>
          <w:rFonts w:ascii="Times New Roman" w:hAnsi="Times New Roman" w:cs="Times New Roman" w:hint="eastAsia"/>
          <w:bCs/>
          <w:color w:val="000000"/>
          <w:lang w:val="en-GB"/>
        </w:rPr>
        <w:t>月</w:t>
      </w:r>
      <w:r>
        <w:rPr>
          <w:rFonts w:ascii="Times New Roman" w:hAnsi="Times New Roman" w:cs="Times New Roman"/>
          <w:bCs/>
          <w:color w:val="000000"/>
          <w:lang w:val="en-GB"/>
        </w:rPr>
        <w:t>31</w:t>
      </w:r>
      <w:r>
        <w:rPr>
          <w:rFonts w:ascii="Times New Roman" w:hAnsi="Times New Roman" w:cs="Times New Roman" w:hint="eastAsia"/>
          <w:bCs/>
          <w:color w:val="000000"/>
          <w:lang w:val="en-GB"/>
        </w:rPr>
        <w:t>日，北洋天青主要项目合同负债情况具体如下：</w:t>
      </w:r>
    </w:p>
    <w:p w14:paraId="5719B40A"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3"/>
        <w:gridCol w:w="2693"/>
        <w:gridCol w:w="1701"/>
        <w:gridCol w:w="1560"/>
        <w:gridCol w:w="1185"/>
      </w:tblGrid>
      <w:tr w:rsidR="00C02929" w14:paraId="382C7927" w14:textId="77777777">
        <w:trPr>
          <w:trHeight w:val="340"/>
          <w:tblHeader/>
        </w:trPr>
        <w:tc>
          <w:tcPr>
            <w:tcW w:w="812" w:type="pct"/>
            <w:vAlign w:val="center"/>
          </w:tcPr>
          <w:p w14:paraId="101CD634" w14:textId="77777777" w:rsidR="00C02929" w:rsidRDefault="006116D1">
            <w:pPr>
              <w:jc w:val="center"/>
              <w:rPr>
                <w:rFonts w:ascii="Times New Roman" w:hAnsi="Times New Roman" w:cs="Times New Roman"/>
                <w:b/>
                <w:bCs/>
                <w:sz w:val="21"/>
                <w:szCs w:val="21"/>
              </w:rPr>
            </w:pPr>
            <w:bookmarkStart w:id="61" w:name="OLE_LINK26"/>
            <w:bookmarkStart w:id="62" w:name="OLE_LINK27"/>
            <w:r>
              <w:rPr>
                <w:rFonts w:ascii="Times New Roman" w:hAnsi="Times New Roman" w:cs="Times New Roman" w:hint="eastAsia"/>
                <w:b/>
                <w:bCs/>
                <w:sz w:val="21"/>
                <w:szCs w:val="21"/>
              </w:rPr>
              <w:t>客户名称</w:t>
            </w:r>
          </w:p>
        </w:tc>
        <w:tc>
          <w:tcPr>
            <w:tcW w:w="1580" w:type="pct"/>
            <w:shd w:val="clear" w:color="auto" w:fill="auto"/>
            <w:vAlign w:val="center"/>
          </w:tcPr>
          <w:p w14:paraId="3D5231F4"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项目名称</w:t>
            </w:r>
          </w:p>
        </w:tc>
        <w:tc>
          <w:tcPr>
            <w:tcW w:w="998" w:type="pct"/>
            <w:vAlign w:val="center"/>
          </w:tcPr>
          <w:p w14:paraId="155325CD"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2020</w:t>
            </w:r>
            <w:r>
              <w:rPr>
                <w:rFonts w:ascii="Times New Roman" w:hAnsi="Times New Roman" w:cs="Times New Roman" w:hint="eastAsia"/>
                <w:b/>
                <w:bCs/>
                <w:snapToGrid w:val="0"/>
                <w:sz w:val="21"/>
                <w:szCs w:val="21"/>
                <w:lang w:val="en-GB"/>
              </w:rPr>
              <w:t>年</w:t>
            </w:r>
            <w:r>
              <w:rPr>
                <w:rFonts w:ascii="Times New Roman" w:hAnsi="Times New Roman" w:cs="Times New Roman" w:hint="eastAsia"/>
                <w:b/>
                <w:bCs/>
                <w:snapToGrid w:val="0"/>
                <w:sz w:val="21"/>
                <w:szCs w:val="21"/>
                <w:lang w:val="en-GB"/>
              </w:rPr>
              <w:t>12</w:t>
            </w:r>
            <w:r>
              <w:rPr>
                <w:rFonts w:ascii="Times New Roman" w:hAnsi="Times New Roman" w:cs="Times New Roman" w:hint="eastAsia"/>
                <w:b/>
                <w:bCs/>
                <w:snapToGrid w:val="0"/>
                <w:sz w:val="21"/>
                <w:szCs w:val="21"/>
                <w:lang w:val="en-GB"/>
              </w:rPr>
              <w:t>月</w:t>
            </w:r>
            <w:r>
              <w:rPr>
                <w:rFonts w:ascii="Times New Roman" w:hAnsi="Times New Roman" w:cs="Times New Roman" w:hint="eastAsia"/>
                <w:b/>
                <w:bCs/>
                <w:snapToGrid w:val="0"/>
                <w:sz w:val="21"/>
                <w:szCs w:val="21"/>
                <w:lang w:val="en-GB"/>
              </w:rPr>
              <w:t>31</w:t>
            </w:r>
            <w:r>
              <w:rPr>
                <w:rFonts w:ascii="Times New Roman" w:hAnsi="Times New Roman" w:cs="Times New Roman" w:hint="eastAsia"/>
                <w:b/>
                <w:bCs/>
                <w:snapToGrid w:val="0"/>
                <w:sz w:val="21"/>
                <w:szCs w:val="21"/>
                <w:lang w:val="en-GB"/>
              </w:rPr>
              <w:t>日合同负债金额</w:t>
            </w:r>
          </w:p>
        </w:tc>
        <w:tc>
          <w:tcPr>
            <w:tcW w:w="915" w:type="pct"/>
            <w:vAlign w:val="center"/>
          </w:tcPr>
          <w:p w14:paraId="31DDD9E1"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占合同负债总金额比例（</w:t>
            </w:r>
            <w:r>
              <w:rPr>
                <w:rFonts w:ascii="Times New Roman" w:hAnsi="Times New Roman" w:cs="Times New Roman" w:hint="eastAsia"/>
                <w:b/>
                <w:bCs/>
                <w:snapToGrid w:val="0"/>
                <w:sz w:val="21"/>
                <w:szCs w:val="21"/>
                <w:lang w:val="en-GB"/>
              </w:rPr>
              <w:t>%</w:t>
            </w:r>
            <w:r>
              <w:rPr>
                <w:rFonts w:ascii="Times New Roman" w:hAnsi="Times New Roman" w:cs="Times New Roman" w:hint="eastAsia"/>
                <w:b/>
                <w:bCs/>
                <w:snapToGrid w:val="0"/>
                <w:sz w:val="21"/>
                <w:szCs w:val="21"/>
                <w:lang w:val="en-GB"/>
              </w:rPr>
              <w:t>）</w:t>
            </w:r>
          </w:p>
        </w:tc>
        <w:tc>
          <w:tcPr>
            <w:tcW w:w="695" w:type="pct"/>
            <w:vAlign w:val="center"/>
          </w:tcPr>
          <w:p w14:paraId="26FC4D41"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占合同总金额比例</w:t>
            </w:r>
          </w:p>
        </w:tc>
      </w:tr>
      <w:tr w:rsidR="00C02929" w14:paraId="5399F389" w14:textId="77777777">
        <w:trPr>
          <w:trHeight w:val="340"/>
        </w:trPr>
        <w:tc>
          <w:tcPr>
            <w:tcW w:w="812" w:type="pct"/>
            <w:vMerge w:val="restart"/>
            <w:vAlign w:val="center"/>
          </w:tcPr>
          <w:p w14:paraId="1D308C09" w14:textId="77777777" w:rsidR="00C02929" w:rsidRDefault="006116D1">
            <w:pPr>
              <w:rPr>
                <w:rFonts w:ascii="Times New Roman" w:hAnsi="Times New Roman" w:cs="Times New Roman"/>
                <w:color w:val="000000"/>
                <w:sz w:val="21"/>
                <w:szCs w:val="21"/>
                <w:lang w:val="en-GB"/>
              </w:rPr>
            </w:pPr>
            <w:r>
              <w:rPr>
                <w:rFonts w:ascii="Times New Roman" w:hAnsi="Times New Roman" w:cs="Times New Roman" w:hint="eastAsia"/>
                <w:sz w:val="21"/>
                <w:szCs w:val="21"/>
              </w:rPr>
              <w:t>青岛澳柯玛智慧冷链有限公司</w:t>
            </w:r>
          </w:p>
        </w:tc>
        <w:tc>
          <w:tcPr>
            <w:tcW w:w="1580" w:type="pct"/>
            <w:shd w:val="clear" w:color="auto" w:fill="auto"/>
            <w:vAlign w:val="center"/>
          </w:tcPr>
          <w:p w14:paraId="6A78F7F4"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Q20-AKMQ14</w:t>
            </w:r>
            <w:r>
              <w:rPr>
                <w:rFonts w:ascii="Times New Roman" w:hAnsi="Times New Roman" w:cs="Times New Roman" w:hint="eastAsia"/>
                <w:color w:val="000000"/>
                <w:sz w:val="21"/>
                <w:szCs w:val="21"/>
              </w:rPr>
              <w:t>检漏仪设备</w:t>
            </w:r>
          </w:p>
        </w:tc>
        <w:tc>
          <w:tcPr>
            <w:tcW w:w="998" w:type="pct"/>
            <w:vAlign w:val="center"/>
          </w:tcPr>
          <w:p w14:paraId="3DCD3ECE"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26.57</w:t>
            </w:r>
          </w:p>
        </w:tc>
        <w:tc>
          <w:tcPr>
            <w:tcW w:w="915" w:type="pct"/>
            <w:vAlign w:val="center"/>
          </w:tcPr>
          <w:p w14:paraId="05EF45A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0.34</w:t>
            </w:r>
          </w:p>
        </w:tc>
        <w:tc>
          <w:tcPr>
            <w:tcW w:w="695" w:type="pct"/>
            <w:vAlign w:val="center"/>
          </w:tcPr>
          <w:p w14:paraId="474F987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1D47A26D" w14:textId="77777777">
        <w:trPr>
          <w:trHeight w:val="340"/>
        </w:trPr>
        <w:tc>
          <w:tcPr>
            <w:tcW w:w="812" w:type="pct"/>
            <w:vMerge/>
            <w:vAlign w:val="center"/>
          </w:tcPr>
          <w:p w14:paraId="5420BFD6"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076C5242" w14:textId="77777777" w:rsidR="00C02929" w:rsidRDefault="006116D1">
            <w:pPr>
              <w:spacing w:before="156"/>
              <w:rPr>
                <w:rFonts w:ascii="Times New Roman" w:hAnsi="Times New Roman" w:cs="Times New Roman"/>
                <w:b/>
                <w:color w:val="000000"/>
                <w:sz w:val="21"/>
                <w:szCs w:val="21"/>
              </w:rPr>
            </w:pPr>
            <w:r>
              <w:rPr>
                <w:rFonts w:ascii="Times New Roman" w:hAnsi="Times New Roman" w:cs="Times New Roman" w:hint="eastAsia"/>
                <w:color w:val="000000"/>
                <w:sz w:val="21"/>
                <w:szCs w:val="21"/>
              </w:rPr>
              <w:t>Q20-AKM10</w:t>
            </w:r>
            <w:r>
              <w:rPr>
                <w:rFonts w:ascii="Times New Roman" w:hAnsi="Times New Roman" w:cs="Times New Roman" w:hint="eastAsia"/>
                <w:color w:val="000000"/>
                <w:sz w:val="21"/>
                <w:szCs w:val="21"/>
              </w:rPr>
              <w:t>内胆钣金线</w:t>
            </w:r>
          </w:p>
        </w:tc>
        <w:tc>
          <w:tcPr>
            <w:tcW w:w="998" w:type="pct"/>
            <w:vAlign w:val="center"/>
          </w:tcPr>
          <w:p w14:paraId="619C5576"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280.98</w:t>
            </w:r>
          </w:p>
        </w:tc>
        <w:tc>
          <w:tcPr>
            <w:tcW w:w="915" w:type="pct"/>
            <w:vAlign w:val="center"/>
          </w:tcPr>
          <w:p w14:paraId="4587858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3.57</w:t>
            </w:r>
          </w:p>
        </w:tc>
        <w:tc>
          <w:tcPr>
            <w:tcW w:w="695" w:type="pct"/>
            <w:vAlign w:val="center"/>
          </w:tcPr>
          <w:p w14:paraId="7B19867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62F2FE40" w14:textId="77777777">
        <w:trPr>
          <w:trHeight w:val="340"/>
        </w:trPr>
        <w:tc>
          <w:tcPr>
            <w:tcW w:w="812" w:type="pct"/>
            <w:vMerge/>
            <w:vAlign w:val="center"/>
          </w:tcPr>
          <w:p w14:paraId="602EEF5C"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03A18C5E"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Q20-AKM09</w:t>
            </w:r>
            <w:r>
              <w:rPr>
                <w:rFonts w:ascii="Times New Roman" w:hAnsi="Times New Roman" w:cs="Times New Roman" w:hint="eastAsia"/>
                <w:color w:val="000000"/>
                <w:sz w:val="21"/>
                <w:szCs w:val="21"/>
              </w:rPr>
              <w:t>箱壳自动成型线</w:t>
            </w:r>
          </w:p>
        </w:tc>
        <w:tc>
          <w:tcPr>
            <w:tcW w:w="998" w:type="pct"/>
            <w:vAlign w:val="center"/>
          </w:tcPr>
          <w:p w14:paraId="6792B3D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341.14</w:t>
            </w:r>
          </w:p>
        </w:tc>
        <w:tc>
          <w:tcPr>
            <w:tcW w:w="915" w:type="pct"/>
            <w:vAlign w:val="center"/>
          </w:tcPr>
          <w:p w14:paraId="020AE43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4.33</w:t>
            </w:r>
          </w:p>
        </w:tc>
        <w:tc>
          <w:tcPr>
            <w:tcW w:w="695" w:type="pct"/>
            <w:vAlign w:val="center"/>
          </w:tcPr>
          <w:p w14:paraId="76E24EB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011A8C52" w14:textId="77777777">
        <w:trPr>
          <w:trHeight w:val="340"/>
        </w:trPr>
        <w:tc>
          <w:tcPr>
            <w:tcW w:w="812" w:type="pct"/>
            <w:vMerge/>
            <w:vAlign w:val="center"/>
          </w:tcPr>
          <w:p w14:paraId="1F10D583"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63DBCA85"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Q20-AKM08</w:t>
            </w:r>
            <w:r>
              <w:rPr>
                <w:rFonts w:ascii="Times New Roman" w:hAnsi="Times New Roman" w:cs="Times New Roman" w:hint="eastAsia"/>
                <w:color w:val="000000"/>
                <w:sz w:val="21"/>
                <w:szCs w:val="21"/>
              </w:rPr>
              <w:t>背板成型线</w:t>
            </w:r>
          </w:p>
        </w:tc>
        <w:tc>
          <w:tcPr>
            <w:tcW w:w="998" w:type="pct"/>
            <w:vAlign w:val="center"/>
          </w:tcPr>
          <w:p w14:paraId="01F5388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82.81</w:t>
            </w:r>
          </w:p>
        </w:tc>
        <w:tc>
          <w:tcPr>
            <w:tcW w:w="915" w:type="pct"/>
            <w:vAlign w:val="center"/>
          </w:tcPr>
          <w:p w14:paraId="3786F96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1.05</w:t>
            </w:r>
          </w:p>
        </w:tc>
        <w:tc>
          <w:tcPr>
            <w:tcW w:w="695" w:type="pct"/>
            <w:vAlign w:val="center"/>
          </w:tcPr>
          <w:p w14:paraId="5019994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07840456" w14:textId="77777777">
        <w:trPr>
          <w:trHeight w:val="340"/>
        </w:trPr>
        <w:tc>
          <w:tcPr>
            <w:tcW w:w="812" w:type="pct"/>
            <w:vMerge/>
            <w:vAlign w:val="center"/>
          </w:tcPr>
          <w:p w14:paraId="7285D07F"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129C8683"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Q20-AKM06</w:t>
            </w:r>
            <w:r>
              <w:rPr>
                <w:rFonts w:ascii="Times New Roman" w:hAnsi="Times New Roman" w:cs="Times New Roman" w:hint="eastAsia"/>
                <w:color w:val="000000"/>
                <w:sz w:val="21"/>
                <w:szCs w:val="21"/>
              </w:rPr>
              <w:t>箱体发泡线</w:t>
            </w:r>
          </w:p>
        </w:tc>
        <w:tc>
          <w:tcPr>
            <w:tcW w:w="998" w:type="pct"/>
            <w:vAlign w:val="center"/>
          </w:tcPr>
          <w:p w14:paraId="19E0FDA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728.83</w:t>
            </w:r>
          </w:p>
        </w:tc>
        <w:tc>
          <w:tcPr>
            <w:tcW w:w="915" w:type="pct"/>
            <w:vAlign w:val="center"/>
          </w:tcPr>
          <w:p w14:paraId="67707E2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9.26</w:t>
            </w:r>
          </w:p>
        </w:tc>
        <w:tc>
          <w:tcPr>
            <w:tcW w:w="695" w:type="pct"/>
            <w:vAlign w:val="center"/>
          </w:tcPr>
          <w:p w14:paraId="61A4BA1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13110A28" w14:textId="77777777">
        <w:trPr>
          <w:trHeight w:val="340"/>
        </w:trPr>
        <w:tc>
          <w:tcPr>
            <w:tcW w:w="812" w:type="pct"/>
            <w:vMerge/>
            <w:vAlign w:val="center"/>
          </w:tcPr>
          <w:p w14:paraId="6EA71402"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1AB7767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Q20-AKM11</w:t>
            </w:r>
            <w:r>
              <w:rPr>
                <w:rFonts w:ascii="Times New Roman" w:hAnsi="Times New Roman" w:cs="Times New Roman" w:hint="eastAsia"/>
                <w:color w:val="000000"/>
                <w:sz w:val="21"/>
                <w:szCs w:val="21"/>
              </w:rPr>
              <w:t>预混机及原料储存输送系统</w:t>
            </w:r>
          </w:p>
        </w:tc>
        <w:tc>
          <w:tcPr>
            <w:tcW w:w="998" w:type="pct"/>
            <w:vAlign w:val="center"/>
          </w:tcPr>
          <w:p w14:paraId="0B4919F0"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124.22</w:t>
            </w:r>
          </w:p>
        </w:tc>
        <w:tc>
          <w:tcPr>
            <w:tcW w:w="915" w:type="pct"/>
            <w:vAlign w:val="center"/>
          </w:tcPr>
          <w:p w14:paraId="0E74CA1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1.58</w:t>
            </w:r>
          </w:p>
        </w:tc>
        <w:tc>
          <w:tcPr>
            <w:tcW w:w="695" w:type="pct"/>
            <w:vAlign w:val="center"/>
          </w:tcPr>
          <w:p w14:paraId="31793C7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79B9843C" w14:textId="77777777">
        <w:trPr>
          <w:trHeight w:val="340"/>
        </w:trPr>
        <w:tc>
          <w:tcPr>
            <w:tcW w:w="812" w:type="pct"/>
            <w:vMerge/>
            <w:vAlign w:val="center"/>
          </w:tcPr>
          <w:p w14:paraId="0FBF561C"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3A571EC7"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Q20-AKM07</w:t>
            </w:r>
            <w:r>
              <w:rPr>
                <w:rFonts w:ascii="Times New Roman" w:hAnsi="Times New Roman" w:cs="Times New Roman" w:hint="eastAsia"/>
                <w:color w:val="000000"/>
                <w:sz w:val="21"/>
                <w:szCs w:val="21"/>
              </w:rPr>
              <w:t>内胆吸附机设备</w:t>
            </w:r>
          </w:p>
        </w:tc>
        <w:tc>
          <w:tcPr>
            <w:tcW w:w="998" w:type="pct"/>
            <w:vAlign w:val="center"/>
          </w:tcPr>
          <w:p w14:paraId="3B44916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249.26</w:t>
            </w:r>
          </w:p>
        </w:tc>
        <w:tc>
          <w:tcPr>
            <w:tcW w:w="915" w:type="pct"/>
            <w:vAlign w:val="center"/>
          </w:tcPr>
          <w:p w14:paraId="508A355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3.17</w:t>
            </w:r>
          </w:p>
        </w:tc>
        <w:tc>
          <w:tcPr>
            <w:tcW w:w="695" w:type="pct"/>
            <w:shd w:val="clear" w:color="auto" w:fill="auto"/>
            <w:vAlign w:val="center"/>
          </w:tcPr>
          <w:p w14:paraId="612C40A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40%</w:t>
            </w:r>
          </w:p>
        </w:tc>
      </w:tr>
      <w:tr w:rsidR="00C02929" w14:paraId="685EB9E4" w14:textId="77777777">
        <w:trPr>
          <w:trHeight w:val="340"/>
        </w:trPr>
        <w:tc>
          <w:tcPr>
            <w:tcW w:w="812" w:type="pct"/>
            <w:vMerge/>
            <w:vAlign w:val="center"/>
          </w:tcPr>
          <w:p w14:paraId="5D12E0C4"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3845997E"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Q20-AKM05</w:t>
            </w:r>
            <w:r>
              <w:rPr>
                <w:rFonts w:ascii="Times New Roman" w:hAnsi="Times New Roman" w:cs="Times New Roman" w:hint="eastAsia"/>
                <w:color w:val="000000"/>
                <w:sz w:val="21"/>
                <w:szCs w:val="21"/>
              </w:rPr>
              <w:t>澳柯玛箱体集存库</w:t>
            </w:r>
          </w:p>
        </w:tc>
        <w:tc>
          <w:tcPr>
            <w:tcW w:w="998" w:type="pct"/>
            <w:vAlign w:val="center"/>
          </w:tcPr>
          <w:p w14:paraId="611E4BE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73.56</w:t>
            </w:r>
          </w:p>
        </w:tc>
        <w:tc>
          <w:tcPr>
            <w:tcW w:w="915" w:type="pct"/>
            <w:vAlign w:val="center"/>
          </w:tcPr>
          <w:p w14:paraId="625250D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0.93</w:t>
            </w:r>
          </w:p>
        </w:tc>
        <w:tc>
          <w:tcPr>
            <w:tcW w:w="695" w:type="pct"/>
            <w:shd w:val="clear" w:color="auto" w:fill="auto"/>
            <w:vAlign w:val="center"/>
          </w:tcPr>
          <w:p w14:paraId="0AF4B20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28337742" w14:textId="77777777">
        <w:trPr>
          <w:trHeight w:val="340"/>
        </w:trPr>
        <w:tc>
          <w:tcPr>
            <w:tcW w:w="812" w:type="pct"/>
            <w:vMerge/>
            <w:vAlign w:val="center"/>
          </w:tcPr>
          <w:p w14:paraId="150E49A1"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602B6B3F"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Q20-AKM04-06/10</w:t>
            </w:r>
            <w:r>
              <w:rPr>
                <w:rFonts w:ascii="Times New Roman" w:hAnsi="Times New Roman" w:cs="Times New Roman" w:hint="eastAsia"/>
                <w:color w:val="000000"/>
                <w:sz w:val="21"/>
                <w:szCs w:val="21"/>
              </w:rPr>
              <w:t>机器人及系统集成</w:t>
            </w:r>
          </w:p>
        </w:tc>
        <w:tc>
          <w:tcPr>
            <w:tcW w:w="998" w:type="pct"/>
            <w:shd w:val="clear" w:color="auto" w:fill="auto"/>
            <w:vAlign w:val="center"/>
          </w:tcPr>
          <w:p w14:paraId="7CBE2DD8"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870.00</w:t>
            </w:r>
          </w:p>
        </w:tc>
        <w:tc>
          <w:tcPr>
            <w:tcW w:w="915" w:type="pct"/>
            <w:shd w:val="clear" w:color="auto" w:fill="auto"/>
            <w:vAlign w:val="center"/>
          </w:tcPr>
          <w:p w14:paraId="26F1AF2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11.05</w:t>
            </w:r>
          </w:p>
        </w:tc>
        <w:tc>
          <w:tcPr>
            <w:tcW w:w="695" w:type="pct"/>
            <w:shd w:val="clear" w:color="auto" w:fill="auto"/>
            <w:vAlign w:val="center"/>
          </w:tcPr>
          <w:p w14:paraId="20D861F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60%</w:t>
            </w:r>
          </w:p>
        </w:tc>
      </w:tr>
      <w:tr w:rsidR="00C02929" w14:paraId="7F85BF90" w14:textId="77777777">
        <w:trPr>
          <w:trHeight w:val="340"/>
        </w:trPr>
        <w:tc>
          <w:tcPr>
            <w:tcW w:w="812" w:type="pct"/>
            <w:vMerge/>
            <w:vAlign w:val="center"/>
          </w:tcPr>
          <w:p w14:paraId="5972E4BC"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27BDDE42"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Q20-AKM04-07AGV</w:t>
            </w:r>
            <w:r>
              <w:rPr>
                <w:rFonts w:ascii="Times New Roman" w:hAnsi="Times New Roman" w:cs="Times New Roman" w:hint="eastAsia"/>
                <w:color w:val="000000"/>
                <w:sz w:val="21"/>
                <w:szCs w:val="21"/>
              </w:rPr>
              <w:t>小车</w:t>
            </w:r>
          </w:p>
        </w:tc>
        <w:tc>
          <w:tcPr>
            <w:tcW w:w="998" w:type="pct"/>
            <w:shd w:val="clear" w:color="auto" w:fill="auto"/>
            <w:vAlign w:val="center"/>
          </w:tcPr>
          <w:p w14:paraId="3A045B46"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120.00</w:t>
            </w:r>
          </w:p>
        </w:tc>
        <w:tc>
          <w:tcPr>
            <w:tcW w:w="915" w:type="pct"/>
            <w:shd w:val="clear" w:color="auto" w:fill="auto"/>
            <w:vAlign w:val="center"/>
          </w:tcPr>
          <w:p w14:paraId="542E695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1.52</w:t>
            </w:r>
          </w:p>
        </w:tc>
        <w:tc>
          <w:tcPr>
            <w:tcW w:w="695" w:type="pct"/>
            <w:shd w:val="clear" w:color="auto" w:fill="auto"/>
            <w:vAlign w:val="center"/>
          </w:tcPr>
          <w:p w14:paraId="138C117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60%</w:t>
            </w:r>
          </w:p>
        </w:tc>
      </w:tr>
      <w:tr w:rsidR="00C02929" w14:paraId="5C04D2C5" w14:textId="77777777">
        <w:trPr>
          <w:trHeight w:val="340"/>
        </w:trPr>
        <w:tc>
          <w:tcPr>
            <w:tcW w:w="812" w:type="pct"/>
            <w:vMerge/>
            <w:vAlign w:val="center"/>
          </w:tcPr>
          <w:p w14:paraId="4912FB43"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783E0E3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Q20-AKM04-08</w:t>
            </w:r>
            <w:r>
              <w:rPr>
                <w:rFonts w:ascii="Times New Roman" w:hAnsi="Times New Roman" w:cs="Times New Roman" w:hint="eastAsia"/>
                <w:color w:val="000000"/>
                <w:sz w:val="21"/>
                <w:szCs w:val="21"/>
              </w:rPr>
              <w:t>自动化物流装配线</w:t>
            </w:r>
          </w:p>
        </w:tc>
        <w:tc>
          <w:tcPr>
            <w:tcW w:w="998" w:type="pct"/>
            <w:shd w:val="clear" w:color="auto" w:fill="auto"/>
            <w:vAlign w:val="center"/>
          </w:tcPr>
          <w:p w14:paraId="7FB4E5E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512.00</w:t>
            </w:r>
          </w:p>
        </w:tc>
        <w:tc>
          <w:tcPr>
            <w:tcW w:w="915" w:type="pct"/>
            <w:shd w:val="clear" w:color="auto" w:fill="auto"/>
            <w:vAlign w:val="center"/>
          </w:tcPr>
          <w:p w14:paraId="59E5453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6.50</w:t>
            </w:r>
          </w:p>
        </w:tc>
        <w:tc>
          <w:tcPr>
            <w:tcW w:w="695" w:type="pct"/>
            <w:shd w:val="clear" w:color="auto" w:fill="auto"/>
            <w:vAlign w:val="center"/>
          </w:tcPr>
          <w:p w14:paraId="4B9CDE3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w:t>
            </w:r>
          </w:p>
        </w:tc>
      </w:tr>
      <w:tr w:rsidR="00C02929" w14:paraId="26B057DC" w14:textId="77777777">
        <w:trPr>
          <w:trHeight w:val="340"/>
        </w:trPr>
        <w:tc>
          <w:tcPr>
            <w:tcW w:w="812" w:type="pct"/>
            <w:vMerge w:val="restart"/>
            <w:vAlign w:val="center"/>
          </w:tcPr>
          <w:p w14:paraId="4016A8A8" w14:textId="77777777" w:rsidR="00C02929" w:rsidRDefault="006116D1">
            <w:pPr>
              <w:rPr>
                <w:rFonts w:ascii="Times New Roman" w:hAnsi="Times New Roman" w:cs="Times New Roman"/>
                <w:sz w:val="21"/>
                <w:szCs w:val="21"/>
              </w:rPr>
            </w:pPr>
            <w:bookmarkStart w:id="63" w:name="_Hlk68317789"/>
            <w:r>
              <w:rPr>
                <w:rFonts w:ascii="Times New Roman" w:hAnsi="Times New Roman" w:cs="Times New Roman"/>
                <w:sz w:val="21"/>
                <w:szCs w:val="21"/>
              </w:rPr>
              <w:lastRenderedPageBreak/>
              <w:t>Haier Appliances</w:t>
            </w:r>
          </w:p>
          <w:p w14:paraId="40510DBF" w14:textId="77777777" w:rsidR="00C02929" w:rsidRDefault="006116D1">
            <w:pPr>
              <w:rPr>
                <w:rFonts w:ascii="Times New Roman" w:hAnsi="Times New Roman" w:cs="Times New Roman"/>
                <w:sz w:val="21"/>
                <w:szCs w:val="21"/>
              </w:rPr>
            </w:pPr>
            <w:r>
              <w:rPr>
                <w:rFonts w:ascii="Times New Roman" w:hAnsi="Times New Roman" w:cs="Times New Roman"/>
                <w:sz w:val="21"/>
                <w:szCs w:val="21"/>
              </w:rPr>
              <w:t>(India)</w:t>
            </w:r>
          </w:p>
          <w:p w14:paraId="008934A1" w14:textId="77777777" w:rsidR="00C02929" w:rsidRDefault="006116D1">
            <w:pPr>
              <w:rPr>
                <w:rFonts w:ascii="Times New Roman" w:hAnsi="Times New Roman" w:cs="Times New Roman"/>
                <w:color w:val="000000"/>
                <w:sz w:val="21"/>
                <w:szCs w:val="21"/>
              </w:rPr>
            </w:pPr>
            <w:r>
              <w:rPr>
                <w:rFonts w:ascii="Times New Roman" w:hAnsi="Times New Roman" w:cs="Times New Roman"/>
                <w:sz w:val="21"/>
                <w:szCs w:val="21"/>
              </w:rPr>
              <w:t>Pvt.Ltd</w:t>
            </w:r>
          </w:p>
        </w:tc>
        <w:tc>
          <w:tcPr>
            <w:tcW w:w="1580" w:type="pct"/>
            <w:shd w:val="clear" w:color="auto" w:fill="auto"/>
            <w:vAlign w:val="center"/>
          </w:tcPr>
          <w:p w14:paraId="2AB4A89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sz w:val="21"/>
                <w:szCs w:val="21"/>
              </w:rPr>
              <w:t>Q20-HE01</w:t>
            </w:r>
            <w:r>
              <w:rPr>
                <w:rFonts w:ascii="Times New Roman" w:hAnsi="Times New Roman" w:cs="Times New Roman" w:hint="eastAsia"/>
                <w:sz w:val="21"/>
                <w:szCs w:val="21"/>
              </w:rPr>
              <w:t>印度空调项目</w:t>
            </w:r>
          </w:p>
        </w:tc>
        <w:tc>
          <w:tcPr>
            <w:tcW w:w="998" w:type="pct"/>
            <w:vMerge w:val="restart"/>
            <w:vAlign w:val="center"/>
          </w:tcPr>
          <w:p w14:paraId="6FB50AE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2,024.65</w:t>
            </w:r>
          </w:p>
        </w:tc>
        <w:tc>
          <w:tcPr>
            <w:tcW w:w="915" w:type="pct"/>
            <w:vMerge w:val="restart"/>
            <w:vAlign w:val="center"/>
          </w:tcPr>
          <w:p w14:paraId="0F7098B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25.72</w:t>
            </w:r>
          </w:p>
        </w:tc>
        <w:tc>
          <w:tcPr>
            <w:tcW w:w="695" w:type="pct"/>
            <w:vMerge w:val="restart"/>
            <w:shd w:val="clear" w:color="auto" w:fill="auto"/>
            <w:vAlign w:val="center"/>
          </w:tcPr>
          <w:p w14:paraId="6D9FCE0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70%</w:t>
            </w:r>
          </w:p>
        </w:tc>
      </w:tr>
      <w:tr w:rsidR="00C02929" w14:paraId="64F41420" w14:textId="77777777">
        <w:trPr>
          <w:trHeight w:val="340"/>
        </w:trPr>
        <w:tc>
          <w:tcPr>
            <w:tcW w:w="812" w:type="pct"/>
            <w:vMerge/>
            <w:vAlign w:val="center"/>
          </w:tcPr>
          <w:p w14:paraId="56276112" w14:textId="77777777" w:rsidR="00C02929" w:rsidRDefault="00C02929">
            <w:pPr>
              <w:rPr>
                <w:rFonts w:ascii="Times New Roman" w:hAnsi="Times New Roman" w:cs="Times New Roman"/>
                <w:sz w:val="21"/>
                <w:szCs w:val="21"/>
              </w:rPr>
            </w:pPr>
          </w:p>
        </w:tc>
        <w:tc>
          <w:tcPr>
            <w:tcW w:w="1580" w:type="pct"/>
            <w:shd w:val="clear" w:color="auto" w:fill="auto"/>
            <w:vAlign w:val="center"/>
          </w:tcPr>
          <w:p w14:paraId="3FC3DAB0"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Q19-HE20</w:t>
            </w:r>
            <w:r>
              <w:rPr>
                <w:rFonts w:ascii="Times New Roman" w:hAnsi="Times New Roman" w:cs="Times New Roman" w:hint="eastAsia"/>
                <w:sz w:val="21"/>
                <w:szCs w:val="21"/>
              </w:rPr>
              <w:t>印度冰箱项目</w:t>
            </w:r>
          </w:p>
        </w:tc>
        <w:tc>
          <w:tcPr>
            <w:tcW w:w="998" w:type="pct"/>
            <w:vMerge/>
            <w:vAlign w:val="center"/>
          </w:tcPr>
          <w:p w14:paraId="57A96209" w14:textId="77777777" w:rsidR="00C02929" w:rsidRDefault="00C02929">
            <w:pPr>
              <w:jc w:val="right"/>
              <w:rPr>
                <w:rFonts w:ascii="Times New Roman" w:hAnsi="Times New Roman" w:cs="Times New Roman"/>
                <w:sz w:val="21"/>
                <w:szCs w:val="21"/>
              </w:rPr>
            </w:pPr>
          </w:p>
        </w:tc>
        <w:tc>
          <w:tcPr>
            <w:tcW w:w="915" w:type="pct"/>
            <w:vMerge/>
            <w:vAlign w:val="center"/>
          </w:tcPr>
          <w:p w14:paraId="1822D3C8" w14:textId="77777777" w:rsidR="00C02929" w:rsidRDefault="00C02929">
            <w:pPr>
              <w:jc w:val="right"/>
              <w:rPr>
                <w:rFonts w:ascii="Times New Roman" w:hAnsi="Times New Roman" w:cs="Times New Roman"/>
                <w:color w:val="000000"/>
                <w:sz w:val="21"/>
                <w:szCs w:val="21"/>
              </w:rPr>
            </w:pPr>
          </w:p>
        </w:tc>
        <w:tc>
          <w:tcPr>
            <w:tcW w:w="695" w:type="pct"/>
            <w:vMerge/>
            <w:shd w:val="clear" w:color="auto" w:fill="auto"/>
            <w:vAlign w:val="center"/>
          </w:tcPr>
          <w:p w14:paraId="0B235156" w14:textId="77777777" w:rsidR="00C02929" w:rsidRDefault="00C02929">
            <w:pPr>
              <w:jc w:val="right"/>
              <w:rPr>
                <w:rFonts w:ascii="Times New Roman" w:hAnsi="Times New Roman" w:cs="Times New Roman"/>
                <w:sz w:val="21"/>
                <w:szCs w:val="21"/>
              </w:rPr>
            </w:pPr>
          </w:p>
        </w:tc>
      </w:tr>
      <w:bookmarkEnd w:id="63"/>
      <w:tr w:rsidR="00C02929" w14:paraId="6279236B" w14:textId="77777777">
        <w:trPr>
          <w:trHeight w:val="340"/>
        </w:trPr>
        <w:tc>
          <w:tcPr>
            <w:tcW w:w="812" w:type="pct"/>
            <w:vAlign w:val="center"/>
          </w:tcPr>
          <w:p w14:paraId="02B4FF33" w14:textId="77777777" w:rsidR="00C02929" w:rsidRDefault="006116D1">
            <w:pPr>
              <w:rPr>
                <w:rFonts w:ascii="Times New Roman" w:hAnsi="Times New Roman" w:cs="Times New Roman"/>
                <w:color w:val="000000"/>
                <w:sz w:val="21"/>
                <w:szCs w:val="21"/>
              </w:rPr>
            </w:pPr>
            <w:r>
              <w:rPr>
                <w:rFonts w:ascii="Times New Roman" w:hAnsi="Times New Roman" w:cs="Times New Roman"/>
                <w:sz w:val="21"/>
                <w:szCs w:val="21"/>
              </w:rPr>
              <w:t>HAIER TECH S.R.L.</w:t>
            </w:r>
          </w:p>
        </w:tc>
        <w:tc>
          <w:tcPr>
            <w:tcW w:w="1580" w:type="pct"/>
            <w:shd w:val="clear" w:color="auto" w:fill="auto"/>
            <w:vAlign w:val="center"/>
          </w:tcPr>
          <w:p w14:paraId="74AEE665"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sz w:val="21"/>
                <w:szCs w:val="21"/>
              </w:rPr>
              <w:t>Q20-HE19</w:t>
            </w:r>
            <w:r>
              <w:rPr>
                <w:rFonts w:ascii="Times New Roman" w:hAnsi="Times New Roman" w:cs="Times New Roman" w:hint="eastAsia"/>
                <w:sz w:val="21"/>
                <w:szCs w:val="21"/>
              </w:rPr>
              <w:t>罗马尼亚冰箱总装线</w:t>
            </w:r>
          </w:p>
        </w:tc>
        <w:tc>
          <w:tcPr>
            <w:tcW w:w="998" w:type="pct"/>
            <w:vAlign w:val="center"/>
          </w:tcPr>
          <w:p w14:paraId="74C9AA9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sz w:val="21"/>
                <w:szCs w:val="21"/>
              </w:rPr>
              <w:t>1,308.83</w:t>
            </w:r>
          </w:p>
        </w:tc>
        <w:tc>
          <w:tcPr>
            <w:tcW w:w="915" w:type="pct"/>
            <w:vAlign w:val="center"/>
          </w:tcPr>
          <w:p w14:paraId="77A2B4B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16.62</w:t>
            </w:r>
          </w:p>
        </w:tc>
        <w:tc>
          <w:tcPr>
            <w:tcW w:w="695" w:type="pct"/>
            <w:shd w:val="clear" w:color="auto" w:fill="auto"/>
            <w:vAlign w:val="center"/>
          </w:tcPr>
          <w:p w14:paraId="37FC3B3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50%</w:t>
            </w:r>
          </w:p>
        </w:tc>
      </w:tr>
      <w:tr w:rsidR="00C02929" w14:paraId="71A59591" w14:textId="77777777">
        <w:trPr>
          <w:trHeight w:val="340"/>
        </w:trPr>
        <w:tc>
          <w:tcPr>
            <w:tcW w:w="812" w:type="pct"/>
            <w:vMerge w:val="restart"/>
            <w:vAlign w:val="center"/>
          </w:tcPr>
          <w:p w14:paraId="5C50A9A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sz w:val="21"/>
                <w:szCs w:val="21"/>
              </w:rPr>
              <w:t>青岛聚众力工业装备有限公司</w:t>
            </w:r>
          </w:p>
        </w:tc>
        <w:tc>
          <w:tcPr>
            <w:tcW w:w="1580" w:type="pct"/>
            <w:shd w:val="clear" w:color="auto" w:fill="auto"/>
            <w:vAlign w:val="center"/>
          </w:tcPr>
          <w:p w14:paraId="1D89F13F"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Q20-HE18</w:t>
            </w:r>
            <w:r>
              <w:rPr>
                <w:rFonts w:ascii="Times New Roman" w:hAnsi="Times New Roman" w:cs="Times New Roman" w:hint="eastAsia"/>
                <w:color w:val="000000"/>
                <w:sz w:val="21"/>
                <w:szCs w:val="21"/>
              </w:rPr>
              <w:t>合肥冰箱总装线</w:t>
            </w:r>
          </w:p>
        </w:tc>
        <w:tc>
          <w:tcPr>
            <w:tcW w:w="998" w:type="pct"/>
            <w:vAlign w:val="center"/>
          </w:tcPr>
          <w:p w14:paraId="4FF8B57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556.99</w:t>
            </w:r>
          </w:p>
        </w:tc>
        <w:tc>
          <w:tcPr>
            <w:tcW w:w="915" w:type="pct"/>
            <w:vAlign w:val="center"/>
          </w:tcPr>
          <w:p w14:paraId="1357275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7.07</w:t>
            </w:r>
          </w:p>
        </w:tc>
        <w:tc>
          <w:tcPr>
            <w:tcW w:w="695" w:type="pct"/>
            <w:vAlign w:val="center"/>
          </w:tcPr>
          <w:p w14:paraId="118D37E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60%</w:t>
            </w:r>
          </w:p>
        </w:tc>
      </w:tr>
      <w:tr w:rsidR="00C02929" w14:paraId="0262142E" w14:textId="77777777">
        <w:trPr>
          <w:trHeight w:val="340"/>
        </w:trPr>
        <w:tc>
          <w:tcPr>
            <w:tcW w:w="812" w:type="pct"/>
            <w:vMerge/>
            <w:vAlign w:val="center"/>
          </w:tcPr>
          <w:p w14:paraId="7867CBEA" w14:textId="77777777" w:rsidR="00C02929" w:rsidRDefault="00C02929">
            <w:pPr>
              <w:rPr>
                <w:rFonts w:ascii="Times New Roman" w:hAnsi="Times New Roman" w:cs="Times New Roman"/>
                <w:color w:val="000000"/>
                <w:sz w:val="21"/>
                <w:szCs w:val="21"/>
              </w:rPr>
            </w:pPr>
          </w:p>
        </w:tc>
        <w:tc>
          <w:tcPr>
            <w:tcW w:w="1580" w:type="pct"/>
            <w:shd w:val="clear" w:color="auto" w:fill="auto"/>
            <w:vAlign w:val="center"/>
          </w:tcPr>
          <w:p w14:paraId="4106D41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Q20-HE17</w:t>
            </w:r>
            <w:r>
              <w:rPr>
                <w:rFonts w:ascii="Times New Roman" w:hAnsi="Times New Roman" w:cs="Times New Roman" w:hint="eastAsia"/>
                <w:color w:val="000000"/>
                <w:sz w:val="21"/>
                <w:szCs w:val="21"/>
              </w:rPr>
              <w:t>中德冰箱预装线</w:t>
            </w:r>
          </w:p>
        </w:tc>
        <w:tc>
          <w:tcPr>
            <w:tcW w:w="998" w:type="pct"/>
            <w:vAlign w:val="center"/>
          </w:tcPr>
          <w:p w14:paraId="3E03F2A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sz w:val="21"/>
                <w:szCs w:val="21"/>
              </w:rPr>
              <w:t>372.21</w:t>
            </w:r>
          </w:p>
        </w:tc>
        <w:tc>
          <w:tcPr>
            <w:tcW w:w="915" w:type="pct"/>
            <w:vAlign w:val="center"/>
          </w:tcPr>
          <w:p w14:paraId="3880477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4.73</w:t>
            </w:r>
          </w:p>
        </w:tc>
        <w:tc>
          <w:tcPr>
            <w:tcW w:w="695" w:type="pct"/>
            <w:vAlign w:val="center"/>
          </w:tcPr>
          <w:p w14:paraId="2C42311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60%</w:t>
            </w:r>
          </w:p>
        </w:tc>
      </w:tr>
      <w:tr w:rsidR="00C02929" w14:paraId="7886D3FC" w14:textId="77777777">
        <w:trPr>
          <w:trHeight w:val="340"/>
        </w:trPr>
        <w:tc>
          <w:tcPr>
            <w:tcW w:w="812" w:type="pct"/>
            <w:vAlign w:val="center"/>
          </w:tcPr>
          <w:p w14:paraId="07ACCD81"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其他</w:t>
            </w:r>
          </w:p>
        </w:tc>
        <w:tc>
          <w:tcPr>
            <w:tcW w:w="1580" w:type="pct"/>
            <w:shd w:val="clear" w:color="auto" w:fill="auto"/>
            <w:vAlign w:val="center"/>
          </w:tcPr>
          <w:p w14:paraId="0B548877"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多个项目</w:t>
            </w:r>
          </w:p>
        </w:tc>
        <w:tc>
          <w:tcPr>
            <w:tcW w:w="998" w:type="pct"/>
            <w:vAlign w:val="center"/>
          </w:tcPr>
          <w:p w14:paraId="4503E2FC" w14:textId="77777777" w:rsidR="00C02929" w:rsidRDefault="006116D1">
            <w:pPr>
              <w:jc w:val="right"/>
              <w:rPr>
                <w:rFonts w:ascii="Times New Roman" w:hAnsi="Times New Roman" w:cs="Times New Roman"/>
                <w:sz w:val="21"/>
                <w:szCs w:val="21"/>
              </w:rPr>
            </w:pPr>
            <w:r>
              <w:rPr>
                <w:rFonts w:ascii="Times New Roman" w:hAnsi="Times New Roman" w:cs="Times New Roman"/>
                <w:color w:val="000000"/>
                <w:sz w:val="21"/>
                <w:szCs w:val="21"/>
              </w:rPr>
              <w:t>201.51</w:t>
            </w:r>
          </w:p>
        </w:tc>
        <w:tc>
          <w:tcPr>
            <w:tcW w:w="915" w:type="pct"/>
            <w:vAlign w:val="center"/>
          </w:tcPr>
          <w:p w14:paraId="4127BD1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2.56</w:t>
            </w:r>
          </w:p>
        </w:tc>
        <w:tc>
          <w:tcPr>
            <w:tcW w:w="695" w:type="pct"/>
            <w:vAlign w:val="center"/>
          </w:tcPr>
          <w:p w14:paraId="2C8EACC5" w14:textId="77777777" w:rsidR="00C02929" w:rsidRDefault="006116D1">
            <w:pPr>
              <w:jc w:val="right"/>
              <w:rPr>
                <w:rFonts w:ascii="Times New Roman" w:hAnsi="Times New Roman" w:cs="Times New Roman"/>
                <w:sz w:val="21"/>
                <w:szCs w:val="21"/>
              </w:rPr>
            </w:pPr>
            <w:r>
              <w:rPr>
                <w:rFonts w:ascii="Times New Roman" w:hAnsi="Times New Roman" w:cs="Times New Roman" w:hint="eastAsia"/>
                <w:sz w:val="21"/>
                <w:szCs w:val="21"/>
              </w:rPr>
              <w:t>多个项目</w:t>
            </w:r>
          </w:p>
        </w:tc>
      </w:tr>
      <w:tr w:rsidR="00C02929" w14:paraId="07C5E4D4" w14:textId="77777777">
        <w:trPr>
          <w:trHeight w:val="340"/>
        </w:trPr>
        <w:tc>
          <w:tcPr>
            <w:tcW w:w="2392" w:type="pct"/>
            <w:gridSpan w:val="2"/>
            <w:vAlign w:val="center"/>
          </w:tcPr>
          <w:p w14:paraId="677F634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998" w:type="pct"/>
            <w:vAlign w:val="center"/>
          </w:tcPr>
          <w:p w14:paraId="1D0FA66F"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7,873.56</w:t>
            </w:r>
          </w:p>
        </w:tc>
        <w:tc>
          <w:tcPr>
            <w:tcW w:w="915" w:type="pct"/>
            <w:vAlign w:val="center"/>
          </w:tcPr>
          <w:p w14:paraId="7C70A06D"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100.00</w:t>
            </w:r>
          </w:p>
        </w:tc>
        <w:tc>
          <w:tcPr>
            <w:tcW w:w="695" w:type="pct"/>
            <w:vAlign w:val="center"/>
          </w:tcPr>
          <w:p w14:paraId="07C766F8"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不适用</w:t>
            </w:r>
          </w:p>
        </w:tc>
      </w:tr>
    </w:tbl>
    <w:bookmarkEnd w:id="60"/>
    <w:bookmarkEnd w:id="61"/>
    <w:bookmarkEnd w:id="62"/>
    <w:p w14:paraId="4DE85D5A"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bCs/>
          <w:color w:val="000000"/>
        </w:rPr>
        <w:t>综上所述，标的公司流动负债增长较快具有合理性。</w:t>
      </w:r>
    </w:p>
    <w:p w14:paraId="66521258"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（二）标的资产偿债能力减弱的原因</w:t>
      </w:r>
    </w:p>
    <w:p w14:paraId="7596B333"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报告期内，标的公司偿债能力相关指标如下：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16"/>
        <w:gridCol w:w="1984"/>
        <w:gridCol w:w="2011"/>
        <w:gridCol w:w="2011"/>
      </w:tblGrid>
      <w:tr w:rsidR="00C02929" w14:paraId="3D8C3F0E" w14:textId="77777777">
        <w:trPr>
          <w:trHeight w:val="397"/>
          <w:tblHeader/>
        </w:trPr>
        <w:tc>
          <w:tcPr>
            <w:tcW w:w="1477" w:type="pct"/>
            <w:shd w:val="clear" w:color="auto" w:fill="auto"/>
            <w:vAlign w:val="center"/>
          </w:tcPr>
          <w:p w14:paraId="3165A7AF" w14:textId="77777777" w:rsidR="00C02929" w:rsidRDefault="006116D1">
            <w:pPr>
              <w:keepNext/>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164" w:type="pct"/>
            <w:shd w:val="clear" w:color="auto" w:fill="auto"/>
            <w:vAlign w:val="center"/>
          </w:tcPr>
          <w:p w14:paraId="23DEBDAA" w14:textId="77777777" w:rsidR="00C02929" w:rsidRDefault="006116D1">
            <w:pPr>
              <w:keepNext/>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hint="eastAsia"/>
                <w:b/>
                <w:bCs/>
                <w:color w:val="000000"/>
                <w:sz w:val="21"/>
                <w:szCs w:val="21"/>
              </w:rPr>
              <w:t>日</w:t>
            </w:r>
            <w:r>
              <w:rPr>
                <w:rFonts w:ascii="Times New Roman" w:hAnsi="Times New Roman" w:cs="Times New Roman"/>
                <w:b/>
                <w:bCs/>
                <w:color w:val="000000"/>
                <w:sz w:val="21"/>
                <w:szCs w:val="21"/>
              </w:rPr>
              <w:t>/</w:t>
            </w:r>
          </w:p>
          <w:p w14:paraId="331EFB79" w14:textId="77777777" w:rsidR="00C02929" w:rsidRDefault="006116D1">
            <w:pPr>
              <w:keepNext/>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年度</w:t>
            </w:r>
          </w:p>
        </w:tc>
        <w:tc>
          <w:tcPr>
            <w:tcW w:w="1179" w:type="pct"/>
            <w:shd w:val="clear" w:color="auto" w:fill="auto"/>
            <w:noWrap/>
            <w:vAlign w:val="center"/>
          </w:tcPr>
          <w:p w14:paraId="46A22D32" w14:textId="77777777" w:rsidR="00C02929" w:rsidRDefault="006116D1">
            <w:pPr>
              <w:keepNext/>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hint="eastAsia"/>
                <w:b/>
                <w:bCs/>
                <w:color w:val="000000"/>
                <w:sz w:val="21"/>
                <w:szCs w:val="21"/>
              </w:rPr>
              <w:t>日</w:t>
            </w:r>
            <w:r>
              <w:rPr>
                <w:rFonts w:ascii="Times New Roman" w:hAnsi="Times New Roman" w:cs="Times New Roman"/>
                <w:b/>
                <w:bCs/>
                <w:color w:val="000000"/>
                <w:sz w:val="21"/>
                <w:szCs w:val="21"/>
              </w:rPr>
              <w:t>/</w:t>
            </w:r>
          </w:p>
          <w:p w14:paraId="56ACA1A4" w14:textId="77777777" w:rsidR="00C02929" w:rsidRDefault="006116D1">
            <w:pPr>
              <w:keepNext/>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年度</w:t>
            </w:r>
          </w:p>
        </w:tc>
        <w:tc>
          <w:tcPr>
            <w:tcW w:w="1179" w:type="pct"/>
            <w:shd w:val="clear" w:color="auto" w:fill="auto"/>
            <w:noWrap/>
            <w:vAlign w:val="center"/>
          </w:tcPr>
          <w:p w14:paraId="37C1FF8C" w14:textId="77777777" w:rsidR="00C02929" w:rsidRDefault="006116D1">
            <w:pPr>
              <w:keepNext/>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b/>
                <w:bCs/>
                <w:color w:val="000000"/>
                <w:sz w:val="21"/>
                <w:szCs w:val="21"/>
              </w:rPr>
              <w:t>31</w:t>
            </w:r>
            <w:r>
              <w:rPr>
                <w:rFonts w:ascii="Times New Roman" w:hAnsi="Times New Roman" w:cs="Times New Roman" w:hint="eastAsia"/>
                <w:b/>
                <w:bCs/>
                <w:color w:val="000000"/>
                <w:sz w:val="21"/>
                <w:szCs w:val="21"/>
              </w:rPr>
              <w:t>日</w:t>
            </w:r>
            <w:r>
              <w:rPr>
                <w:rFonts w:ascii="Times New Roman" w:hAnsi="Times New Roman" w:cs="Times New Roman"/>
                <w:b/>
                <w:bCs/>
                <w:color w:val="000000"/>
                <w:sz w:val="21"/>
                <w:szCs w:val="21"/>
              </w:rPr>
              <w:t>/</w:t>
            </w:r>
          </w:p>
          <w:p w14:paraId="28757813" w14:textId="77777777" w:rsidR="00C02929" w:rsidRDefault="006116D1">
            <w:pPr>
              <w:keepNext/>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年度</w:t>
            </w:r>
          </w:p>
        </w:tc>
      </w:tr>
      <w:tr w:rsidR="00C02929" w14:paraId="4BF40080" w14:textId="77777777">
        <w:trPr>
          <w:trHeight w:val="397"/>
        </w:trPr>
        <w:tc>
          <w:tcPr>
            <w:tcW w:w="1477" w:type="pct"/>
            <w:shd w:val="clear" w:color="auto" w:fill="auto"/>
            <w:vAlign w:val="center"/>
          </w:tcPr>
          <w:p w14:paraId="485BC0DF"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流动比率（倍）</w:t>
            </w:r>
          </w:p>
        </w:tc>
        <w:tc>
          <w:tcPr>
            <w:tcW w:w="1164" w:type="pct"/>
            <w:shd w:val="clear" w:color="auto" w:fill="auto"/>
            <w:noWrap/>
            <w:vAlign w:val="center"/>
          </w:tcPr>
          <w:p w14:paraId="0302FB1D"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等线" w:hAnsi="Times New Roman" w:cs="Times New Roman"/>
                <w:color w:val="000000"/>
                <w:sz w:val="21"/>
                <w:szCs w:val="21"/>
              </w:rPr>
              <w:t>1.47</w:t>
            </w:r>
          </w:p>
        </w:tc>
        <w:tc>
          <w:tcPr>
            <w:tcW w:w="1179" w:type="pct"/>
            <w:shd w:val="clear" w:color="auto" w:fill="auto"/>
            <w:noWrap/>
            <w:vAlign w:val="center"/>
          </w:tcPr>
          <w:p w14:paraId="246841AE"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2.51</w:t>
            </w:r>
          </w:p>
        </w:tc>
        <w:tc>
          <w:tcPr>
            <w:tcW w:w="1179" w:type="pct"/>
            <w:shd w:val="clear" w:color="auto" w:fill="auto"/>
            <w:noWrap/>
            <w:vAlign w:val="center"/>
          </w:tcPr>
          <w:p w14:paraId="4EAC8841"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2.26</w:t>
            </w:r>
          </w:p>
        </w:tc>
      </w:tr>
      <w:tr w:rsidR="00C02929" w14:paraId="684E0BD3" w14:textId="77777777">
        <w:trPr>
          <w:trHeight w:val="397"/>
        </w:trPr>
        <w:tc>
          <w:tcPr>
            <w:tcW w:w="1477" w:type="pct"/>
            <w:shd w:val="clear" w:color="auto" w:fill="auto"/>
            <w:vAlign w:val="center"/>
          </w:tcPr>
          <w:p w14:paraId="6AC41500"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速动比率（倍）</w:t>
            </w:r>
          </w:p>
        </w:tc>
        <w:tc>
          <w:tcPr>
            <w:tcW w:w="1164" w:type="pct"/>
            <w:shd w:val="clear" w:color="auto" w:fill="auto"/>
            <w:noWrap/>
            <w:vAlign w:val="center"/>
          </w:tcPr>
          <w:p w14:paraId="7F668D6B" w14:textId="77777777" w:rsidR="00C02929" w:rsidRDefault="006116D1">
            <w:pPr>
              <w:jc w:val="right"/>
              <w:rPr>
                <w:rFonts w:ascii="Times New Roman" w:eastAsia="等线" w:hAnsi="Times New Roman" w:cs="Times New Roman"/>
                <w:color w:val="000000"/>
                <w:sz w:val="21"/>
                <w:szCs w:val="21"/>
                <w:lang w:val="en-GB"/>
              </w:rPr>
            </w:pPr>
            <w:r>
              <w:rPr>
                <w:rFonts w:ascii="Times New Roman" w:eastAsia="等线" w:hAnsi="Times New Roman" w:cs="Times New Roman"/>
                <w:color w:val="000000"/>
                <w:sz w:val="21"/>
                <w:szCs w:val="21"/>
              </w:rPr>
              <w:t>1.18</w:t>
            </w:r>
          </w:p>
        </w:tc>
        <w:tc>
          <w:tcPr>
            <w:tcW w:w="1179" w:type="pct"/>
            <w:shd w:val="clear" w:color="auto" w:fill="auto"/>
            <w:noWrap/>
            <w:vAlign w:val="center"/>
          </w:tcPr>
          <w:p w14:paraId="1C4C3BB5"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2.03</w:t>
            </w:r>
          </w:p>
        </w:tc>
        <w:tc>
          <w:tcPr>
            <w:tcW w:w="1179" w:type="pct"/>
            <w:shd w:val="clear" w:color="auto" w:fill="auto"/>
            <w:noWrap/>
            <w:vAlign w:val="center"/>
          </w:tcPr>
          <w:p w14:paraId="339B4FB8"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1.60</w:t>
            </w:r>
          </w:p>
        </w:tc>
      </w:tr>
      <w:tr w:rsidR="00C02929" w14:paraId="530A8BCF" w14:textId="77777777">
        <w:trPr>
          <w:trHeight w:val="397"/>
        </w:trPr>
        <w:tc>
          <w:tcPr>
            <w:tcW w:w="1477" w:type="pct"/>
            <w:shd w:val="clear" w:color="auto" w:fill="auto"/>
            <w:vAlign w:val="center"/>
          </w:tcPr>
          <w:p w14:paraId="15289085"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资产负债率</w:t>
            </w:r>
          </w:p>
        </w:tc>
        <w:tc>
          <w:tcPr>
            <w:tcW w:w="1164" w:type="pct"/>
            <w:shd w:val="clear" w:color="auto" w:fill="auto"/>
            <w:noWrap/>
            <w:vAlign w:val="center"/>
          </w:tcPr>
          <w:p w14:paraId="503D0340"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67.78%</w:t>
            </w:r>
          </w:p>
        </w:tc>
        <w:tc>
          <w:tcPr>
            <w:tcW w:w="1179" w:type="pct"/>
            <w:shd w:val="clear" w:color="auto" w:fill="auto"/>
            <w:noWrap/>
            <w:vAlign w:val="center"/>
          </w:tcPr>
          <w:p w14:paraId="4FB28C49"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39.31%</w:t>
            </w:r>
          </w:p>
        </w:tc>
        <w:tc>
          <w:tcPr>
            <w:tcW w:w="1179" w:type="pct"/>
            <w:shd w:val="clear" w:color="auto" w:fill="auto"/>
            <w:noWrap/>
            <w:vAlign w:val="center"/>
          </w:tcPr>
          <w:p w14:paraId="0FBCA4CA"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43.41%</w:t>
            </w:r>
          </w:p>
        </w:tc>
      </w:tr>
      <w:tr w:rsidR="00C02929" w14:paraId="21824410" w14:textId="77777777">
        <w:trPr>
          <w:trHeight w:val="397"/>
        </w:trPr>
        <w:tc>
          <w:tcPr>
            <w:tcW w:w="1477" w:type="pct"/>
            <w:shd w:val="clear" w:color="auto" w:fill="auto"/>
            <w:vAlign w:val="center"/>
          </w:tcPr>
          <w:p w14:paraId="56A26767"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息税折旧摊销前利润（万元）</w:t>
            </w:r>
          </w:p>
        </w:tc>
        <w:tc>
          <w:tcPr>
            <w:tcW w:w="1164" w:type="pct"/>
            <w:shd w:val="clear" w:color="auto" w:fill="auto"/>
            <w:noWrap/>
            <w:vAlign w:val="center"/>
          </w:tcPr>
          <w:p w14:paraId="2F65C724" w14:textId="77777777" w:rsidR="00C02929" w:rsidRDefault="006116D1">
            <w:pPr>
              <w:jc w:val="right"/>
              <w:rPr>
                <w:rFonts w:ascii="Times New Roman" w:hAnsi="Times New Roman" w:cs="Times New Roman"/>
                <w:color w:val="0070C0"/>
                <w:sz w:val="21"/>
                <w:szCs w:val="21"/>
                <w:lang w:val="en-GB"/>
              </w:rPr>
            </w:pPr>
            <w:r>
              <w:rPr>
                <w:rFonts w:ascii="Times New Roman" w:eastAsia="等线" w:hAnsi="Times New Roman" w:cs="Times New Roman"/>
                <w:color w:val="000000" w:themeColor="text1"/>
                <w:sz w:val="21"/>
                <w:szCs w:val="21"/>
              </w:rPr>
              <w:t>3,541.36</w:t>
            </w:r>
          </w:p>
        </w:tc>
        <w:tc>
          <w:tcPr>
            <w:tcW w:w="1179" w:type="pct"/>
            <w:shd w:val="clear" w:color="auto" w:fill="auto"/>
            <w:noWrap/>
            <w:vAlign w:val="center"/>
          </w:tcPr>
          <w:p w14:paraId="6E95790E"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1,612.13</w:t>
            </w:r>
          </w:p>
        </w:tc>
        <w:tc>
          <w:tcPr>
            <w:tcW w:w="1179" w:type="pct"/>
            <w:shd w:val="clear" w:color="auto" w:fill="auto"/>
            <w:noWrap/>
            <w:vAlign w:val="center"/>
          </w:tcPr>
          <w:p w14:paraId="77520B23"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color w:val="000000"/>
                <w:sz w:val="21"/>
                <w:szCs w:val="21"/>
              </w:rPr>
              <w:t>1,101.10</w:t>
            </w:r>
          </w:p>
        </w:tc>
      </w:tr>
      <w:tr w:rsidR="00C02929" w14:paraId="00842144" w14:textId="77777777">
        <w:trPr>
          <w:trHeight w:val="397"/>
        </w:trPr>
        <w:tc>
          <w:tcPr>
            <w:tcW w:w="1477" w:type="pct"/>
            <w:shd w:val="clear" w:color="auto" w:fill="auto"/>
            <w:vAlign w:val="center"/>
          </w:tcPr>
          <w:p w14:paraId="1D79E784"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利息保障倍数（倍）</w:t>
            </w:r>
          </w:p>
        </w:tc>
        <w:tc>
          <w:tcPr>
            <w:tcW w:w="1164" w:type="pct"/>
            <w:shd w:val="clear" w:color="auto" w:fill="auto"/>
            <w:noWrap/>
            <w:vAlign w:val="center"/>
          </w:tcPr>
          <w:p w14:paraId="68B3744A" w14:textId="77777777" w:rsidR="00C02929" w:rsidRDefault="006116D1">
            <w:pPr>
              <w:jc w:val="right"/>
              <w:rPr>
                <w:rFonts w:ascii="Times New Roman" w:hAnsi="Times New Roman" w:cs="Times New Roman"/>
                <w:color w:val="0070C0"/>
                <w:sz w:val="21"/>
                <w:szCs w:val="21"/>
                <w:lang w:val="en-GB"/>
              </w:rPr>
            </w:pPr>
            <w:r>
              <w:rPr>
                <w:rFonts w:ascii="Times New Roman" w:hAnsi="Times New Roman" w:cs="Times New Roman" w:hint="eastAsia"/>
                <w:color w:val="000000" w:themeColor="text1"/>
                <w:sz w:val="21"/>
                <w:szCs w:val="21"/>
                <w:lang w:val="en-GB"/>
              </w:rPr>
              <w:t>不适用</w:t>
            </w:r>
          </w:p>
        </w:tc>
        <w:tc>
          <w:tcPr>
            <w:tcW w:w="1179" w:type="pct"/>
            <w:shd w:val="clear" w:color="auto" w:fill="auto"/>
            <w:noWrap/>
            <w:vAlign w:val="center"/>
          </w:tcPr>
          <w:p w14:paraId="478123B5"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不适用</w:t>
            </w:r>
          </w:p>
        </w:tc>
        <w:tc>
          <w:tcPr>
            <w:tcW w:w="1179" w:type="pct"/>
            <w:shd w:val="clear" w:color="auto" w:fill="auto"/>
            <w:noWrap/>
            <w:vAlign w:val="center"/>
          </w:tcPr>
          <w:p w14:paraId="4043B504" w14:textId="77777777" w:rsidR="00C02929" w:rsidRDefault="006116D1">
            <w:pPr>
              <w:jc w:val="right"/>
              <w:rPr>
                <w:rFonts w:ascii="Times New Roman" w:hAnsi="Times New Roman" w:cs="Times New Roman"/>
                <w:color w:val="000000"/>
                <w:sz w:val="21"/>
                <w:szCs w:val="21"/>
                <w:lang w:val="en-GB"/>
              </w:rPr>
            </w:pPr>
            <w:r>
              <w:rPr>
                <w:rFonts w:ascii="Times New Roman" w:hAnsi="Times New Roman" w:cs="Times New Roman"/>
                <w:color w:val="000000"/>
                <w:sz w:val="21"/>
                <w:szCs w:val="21"/>
                <w:lang w:val="en-GB"/>
              </w:rPr>
              <w:t>22,924.70</w:t>
            </w:r>
          </w:p>
        </w:tc>
      </w:tr>
      <w:tr w:rsidR="00C02929" w14:paraId="16C059A0" w14:textId="77777777">
        <w:trPr>
          <w:trHeight w:val="397"/>
        </w:trPr>
        <w:tc>
          <w:tcPr>
            <w:tcW w:w="1477" w:type="pct"/>
            <w:shd w:val="clear" w:color="auto" w:fill="auto"/>
            <w:vAlign w:val="center"/>
          </w:tcPr>
          <w:p w14:paraId="67FCD3C4"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经营活动产生的现金流量净额（万元）</w:t>
            </w:r>
          </w:p>
        </w:tc>
        <w:tc>
          <w:tcPr>
            <w:tcW w:w="1164" w:type="pct"/>
            <w:shd w:val="clear" w:color="auto" w:fill="auto"/>
            <w:noWrap/>
            <w:vAlign w:val="center"/>
          </w:tcPr>
          <w:p w14:paraId="6954EA88" w14:textId="77777777" w:rsidR="00C02929" w:rsidRDefault="006116D1">
            <w:pPr>
              <w:jc w:val="right"/>
              <w:rPr>
                <w:rFonts w:ascii="Times New Roman" w:hAnsi="Times New Roman" w:cs="Times New Roman"/>
                <w:color w:val="0070C0"/>
                <w:sz w:val="21"/>
                <w:szCs w:val="21"/>
                <w:lang w:val="en-GB"/>
              </w:rPr>
            </w:pPr>
            <w:r>
              <w:rPr>
                <w:rFonts w:ascii="Times New Roman" w:eastAsia="等线" w:hAnsi="Times New Roman" w:cs="Times New Roman"/>
                <w:sz w:val="21"/>
                <w:szCs w:val="21"/>
              </w:rPr>
              <w:t>4</w:t>
            </w:r>
            <w:r>
              <w:rPr>
                <w:rFonts w:ascii="Times New Roman" w:eastAsia="等线" w:hAnsi="Times New Roman" w:cs="Times New Roman" w:hint="eastAsia"/>
                <w:sz w:val="21"/>
                <w:szCs w:val="21"/>
              </w:rPr>
              <w:t>,</w:t>
            </w:r>
            <w:r>
              <w:rPr>
                <w:rFonts w:ascii="Times New Roman" w:eastAsia="等线" w:hAnsi="Times New Roman" w:cs="Times New Roman"/>
                <w:sz w:val="21"/>
                <w:szCs w:val="21"/>
              </w:rPr>
              <w:t>059.30</w:t>
            </w:r>
          </w:p>
        </w:tc>
        <w:tc>
          <w:tcPr>
            <w:tcW w:w="1179" w:type="pct"/>
            <w:shd w:val="clear" w:color="auto" w:fill="auto"/>
            <w:noWrap/>
            <w:vAlign w:val="center"/>
          </w:tcPr>
          <w:p w14:paraId="79B65106"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sz w:val="21"/>
                <w:szCs w:val="21"/>
              </w:rPr>
              <w:t>-702.30</w:t>
            </w:r>
          </w:p>
        </w:tc>
        <w:tc>
          <w:tcPr>
            <w:tcW w:w="1179" w:type="pct"/>
            <w:shd w:val="clear" w:color="auto" w:fill="auto"/>
            <w:noWrap/>
            <w:vAlign w:val="center"/>
          </w:tcPr>
          <w:p w14:paraId="624F496A" w14:textId="77777777" w:rsidR="00C02929" w:rsidRDefault="006116D1">
            <w:pPr>
              <w:jc w:val="right"/>
              <w:rPr>
                <w:rFonts w:ascii="Times New Roman" w:hAnsi="Times New Roman" w:cs="Times New Roman"/>
                <w:color w:val="000000"/>
                <w:sz w:val="21"/>
                <w:szCs w:val="21"/>
                <w:lang w:val="en-GB"/>
              </w:rPr>
            </w:pPr>
            <w:r>
              <w:rPr>
                <w:rFonts w:ascii="Times New Roman" w:eastAsia="等线" w:hAnsi="Times New Roman" w:cs="Times New Roman"/>
                <w:sz w:val="21"/>
                <w:szCs w:val="21"/>
              </w:rPr>
              <w:t>1,595.26</w:t>
            </w:r>
          </w:p>
        </w:tc>
      </w:tr>
    </w:tbl>
    <w:p w14:paraId="6C3B1B1A"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注：</w:t>
      </w:r>
      <w:r>
        <w:rPr>
          <w:rFonts w:ascii="Times New Roman" w:hAnsi="Times New Roman" w:cs="Times New Roman" w:hint="eastAsia"/>
          <w:sz w:val="21"/>
          <w:szCs w:val="21"/>
        </w:rPr>
        <w:t>1</w:t>
      </w:r>
      <w:r>
        <w:rPr>
          <w:rFonts w:ascii="Times New Roman" w:hAnsi="Times New Roman" w:cs="Times New Roman" w:hint="eastAsia"/>
          <w:sz w:val="21"/>
          <w:szCs w:val="21"/>
        </w:rPr>
        <w:t>、流动比率</w:t>
      </w:r>
      <w:r>
        <w:rPr>
          <w:rFonts w:ascii="Times New Roman" w:hAnsi="Times New Roman" w:cs="Times New Roman" w:hint="eastAsia"/>
          <w:sz w:val="21"/>
          <w:szCs w:val="21"/>
        </w:rPr>
        <w:t>=</w:t>
      </w:r>
      <w:r>
        <w:rPr>
          <w:rFonts w:ascii="Times New Roman" w:hAnsi="Times New Roman" w:cs="Times New Roman" w:hint="eastAsia"/>
          <w:sz w:val="21"/>
          <w:szCs w:val="21"/>
        </w:rPr>
        <w:t>流动资产</w:t>
      </w:r>
      <w:r>
        <w:rPr>
          <w:rFonts w:ascii="Times New Roman" w:hAnsi="Times New Roman" w:cs="Times New Roman" w:hint="eastAsia"/>
          <w:sz w:val="21"/>
          <w:szCs w:val="21"/>
        </w:rPr>
        <w:t>/</w:t>
      </w:r>
      <w:r>
        <w:rPr>
          <w:rFonts w:ascii="Times New Roman" w:hAnsi="Times New Roman" w:cs="Times New Roman" w:hint="eastAsia"/>
          <w:sz w:val="21"/>
          <w:szCs w:val="21"/>
        </w:rPr>
        <w:t>流动负债</w:t>
      </w:r>
    </w:p>
    <w:p w14:paraId="328B9554" w14:textId="77777777" w:rsidR="00C02929" w:rsidRDefault="006116D1">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2</w:t>
      </w:r>
      <w:r>
        <w:rPr>
          <w:rFonts w:ascii="Times New Roman" w:hAnsi="Times New Roman" w:cs="Times New Roman" w:hint="eastAsia"/>
          <w:sz w:val="21"/>
          <w:szCs w:val="21"/>
        </w:rPr>
        <w:t>、速动比率</w:t>
      </w:r>
      <w:r>
        <w:rPr>
          <w:rFonts w:ascii="Times New Roman" w:hAnsi="Times New Roman" w:cs="Times New Roman" w:hint="eastAsia"/>
          <w:sz w:val="21"/>
          <w:szCs w:val="21"/>
        </w:rPr>
        <w:t>=</w:t>
      </w:r>
      <w:r>
        <w:rPr>
          <w:rFonts w:ascii="Times New Roman" w:hAnsi="Times New Roman" w:cs="Times New Roman" w:hint="eastAsia"/>
          <w:sz w:val="21"/>
          <w:szCs w:val="21"/>
        </w:rPr>
        <w:t>（流动资产</w:t>
      </w:r>
      <w:r>
        <w:rPr>
          <w:rFonts w:ascii="Times New Roman" w:hAnsi="Times New Roman" w:cs="Times New Roman" w:hint="eastAsia"/>
          <w:sz w:val="21"/>
          <w:szCs w:val="21"/>
        </w:rPr>
        <w:t>-</w:t>
      </w:r>
      <w:r>
        <w:rPr>
          <w:rFonts w:ascii="Times New Roman" w:hAnsi="Times New Roman" w:cs="Times New Roman" w:hint="eastAsia"/>
          <w:sz w:val="21"/>
          <w:szCs w:val="21"/>
        </w:rPr>
        <w:t>存货净额）</w:t>
      </w:r>
      <w:r>
        <w:rPr>
          <w:rFonts w:ascii="Times New Roman" w:hAnsi="Times New Roman" w:cs="Times New Roman" w:hint="eastAsia"/>
          <w:sz w:val="21"/>
          <w:szCs w:val="21"/>
        </w:rPr>
        <w:t>/</w:t>
      </w:r>
      <w:r>
        <w:rPr>
          <w:rFonts w:ascii="Times New Roman" w:hAnsi="Times New Roman" w:cs="Times New Roman" w:hint="eastAsia"/>
          <w:sz w:val="21"/>
          <w:szCs w:val="21"/>
        </w:rPr>
        <w:t>流动负债</w:t>
      </w:r>
    </w:p>
    <w:p w14:paraId="2FEC8C1C" w14:textId="77777777" w:rsidR="00C02929" w:rsidRDefault="006116D1">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3</w:t>
      </w:r>
      <w:r>
        <w:rPr>
          <w:rFonts w:ascii="Times New Roman" w:hAnsi="Times New Roman" w:cs="Times New Roman" w:hint="eastAsia"/>
          <w:sz w:val="21"/>
          <w:szCs w:val="21"/>
        </w:rPr>
        <w:t>、资产负债率</w:t>
      </w:r>
      <w:r>
        <w:rPr>
          <w:rFonts w:ascii="Times New Roman" w:hAnsi="Times New Roman" w:cs="Times New Roman" w:hint="eastAsia"/>
          <w:sz w:val="21"/>
          <w:szCs w:val="21"/>
        </w:rPr>
        <w:t>=</w:t>
      </w:r>
      <w:r>
        <w:rPr>
          <w:rFonts w:ascii="Times New Roman" w:hAnsi="Times New Roman" w:cs="Times New Roman" w:hint="eastAsia"/>
          <w:sz w:val="21"/>
          <w:szCs w:val="21"/>
        </w:rPr>
        <w:t>负债总额</w:t>
      </w:r>
      <w:r>
        <w:rPr>
          <w:rFonts w:ascii="Times New Roman" w:hAnsi="Times New Roman" w:cs="Times New Roman" w:hint="eastAsia"/>
          <w:sz w:val="21"/>
          <w:szCs w:val="21"/>
        </w:rPr>
        <w:t>/</w:t>
      </w:r>
      <w:r>
        <w:rPr>
          <w:rFonts w:ascii="Times New Roman" w:hAnsi="Times New Roman" w:cs="Times New Roman" w:hint="eastAsia"/>
          <w:sz w:val="21"/>
          <w:szCs w:val="21"/>
        </w:rPr>
        <w:t>资产总额</w:t>
      </w:r>
    </w:p>
    <w:p w14:paraId="20C7EAC9" w14:textId="77777777" w:rsidR="00C02929" w:rsidRDefault="006116D1">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4</w:t>
      </w:r>
      <w:r>
        <w:rPr>
          <w:rFonts w:ascii="Times New Roman" w:hAnsi="Times New Roman" w:cs="Times New Roman" w:hint="eastAsia"/>
          <w:sz w:val="21"/>
          <w:szCs w:val="21"/>
        </w:rPr>
        <w:t>、息税折旧摊销前利润</w:t>
      </w:r>
      <w:r>
        <w:rPr>
          <w:rFonts w:ascii="Times New Roman" w:hAnsi="Times New Roman" w:cs="Times New Roman" w:hint="eastAsia"/>
          <w:sz w:val="21"/>
          <w:szCs w:val="21"/>
        </w:rPr>
        <w:t>=</w:t>
      </w:r>
      <w:r>
        <w:rPr>
          <w:rFonts w:ascii="Times New Roman" w:hAnsi="Times New Roman" w:cs="Times New Roman" w:hint="eastAsia"/>
          <w:sz w:val="21"/>
          <w:szCs w:val="21"/>
        </w:rPr>
        <w:t>利润总额</w:t>
      </w:r>
      <w:r>
        <w:rPr>
          <w:rFonts w:ascii="Times New Roman" w:hAnsi="Times New Roman" w:cs="Times New Roman" w:hint="eastAsia"/>
          <w:sz w:val="21"/>
          <w:szCs w:val="21"/>
        </w:rPr>
        <w:t>+</w:t>
      </w:r>
      <w:r>
        <w:rPr>
          <w:rFonts w:ascii="Times New Roman" w:hAnsi="Times New Roman" w:cs="Times New Roman" w:hint="eastAsia"/>
          <w:sz w:val="21"/>
          <w:szCs w:val="21"/>
        </w:rPr>
        <w:t>利息费用</w:t>
      </w:r>
      <w:r>
        <w:rPr>
          <w:rFonts w:ascii="Times New Roman" w:hAnsi="Times New Roman" w:cs="Times New Roman" w:hint="eastAsia"/>
          <w:sz w:val="21"/>
          <w:szCs w:val="21"/>
        </w:rPr>
        <w:t>+</w:t>
      </w:r>
      <w:r>
        <w:rPr>
          <w:rFonts w:ascii="Times New Roman" w:hAnsi="Times New Roman" w:cs="Times New Roman" w:hint="eastAsia"/>
          <w:sz w:val="21"/>
          <w:szCs w:val="21"/>
        </w:rPr>
        <w:t>折旧费用</w:t>
      </w:r>
      <w:r>
        <w:rPr>
          <w:rFonts w:ascii="Times New Roman" w:hAnsi="Times New Roman" w:cs="Times New Roman" w:hint="eastAsia"/>
          <w:sz w:val="21"/>
          <w:szCs w:val="21"/>
        </w:rPr>
        <w:t>+</w:t>
      </w:r>
      <w:r>
        <w:rPr>
          <w:rFonts w:ascii="Times New Roman" w:hAnsi="Times New Roman" w:cs="Times New Roman" w:hint="eastAsia"/>
          <w:sz w:val="21"/>
          <w:szCs w:val="21"/>
        </w:rPr>
        <w:t>摊销费用</w:t>
      </w:r>
    </w:p>
    <w:p w14:paraId="3086E7FA" w14:textId="77777777" w:rsidR="00C02929" w:rsidRDefault="006116D1">
      <w:pPr>
        <w:ind w:firstLineChars="200" w:firstLine="420"/>
        <w:jc w:val="both"/>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hint="eastAsia"/>
          <w:sz w:val="21"/>
          <w:szCs w:val="21"/>
        </w:rPr>
        <w:t>、利息保障倍数</w:t>
      </w:r>
      <w:r>
        <w:rPr>
          <w:rFonts w:ascii="Times New Roman" w:hAnsi="Times New Roman" w:cs="Times New Roman" w:hint="eastAsia"/>
          <w:sz w:val="21"/>
          <w:szCs w:val="21"/>
        </w:rPr>
        <w:t>=EBIT</w:t>
      </w:r>
      <w:r>
        <w:rPr>
          <w:rFonts w:ascii="Times New Roman" w:hAnsi="Times New Roman" w:cs="Times New Roman" w:hint="eastAsia"/>
          <w:sz w:val="21"/>
          <w:szCs w:val="21"/>
        </w:rPr>
        <w:t>（息税前利润）</w:t>
      </w:r>
      <w:r>
        <w:rPr>
          <w:rFonts w:ascii="Times New Roman" w:hAnsi="Times New Roman" w:cs="Times New Roman" w:hint="eastAsia"/>
          <w:sz w:val="21"/>
          <w:szCs w:val="21"/>
        </w:rPr>
        <w:t>/</w:t>
      </w:r>
      <w:r>
        <w:rPr>
          <w:rFonts w:ascii="Times New Roman" w:hAnsi="Times New Roman" w:cs="Times New Roman" w:hint="eastAsia"/>
          <w:sz w:val="21"/>
          <w:szCs w:val="21"/>
        </w:rPr>
        <w:t>利息费用</w:t>
      </w:r>
    </w:p>
    <w:p w14:paraId="427E3C2F"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报告期各期末，标的公司流动比率分别为</w:t>
      </w:r>
      <w:r>
        <w:rPr>
          <w:rFonts w:ascii="Times New Roman" w:hAnsi="Times New Roman" w:cs="Times New Roman" w:hint="eastAsia"/>
          <w:bCs/>
          <w:color w:val="000000"/>
          <w:lang w:val="en-GB"/>
        </w:rPr>
        <w:t>2.26</w:t>
      </w:r>
      <w:r>
        <w:rPr>
          <w:rFonts w:ascii="Times New Roman" w:hAnsi="Times New Roman" w:cs="Times New Roman" w:hint="eastAsia"/>
          <w:bCs/>
          <w:color w:val="000000"/>
          <w:lang w:val="en-GB"/>
        </w:rPr>
        <w:t>倍、</w:t>
      </w:r>
      <w:r>
        <w:rPr>
          <w:rFonts w:ascii="Times New Roman" w:hAnsi="Times New Roman" w:cs="Times New Roman" w:hint="eastAsia"/>
          <w:bCs/>
          <w:color w:val="000000"/>
          <w:lang w:val="en-GB"/>
        </w:rPr>
        <w:t>2.51</w:t>
      </w:r>
      <w:r>
        <w:rPr>
          <w:rFonts w:ascii="Times New Roman" w:hAnsi="Times New Roman" w:cs="Times New Roman" w:hint="eastAsia"/>
          <w:bCs/>
          <w:color w:val="000000"/>
          <w:lang w:val="en-GB"/>
        </w:rPr>
        <w:t>倍以及</w:t>
      </w:r>
      <w:r>
        <w:rPr>
          <w:rFonts w:ascii="Times New Roman" w:hAnsi="Times New Roman" w:cs="Times New Roman" w:hint="eastAsia"/>
          <w:bCs/>
          <w:color w:val="000000"/>
          <w:lang w:val="en-GB"/>
        </w:rPr>
        <w:t>1.</w:t>
      </w:r>
      <w:r>
        <w:rPr>
          <w:rFonts w:ascii="Times New Roman" w:hAnsi="Times New Roman" w:cs="Times New Roman"/>
          <w:bCs/>
          <w:color w:val="000000"/>
          <w:lang w:val="en-GB"/>
        </w:rPr>
        <w:t>47</w:t>
      </w:r>
      <w:r>
        <w:rPr>
          <w:rFonts w:ascii="Times New Roman" w:hAnsi="Times New Roman" w:cs="Times New Roman" w:hint="eastAsia"/>
          <w:bCs/>
          <w:color w:val="000000"/>
          <w:lang w:val="en-GB"/>
        </w:rPr>
        <w:t>倍，速动比率分别</w:t>
      </w:r>
      <w:r>
        <w:rPr>
          <w:rFonts w:ascii="Times New Roman" w:hAnsi="Times New Roman" w:cs="Times New Roman" w:hint="eastAsia"/>
          <w:bCs/>
          <w:color w:val="000000"/>
          <w:lang w:val="en-GB"/>
        </w:rPr>
        <w:t>1.60</w:t>
      </w:r>
      <w:r>
        <w:rPr>
          <w:rFonts w:ascii="Times New Roman" w:hAnsi="Times New Roman" w:cs="Times New Roman" w:hint="eastAsia"/>
          <w:bCs/>
          <w:color w:val="000000"/>
          <w:lang w:val="en-GB"/>
        </w:rPr>
        <w:t>倍、</w:t>
      </w:r>
      <w:r>
        <w:rPr>
          <w:rFonts w:ascii="Times New Roman" w:hAnsi="Times New Roman" w:cs="Times New Roman" w:hint="eastAsia"/>
          <w:bCs/>
          <w:color w:val="000000"/>
          <w:lang w:val="en-GB"/>
        </w:rPr>
        <w:t>2.03</w:t>
      </w:r>
      <w:r>
        <w:rPr>
          <w:rFonts w:ascii="Times New Roman" w:hAnsi="Times New Roman" w:cs="Times New Roman" w:hint="eastAsia"/>
          <w:bCs/>
          <w:color w:val="000000"/>
          <w:lang w:val="en-GB"/>
        </w:rPr>
        <w:t>倍以及</w:t>
      </w:r>
      <w:r>
        <w:rPr>
          <w:rFonts w:ascii="Times New Roman" w:hAnsi="Times New Roman" w:cs="Times New Roman" w:hint="eastAsia"/>
          <w:bCs/>
          <w:color w:val="000000"/>
          <w:lang w:val="en-GB"/>
        </w:rPr>
        <w:t>1.18</w:t>
      </w:r>
      <w:r>
        <w:rPr>
          <w:rFonts w:ascii="Times New Roman" w:hAnsi="Times New Roman" w:cs="Times New Roman" w:hint="eastAsia"/>
          <w:bCs/>
          <w:color w:val="000000"/>
          <w:lang w:val="en-GB"/>
        </w:rPr>
        <w:t>倍，流动比率和速动比率均大于</w:t>
      </w:r>
      <w:r>
        <w:rPr>
          <w:rFonts w:ascii="Times New Roman" w:hAnsi="Times New Roman" w:cs="Times New Roman" w:hint="eastAsia"/>
          <w:bCs/>
          <w:color w:val="000000"/>
          <w:lang w:val="en-GB"/>
        </w:rPr>
        <w:t>1</w:t>
      </w:r>
      <w:r>
        <w:rPr>
          <w:rFonts w:ascii="Times New Roman" w:hAnsi="Times New Roman" w:cs="Times New Roman" w:hint="eastAsia"/>
          <w:bCs/>
          <w:color w:val="000000"/>
          <w:lang w:val="en-GB"/>
        </w:rPr>
        <w:t>，整体保持在合理水平，短期偿债能力良好。报告期各期末，标的公司资产负债率分别为</w:t>
      </w:r>
      <w:r>
        <w:rPr>
          <w:rFonts w:ascii="Times New Roman" w:hAnsi="Times New Roman" w:cs="Times New Roman" w:hint="eastAsia"/>
          <w:bCs/>
          <w:color w:val="000000"/>
          <w:lang w:val="en-GB"/>
        </w:rPr>
        <w:t>43.41%</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39.31%</w:t>
      </w:r>
      <w:r>
        <w:rPr>
          <w:rFonts w:ascii="Times New Roman" w:hAnsi="Times New Roman" w:cs="Times New Roman" w:hint="eastAsia"/>
          <w:bCs/>
          <w:color w:val="000000"/>
          <w:lang w:val="en-GB"/>
        </w:rPr>
        <w:t>以及</w:t>
      </w:r>
      <w:r>
        <w:rPr>
          <w:rFonts w:ascii="Times New Roman" w:hAnsi="Times New Roman" w:cs="Times New Roman"/>
          <w:bCs/>
          <w:color w:val="000000"/>
          <w:lang w:val="en-GB"/>
        </w:rPr>
        <w:t>67.78</w:t>
      </w:r>
      <w:r>
        <w:rPr>
          <w:rFonts w:ascii="Times New Roman" w:hAnsi="Times New Roman" w:cs="Times New Roman" w:hint="eastAsia"/>
          <w:bCs/>
          <w:color w:val="000000"/>
          <w:lang w:val="en-GB"/>
        </w:rPr>
        <w:t>%</w:t>
      </w:r>
      <w:r>
        <w:rPr>
          <w:rFonts w:ascii="Times New Roman" w:hAnsi="Times New Roman" w:cs="Times New Roman" w:hint="eastAsia"/>
          <w:bCs/>
          <w:color w:val="000000"/>
          <w:lang w:val="en-GB"/>
        </w:rPr>
        <w:t>，整体处于增长趋势，主要系标的公司业务规模扩张，应付票据、应付账款、合同负债大幅增加所致。</w:t>
      </w:r>
    </w:p>
    <w:p w14:paraId="7FD7B328"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lastRenderedPageBreak/>
        <w:t>报告期内各期，标的公司的息税折旧摊销前利润分别为</w:t>
      </w:r>
      <w:r>
        <w:rPr>
          <w:rFonts w:ascii="Times New Roman" w:hAnsi="Times New Roman" w:cs="Times New Roman" w:hint="eastAsia"/>
          <w:bCs/>
          <w:color w:val="000000"/>
          <w:lang w:val="en-GB"/>
        </w:rPr>
        <w:t>1,101.10</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1,612.13</w:t>
      </w:r>
      <w:r>
        <w:rPr>
          <w:rFonts w:ascii="Times New Roman" w:hAnsi="Times New Roman" w:cs="Times New Roman" w:hint="eastAsia"/>
          <w:bCs/>
          <w:color w:val="000000"/>
          <w:lang w:val="en-GB"/>
        </w:rPr>
        <w:t>万元和</w:t>
      </w:r>
      <w:r>
        <w:rPr>
          <w:rFonts w:ascii="Times New Roman" w:hAnsi="Times New Roman" w:cs="Times New Roman" w:hint="eastAsia"/>
          <w:bCs/>
          <w:color w:val="000000"/>
          <w:lang w:val="en-GB"/>
        </w:rPr>
        <w:t>3,541.36</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2</w:t>
      </w:r>
      <w:r>
        <w:rPr>
          <w:rFonts w:ascii="Times New Roman" w:hAnsi="Times New Roman" w:cs="Times New Roman"/>
          <w:bCs/>
          <w:color w:val="000000"/>
          <w:lang w:val="en-GB"/>
        </w:rPr>
        <w:t>018</w:t>
      </w:r>
      <w:r>
        <w:rPr>
          <w:rFonts w:ascii="Times New Roman" w:hAnsi="Times New Roman" w:cs="Times New Roman" w:hint="eastAsia"/>
          <w:bCs/>
          <w:color w:val="000000"/>
          <w:lang w:val="en-GB"/>
        </w:rPr>
        <w:t>年，标的公司利息费用为</w:t>
      </w:r>
      <w:r>
        <w:rPr>
          <w:rFonts w:ascii="Times New Roman" w:hAnsi="Times New Roman" w:cs="Times New Roman" w:hint="eastAsia"/>
          <w:bCs/>
          <w:color w:val="000000"/>
          <w:lang w:val="en-GB"/>
        </w:rPr>
        <w:t>0</w:t>
      </w:r>
      <w:r>
        <w:rPr>
          <w:rFonts w:ascii="Times New Roman" w:hAnsi="Times New Roman" w:cs="Times New Roman"/>
          <w:bCs/>
          <w:color w:val="000000"/>
          <w:lang w:val="en-GB"/>
        </w:rPr>
        <w:t>.05</w:t>
      </w:r>
      <w:r>
        <w:rPr>
          <w:rFonts w:ascii="Times New Roman" w:hAnsi="Times New Roman" w:cs="Times New Roman" w:hint="eastAsia"/>
          <w:bCs/>
          <w:color w:val="000000"/>
          <w:lang w:val="en-GB"/>
        </w:rPr>
        <w:t>万元，</w:t>
      </w:r>
      <w:r>
        <w:rPr>
          <w:rFonts w:ascii="Times New Roman" w:hAnsi="Times New Roman" w:cs="Times New Roman" w:hint="eastAsia"/>
          <w:bCs/>
          <w:color w:val="000000" w:themeColor="text1"/>
          <w:lang w:val="en-GB"/>
        </w:rPr>
        <w:t>2019</w:t>
      </w:r>
      <w:r>
        <w:rPr>
          <w:rFonts w:ascii="Times New Roman" w:hAnsi="Times New Roman" w:cs="Times New Roman" w:hint="eastAsia"/>
          <w:bCs/>
          <w:color w:val="000000" w:themeColor="text1"/>
          <w:lang w:val="en-GB"/>
        </w:rPr>
        <w:t>年、</w:t>
      </w:r>
      <w:r>
        <w:rPr>
          <w:rFonts w:ascii="Times New Roman" w:hAnsi="Times New Roman" w:cs="Times New Roman" w:hint="eastAsia"/>
          <w:bCs/>
          <w:color w:val="000000" w:themeColor="text1"/>
          <w:lang w:val="en-GB"/>
        </w:rPr>
        <w:t>2020</w:t>
      </w:r>
      <w:r>
        <w:rPr>
          <w:rFonts w:ascii="Times New Roman" w:hAnsi="Times New Roman" w:cs="Times New Roman" w:hint="eastAsia"/>
          <w:bCs/>
          <w:color w:val="000000" w:themeColor="text1"/>
          <w:lang w:val="en-GB"/>
        </w:rPr>
        <w:t>年，标的公司无利息费用发生，偿债能力良好。</w:t>
      </w:r>
    </w:p>
    <w:p w14:paraId="11010ECE"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报告期内各期，标的公司经营活动产生的现金流量净额分别为</w:t>
      </w:r>
      <w:r>
        <w:rPr>
          <w:rFonts w:ascii="Times New Roman" w:hAnsi="Times New Roman" w:cs="Times New Roman" w:hint="eastAsia"/>
          <w:bCs/>
          <w:color w:val="000000"/>
          <w:lang w:val="en-GB"/>
        </w:rPr>
        <w:t>1,595.26</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-702.30</w:t>
      </w:r>
      <w:r>
        <w:rPr>
          <w:rFonts w:ascii="Times New Roman" w:hAnsi="Times New Roman" w:cs="Times New Roman" w:hint="eastAsia"/>
          <w:bCs/>
          <w:color w:val="000000"/>
          <w:lang w:val="en-GB"/>
        </w:rPr>
        <w:t>万元和</w:t>
      </w:r>
      <w:r>
        <w:rPr>
          <w:rFonts w:ascii="Times New Roman" w:hAnsi="Times New Roman" w:cs="Times New Roman"/>
          <w:bCs/>
          <w:color w:val="000000"/>
          <w:lang w:val="en-GB"/>
        </w:rPr>
        <w:t>4,059.30</w:t>
      </w:r>
      <w:r>
        <w:rPr>
          <w:rFonts w:ascii="Times New Roman" w:hAnsi="Times New Roman" w:cs="Times New Roman" w:hint="eastAsia"/>
          <w:bCs/>
          <w:color w:val="000000"/>
          <w:lang w:val="en-GB"/>
        </w:rPr>
        <w:t>万元。</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年，标的公司经营活动产生的现金流量净额比</w:t>
      </w:r>
      <w:r>
        <w:rPr>
          <w:rFonts w:ascii="Times New Roman" w:hAnsi="Times New Roman" w:cs="Times New Roman" w:hint="eastAsia"/>
          <w:bCs/>
          <w:color w:val="000000"/>
          <w:lang w:val="en-GB"/>
        </w:rPr>
        <w:t>2018</w:t>
      </w:r>
      <w:r>
        <w:rPr>
          <w:rFonts w:ascii="Times New Roman" w:hAnsi="Times New Roman" w:cs="Times New Roman" w:hint="eastAsia"/>
          <w:bCs/>
          <w:color w:val="000000"/>
          <w:lang w:val="en-GB"/>
        </w:rPr>
        <w:t>年减少</w:t>
      </w:r>
      <w:r>
        <w:rPr>
          <w:rFonts w:ascii="Times New Roman" w:hAnsi="Times New Roman" w:cs="Times New Roman" w:hint="eastAsia"/>
          <w:bCs/>
          <w:color w:val="000000"/>
          <w:lang w:val="en-GB"/>
        </w:rPr>
        <w:t>2,297.56</w:t>
      </w:r>
      <w:r>
        <w:rPr>
          <w:rFonts w:ascii="Times New Roman" w:hAnsi="Times New Roman" w:cs="Times New Roman" w:hint="eastAsia"/>
          <w:bCs/>
          <w:color w:val="000000"/>
          <w:lang w:val="en-GB"/>
        </w:rPr>
        <w:t>万元，主要系标的公司销售产品及服务采取应收票据方式结算所致；</w:t>
      </w:r>
      <w:r>
        <w:rPr>
          <w:rFonts w:ascii="Times New Roman" w:hAnsi="Times New Roman" w:cs="Times New Roman" w:hint="eastAsia"/>
          <w:bCs/>
          <w:color w:val="000000"/>
          <w:lang w:val="en-GB"/>
        </w:rPr>
        <w:t>2020</w:t>
      </w:r>
      <w:r>
        <w:rPr>
          <w:rFonts w:ascii="Times New Roman" w:hAnsi="Times New Roman" w:cs="Times New Roman" w:hint="eastAsia"/>
          <w:bCs/>
          <w:color w:val="000000"/>
          <w:lang w:val="en-GB"/>
        </w:rPr>
        <w:t>年，标的公司经营活动产生的现金流量净额比</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年增加</w:t>
      </w:r>
      <w:r>
        <w:rPr>
          <w:rFonts w:ascii="Times New Roman" w:hAnsi="Times New Roman" w:cs="Times New Roman" w:hint="eastAsia"/>
          <w:bCs/>
          <w:color w:val="000000"/>
          <w:lang w:val="en-GB"/>
        </w:rPr>
        <w:t>4</w:t>
      </w:r>
      <w:r>
        <w:rPr>
          <w:rFonts w:ascii="Times New Roman" w:hAnsi="Times New Roman" w:cs="Times New Roman"/>
          <w:bCs/>
          <w:color w:val="000000"/>
          <w:lang w:val="en-GB"/>
        </w:rPr>
        <w:t>,</w:t>
      </w:r>
      <w:r>
        <w:rPr>
          <w:rFonts w:ascii="Times New Roman" w:hAnsi="Times New Roman" w:cs="Times New Roman" w:hint="eastAsia"/>
          <w:bCs/>
          <w:color w:val="000000"/>
          <w:lang w:val="en-GB"/>
        </w:rPr>
        <w:t>761.</w:t>
      </w:r>
      <w:r>
        <w:rPr>
          <w:rFonts w:ascii="Times New Roman" w:hAnsi="Times New Roman" w:cs="Times New Roman"/>
          <w:bCs/>
          <w:color w:val="000000"/>
          <w:lang w:val="en-GB"/>
        </w:rPr>
        <w:t>59</w:t>
      </w:r>
      <w:r>
        <w:rPr>
          <w:rFonts w:ascii="Times New Roman" w:hAnsi="Times New Roman" w:cs="Times New Roman" w:hint="eastAsia"/>
          <w:bCs/>
          <w:color w:val="000000"/>
          <w:lang w:val="en-GB"/>
        </w:rPr>
        <w:t>万元，主要系</w:t>
      </w:r>
      <w:r>
        <w:rPr>
          <w:rFonts w:ascii="Times New Roman" w:hAnsi="Times New Roman" w:cs="Times New Roman" w:hint="eastAsia"/>
          <w:bCs/>
          <w:color w:val="000000"/>
          <w:lang w:val="en-GB"/>
        </w:rPr>
        <w:t>2019</w:t>
      </w:r>
      <w:r>
        <w:rPr>
          <w:rFonts w:ascii="Times New Roman" w:hAnsi="Times New Roman" w:cs="Times New Roman" w:hint="eastAsia"/>
          <w:bCs/>
          <w:color w:val="000000"/>
          <w:lang w:val="en-GB"/>
        </w:rPr>
        <w:t>年销售收入持续回款以及预收客户项目款增加所致。</w:t>
      </w:r>
    </w:p>
    <w:p w14:paraId="70A19F51"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二、与同行业可比公司和行业平均水平是否存在重大差异，是否存在较高的财务风险及应对措施</w:t>
      </w:r>
    </w:p>
    <w:p w14:paraId="0369E642"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（一）与同行业可比公司和行业平均水平存在一定差异，但不存在较高的财务风险</w:t>
      </w:r>
    </w:p>
    <w:p w14:paraId="10B320F6"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报告期内，北洋天青及同行业可比上市公司的流动比率及速动比率情况如下：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54"/>
        <w:gridCol w:w="1161"/>
        <w:gridCol w:w="1260"/>
        <w:gridCol w:w="1265"/>
        <w:gridCol w:w="1161"/>
        <w:gridCol w:w="1260"/>
        <w:gridCol w:w="1261"/>
      </w:tblGrid>
      <w:tr w:rsidR="00C02929" w14:paraId="11751444" w14:textId="77777777">
        <w:trPr>
          <w:trHeight w:val="397"/>
          <w:tblHeader/>
        </w:trPr>
        <w:tc>
          <w:tcPr>
            <w:tcW w:w="677" w:type="pct"/>
            <w:vMerge w:val="restart"/>
            <w:shd w:val="clear" w:color="auto" w:fill="auto"/>
            <w:vAlign w:val="center"/>
          </w:tcPr>
          <w:p w14:paraId="43042C9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2162" w:type="pct"/>
            <w:gridSpan w:val="3"/>
            <w:vAlign w:val="center"/>
          </w:tcPr>
          <w:p w14:paraId="122EC784"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color w:val="000000"/>
                <w:sz w:val="21"/>
                <w:szCs w:val="21"/>
              </w:rPr>
              <w:t>流动比率</w:t>
            </w:r>
          </w:p>
        </w:tc>
        <w:tc>
          <w:tcPr>
            <w:tcW w:w="2160" w:type="pct"/>
            <w:gridSpan w:val="3"/>
            <w:vAlign w:val="center"/>
          </w:tcPr>
          <w:p w14:paraId="27A8CAB4"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速动比率</w:t>
            </w:r>
          </w:p>
        </w:tc>
      </w:tr>
      <w:tr w:rsidR="00C02929" w14:paraId="710FE344" w14:textId="77777777">
        <w:trPr>
          <w:trHeight w:val="397"/>
          <w:tblHeader/>
        </w:trPr>
        <w:tc>
          <w:tcPr>
            <w:tcW w:w="677" w:type="pct"/>
            <w:vMerge/>
            <w:shd w:val="clear" w:color="auto" w:fill="auto"/>
            <w:vAlign w:val="center"/>
          </w:tcPr>
          <w:p w14:paraId="53972302" w14:textId="77777777" w:rsidR="00C02929" w:rsidRDefault="00C02929">
            <w:pPr>
              <w:jc w:val="center"/>
              <w:rPr>
                <w:rFonts w:ascii="Times New Roman" w:hAnsi="Times New Roman" w:cs="Times New Roman"/>
                <w:b/>
                <w:bCs/>
                <w:sz w:val="21"/>
                <w:szCs w:val="21"/>
              </w:rPr>
            </w:pPr>
          </w:p>
        </w:tc>
        <w:tc>
          <w:tcPr>
            <w:tcW w:w="681" w:type="pct"/>
            <w:vAlign w:val="center"/>
          </w:tcPr>
          <w:p w14:paraId="6826E74E" w14:textId="77777777" w:rsidR="00C02929" w:rsidRDefault="006116D1">
            <w:pPr>
              <w:jc w:val="center"/>
              <w:rPr>
                <w:rFonts w:ascii="Times New Roman" w:hAnsi="Times New Roman" w:cs="Times New Roman"/>
                <w:b/>
                <w:bCs/>
                <w:snapToGrid w:val="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lang w:val="en-GB"/>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lang w:val="en-GB"/>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39" w:type="pct"/>
            <w:vAlign w:val="center"/>
          </w:tcPr>
          <w:p w14:paraId="37848489" w14:textId="77777777" w:rsidR="00C02929" w:rsidRDefault="006116D1">
            <w:pPr>
              <w:jc w:val="center"/>
              <w:rPr>
                <w:rFonts w:ascii="Times New Roman" w:hAnsi="Times New Roman" w:cs="Times New Roman"/>
                <w:b/>
                <w:bCs/>
                <w:snapToGrid w:val="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lang w:val="en-GB"/>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41" w:type="pct"/>
            <w:vAlign w:val="center"/>
          </w:tcPr>
          <w:p w14:paraId="71DD5681" w14:textId="77777777" w:rsidR="00C02929" w:rsidRDefault="006116D1">
            <w:pPr>
              <w:jc w:val="center"/>
              <w:rPr>
                <w:rFonts w:ascii="Times New Roman" w:hAnsi="Times New Roman" w:cs="Times New Roman"/>
                <w:b/>
                <w:bCs/>
                <w:snapToGrid w:val="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lang w:val="en-GB"/>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681" w:type="pct"/>
            <w:vAlign w:val="center"/>
          </w:tcPr>
          <w:p w14:paraId="534C91CA"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39" w:type="pct"/>
            <w:vAlign w:val="center"/>
          </w:tcPr>
          <w:p w14:paraId="3B81E732"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018F49D3"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C02929" w14:paraId="2542EB37" w14:textId="77777777">
        <w:trPr>
          <w:trHeight w:val="397"/>
        </w:trPr>
        <w:tc>
          <w:tcPr>
            <w:tcW w:w="677" w:type="pct"/>
            <w:shd w:val="clear" w:color="auto" w:fill="auto"/>
            <w:vAlign w:val="center"/>
          </w:tcPr>
          <w:p w14:paraId="098E89B7" w14:textId="77777777" w:rsidR="00C02929" w:rsidRDefault="006116D1">
            <w:pPr>
              <w:jc w:val="center"/>
              <w:rPr>
                <w:rFonts w:ascii="Times New Roman" w:hAnsi="Times New Roman" w:cs="Times New Roman"/>
                <w:color w:val="000000"/>
                <w:sz w:val="21"/>
                <w:szCs w:val="21"/>
                <w:lang w:val="en-GB"/>
              </w:rPr>
            </w:pPr>
            <w:r>
              <w:rPr>
                <w:rFonts w:ascii="Times New Roman" w:hAnsi="Times New Roman" w:cs="Times New Roman" w:hint="eastAsia"/>
                <w:snapToGrid w:val="0"/>
                <w:sz w:val="21"/>
                <w:szCs w:val="21"/>
                <w:lang w:val="en-GB"/>
              </w:rPr>
              <w:t>埃斯顿</w:t>
            </w:r>
          </w:p>
        </w:tc>
        <w:tc>
          <w:tcPr>
            <w:tcW w:w="681" w:type="pct"/>
            <w:vAlign w:val="center"/>
          </w:tcPr>
          <w:p w14:paraId="3C45E09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1.03</w:t>
            </w:r>
          </w:p>
        </w:tc>
        <w:tc>
          <w:tcPr>
            <w:tcW w:w="739" w:type="pct"/>
            <w:vAlign w:val="center"/>
          </w:tcPr>
          <w:p w14:paraId="5FC6A42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0.98</w:t>
            </w:r>
          </w:p>
        </w:tc>
        <w:tc>
          <w:tcPr>
            <w:tcW w:w="741" w:type="pct"/>
            <w:vAlign w:val="center"/>
          </w:tcPr>
          <w:p w14:paraId="6295349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1.30</w:t>
            </w:r>
          </w:p>
        </w:tc>
        <w:tc>
          <w:tcPr>
            <w:tcW w:w="681" w:type="pct"/>
            <w:vAlign w:val="center"/>
          </w:tcPr>
          <w:p w14:paraId="110EF0A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0.70</w:t>
            </w:r>
          </w:p>
        </w:tc>
        <w:tc>
          <w:tcPr>
            <w:tcW w:w="739" w:type="pct"/>
            <w:vAlign w:val="center"/>
          </w:tcPr>
          <w:p w14:paraId="0532025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0.79</w:t>
            </w:r>
          </w:p>
        </w:tc>
        <w:tc>
          <w:tcPr>
            <w:tcW w:w="739" w:type="pct"/>
            <w:vAlign w:val="center"/>
          </w:tcPr>
          <w:p w14:paraId="6A8FAF3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1.07</w:t>
            </w:r>
          </w:p>
        </w:tc>
      </w:tr>
      <w:tr w:rsidR="00C02929" w14:paraId="0528BA04" w14:textId="77777777">
        <w:trPr>
          <w:trHeight w:val="397"/>
        </w:trPr>
        <w:tc>
          <w:tcPr>
            <w:tcW w:w="677" w:type="pct"/>
            <w:shd w:val="clear" w:color="auto" w:fill="auto"/>
            <w:vAlign w:val="center"/>
          </w:tcPr>
          <w:p w14:paraId="134662F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拓斯达</w:t>
            </w:r>
          </w:p>
        </w:tc>
        <w:tc>
          <w:tcPr>
            <w:tcW w:w="681" w:type="pct"/>
            <w:vAlign w:val="center"/>
          </w:tcPr>
          <w:p w14:paraId="0E4F6A3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2.19</w:t>
            </w:r>
          </w:p>
        </w:tc>
        <w:tc>
          <w:tcPr>
            <w:tcW w:w="739" w:type="pct"/>
            <w:vAlign w:val="center"/>
          </w:tcPr>
          <w:p w14:paraId="17AB44B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2.58</w:t>
            </w:r>
          </w:p>
        </w:tc>
        <w:tc>
          <w:tcPr>
            <w:tcW w:w="741" w:type="pct"/>
            <w:vAlign w:val="center"/>
          </w:tcPr>
          <w:p w14:paraId="207897F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1.94</w:t>
            </w:r>
          </w:p>
        </w:tc>
        <w:tc>
          <w:tcPr>
            <w:tcW w:w="681" w:type="pct"/>
            <w:vAlign w:val="center"/>
          </w:tcPr>
          <w:p w14:paraId="4D6ADD5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1.68</w:t>
            </w:r>
          </w:p>
        </w:tc>
        <w:tc>
          <w:tcPr>
            <w:tcW w:w="739" w:type="pct"/>
            <w:vAlign w:val="center"/>
          </w:tcPr>
          <w:p w14:paraId="17BAEB3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2.34</w:t>
            </w:r>
          </w:p>
        </w:tc>
        <w:tc>
          <w:tcPr>
            <w:tcW w:w="739" w:type="pct"/>
            <w:vAlign w:val="center"/>
          </w:tcPr>
          <w:p w14:paraId="78DE59D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1.50</w:t>
            </w:r>
          </w:p>
        </w:tc>
      </w:tr>
      <w:tr w:rsidR="00C02929" w14:paraId="599A9A27" w14:textId="77777777">
        <w:trPr>
          <w:trHeight w:val="397"/>
        </w:trPr>
        <w:tc>
          <w:tcPr>
            <w:tcW w:w="677" w:type="pct"/>
            <w:shd w:val="clear" w:color="auto" w:fill="auto"/>
            <w:vAlign w:val="center"/>
          </w:tcPr>
          <w:p w14:paraId="0674CE2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永创智能</w:t>
            </w:r>
          </w:p>
        </w:tc>
        <w:tc>
          <w:tcPr>
            <w:tcW w:w="681" w:type="pct"/>
            <w:vAlign w:val="center"/>
          </w:tcPr>
          <w:p w14:paraId="4A153F1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w:t>
            </w:r>
          </w:p>
        </w:tc>
        <w:tc>
          <w:tcPr>
            <w:tcW w:w="739" w:type="pct"/>
            <w:vAlign w:val="center"/>
          </w:tcPr>
          <w:p w14:paraId="2C22A43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1.68</w:t>
            </w:r>
          </w:p>
        </w:tc>
        <w:tc>
          <w:tcPr>
            <w:tcW w:w="741" w:type="pct"/>
            <w:vAlign w:val="center"/>
          </w:tcPr>
          <w:p w14:paraId="480358D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1.47</w:t>
            </w:r>
          </w:p>
        </w:tc>
        <w:tc>
          <w:tcPr>
            <w:tcW w:w="681" w:type="pct"/>
            <w:vAlign w:val="center"/>
          </w:tcPr>
          <w:p w14:paraId="43739E5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0.86</w:t>
            </w:r>
          </w:p>
        </w:tc>
        <w:tc>
          <w:tcPr>
            <w:tcW w:w="739" w:type="pct"/>
            <w:vAlign w:val="center"/>
          </w:tcPr>
          <w:p w14:paraId="458E944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739" w:type="pct"/>
            <w:vAlign w:val="center"/>
          </w:tcPr>
          <w:p w14:paraId="09DC0AE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0.73</w:t>
            </w:r>
          </w:p>
        </w:tc>
      </w:tr>
      <w:tr w:rsidR="00C02929" w14:paraId="06C6F5BC" w14:textId="77777777">
        <w:trPr>
          <w:trHeight w:val="397"/>
        </w:trPr>
        <w:tc>
          <w:tcPr>
            <w:tcW w:w="677" w:type="pct"/>
            <w:shd w:val="clear" w:color="auto" w:fill="auto"/>
            <w:vAlign w:val="center"/>
          </w:tcPr>
          <w:p w14:paraId="1B18B56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快克股份</w:t>
            </w:r>
          </w:p>
        </w:tc>
        <w:tc>
          <w:tcPr>
            <w:tcW w:w="681" w:type="pct"/>
            <w:vAlign w:val="center"/>
          </w:tcPr>
          <w:p w14:paraId="1DF3946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6.21</w:t>
            </w:r>
          </w:p>
        </w:tc>
        <w:tc>
          <w:tcPr>
            <w:tcW w:w="739" w:type="pct"/>
            <w:vAlign w:val="center"/>
          </w:tcPr>
          <w:p w14:paraId="2490C31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6.70</w:t>
            </w:r>
          </w:p>
        </w:tc>
        <w:tc>
          <w:tcPr>
            <w:tcW w:w="741" w:type="pct"/>
            <w:vAlign w:val="center"/>
          </w:tcPr>
          <w:p w14:paraId="6098AEA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5.72</w:t>
            </w:r>
          </w:p>
        </w:tc>
        <w:tc>
          <w:tcPr>
            <w:tcW w:w="681" w:type="pct"/>
            <w:vAlign w:val="center"/>
          </w:tcPr>
          <w:p w14:paraId="5C722FF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5.81</w:t>
            </w:r>
          </w:p>
        </w:tc>
        <w:tc>
          <w:tcPr>
            <w:tcW w:w="739" w:type="pct"/>
            <w:vAlign w:val="center"/>
          </w:tcPr>
          <w:p w14:paraId="23A5E52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6.28</w:t>
            </w:r>
          </w:p>
        </w:tc>
        <w:tc>
          <w:tcPr>
            <w:tcW w:w="739" w:type="pct"/>
            <w:vAlign w:val="center"/>
          </w:tcPr>
          <w:p w14:paraId="2E54D04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5.24</w:t>
            </w:r>
          </w:p>
        </w:tc>
      </w:tr>
      <w:tr w:rsidR="00C02929" w14:paraId="244ABC30" w14:textId="77777777">
        <w:trPr>
          <w:trHeight w:val="397"/>
        </w:trPr>
        <w:tc>
          <w:tcPr>
            <w:tcW w:w="677" w:type="pct"/>
            <w:shd w:val="clear" w:color="auto" w:fill="auto"/>
            <w:vAlign w:val="center"/>
          </w:tcPr>
          <w:p w14:paraId="19CDDAC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机器人</w:t>
            </w:r>
          </w:p>
        </w:tc>
        <w:tc>
          <w:tcPr>
            <w:tcW w:w="681" w:type="pct"/>
            <w:vAlign w:val="center"/>
          </w:tcPr>
          <w:p w14:paraId="094EE7F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2.56</w:t>
            </w:r>
          </w:p>
        </w:tc>
        <w:tc>
          <w:tcPr>
            <w:tcW w:w="739" w:type="pct"/>
            <w:vAlign w:val="center"/>
          </w:tcPr>
          <w:p w14:paraId="33251F1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2.49</w:t>
            </w:r>
          </w:p>
        </w:tc>
        <w:tc>
          <w:tcPr>
            <w:tcW w:w="741" w:type="pct"/>
            <w:vAlign w:val="center"/>
          </w:tcPr>
          <w:p w14:paraId="32263F3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2.82</w:t>
            </w:r>
          </w:p>
        </w:tc>
        <w:tc>
          <w:tcPr>
            <w:tcW w:w="681" w:type="pct"/>
            <w:vAlign w:val="center"/>
          </w:tcPr>
          <w:p w14:paraId="00552CD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1.99</w:t>
            </w:r>
          </w:p>
        </w:tc>
        <w:tc>
          <w:tcPr>
            <w:tcW w:w="739" w:type="pct"/>
            <w:vAlign w:val="center"/>
          </w:tcPr>
          <w:p w14:paraId="5EA58BC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1.35</w:t>
            </w:r>
          </w:p>
        </w:tc>
        <w:tc>
          <w:tcPr>
            <w:tcW w:w="739" w:type="pct"/>
            <w:vAlign w:val="center"/>
          </w:tcPr>
          <w:p w14:paraId="0FF0CF3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1.67</w:t>
            </w:r>
          </w:p>
        </w:tc>
      </w:tr>
      <w:tr w:rsidR="00C02929" w14:paraId="5DF1269C" w14:textId="77777777">
        <w:trPr>
          <w:trHeight w:val="397"/>
        </w:trPr>
        <w:tc>
          <w:tcPr>
            <w:tcW w:w="677" w:type="pct"/>
            <w:shd w:val="clear" w:color="auto" w:fill="auto"/>
            <w:vAlign w:val="center"/>
          </w:tcPr>
          <w:p w14:paraId="6222484A" w14:textId="77777777" w:rsidR="00C02929" w:rsidRDefault="006116D1">
            <w:pPr>
              <w:jc w:val="center"/>
              <w:rPr>
                <w:rFonts w:ascii="Times New Roman" w:hAnsi="Times New Roman" w:cs="Times New Roman"/>
                <w:b/>
                <w:bCs/>
                <w:snapToGrid w:val="0"/>
                <w:sz w:val="21"/>
                <w:szCs w:val="21"/>
              </w:rPr>
            </w:pPr>
            <w:r>
              <w:rPr>
                <w:rFonts w:ascii="Times New Roman" w:hAnsi="Times New Roman" w:cs="Times New Roman" w:hint="eastAsia"/>
                <w:b/>
                <w:bCs/>
                <w:snapToGrid w:val="0"/>
                <w:sz w:val="21"/>
                <w:szCs w:val="21"/>
              </w:rPr>
              <w:t>可比上市公司平均值</w:t>
            </w:r>
          </w:p>
        </w:tc>
        <w:tc>
          <w:tcPr>
            <w:tcW w:w="681" w:type="pct"/>
            <w:vAlign w:val="center"/>
          </w:tcPr>
          <w:p w14:paraId="583C2A54"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2.74</w:t>
            </w:r>
          </w:p>
        </w:tc>
        <w:tc>
          <w:tcPr>
            <w:tcW w:w="739" w:type="pct"/>
            <w:vAlign w:val="center"/>
          </w:tcPr>
          <w:p w14:paraId="1730C47D"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2.89</w:t>
            </w:r>
          </w:p>
        </w:tc>
        <w:tc>
          <w:tcPr>
            <w:tcW w:w="741" w:type="pct"/>
            <w:vAlign w:val="center"/>
          </w:tcPr>
          <w:p w14:paraId="44EEBF6F"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2.65</w:t>
            </w:r>
          </w:p>
        </w:tc>
        <w:tc>
          <w:tcPr>
            <w:tcW w:w="681" w:type="pct"/>
            <w:vAlign w:val="center"/>
          </w:tcPr>
          <w:p w14:paraId="1632DEDE"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2.21</w:t>
            </w:r>
          </w:p>
        </w:tc>
        <w:tc>
          <w:tcPr>
            <w:tcW w:w="739" w:type="pct"/>
            <w:vAlign w:val="center"/>
          </w:tcPr>
          <w:p w14:paraId="389CA073"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2.35</w:t>
            </w:r>
          </w:p>
        </w:tc>
        <w:tc>
          <w:tcPr>
            <w:tcW w:w="739" w:type="pct"/>
            <w:vAlign w:val="center"/>
          </w:tcPr>
          <w:p w14:paraId="6BC41F49"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2.04</w:t>
            </w:r>
          </w:p>
        </w:tc>
      </w:tr>
      <w:tr w:rsidR="00C02929" w14:paraId="4B439CD1" w14:textId="77777777">
        <w:trPr>
          <w:trHeight w:val="397"/>
        </w:trPr>
        <w:tc>
          <w:tcPr>
            <w:tcW w:w="677" w:type="pct"/>
            <w:shd w:val="clear" w:color="auto" w:fill="auto"/>
            <w:vAlign w:val="center"/>
          </w:tcPr>
          <w:p w14:paraId="07630884"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项目</w:t>
            </w:r>
          </w:p>
        </w:tc>
        <w:tc>
          <w:tcPr>
            <w:tcW w:w="681" w:type="pct"/>
            <w:vAlign w:val="center"/>
          </w:tcPr>
          <w:p w14:paraId="7D4A5B4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289BF2B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41" w:type="pct"/>
            <w:vAlign w:val="center"/>
          </w:tcPr>
          <w:p w14:paraId="01BBBE3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681" w:type="pct"/>
            <w:vAlign w:val="center"/>
          </w:tcPr>
          <w:p w14:paraId="1A7DD68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689B742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9" w:type="pct"/>
            <w:vAlign w:val="center"/>
          </w:tcPr>
          <w:p w14:paraId="2EC4B43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C02929" w14:paraId="7C657666" w14:textId="77777777">
        <w:trPr>
          <w:trHeight w:val="397"/>
        </w:trPr>
        <w:tc>
          <w:tcPr>
            <w:tcW w:w="677" w:type="pct"/>
            <w:shd w:val="clear" w:color="auto" w:fill="auto"/>
            <w:vAlign w:val="center"/>
          </w:tcPr>
          <w:p w14:paraId="7BE3E62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北洋天青</w:t>
            </w:r>
          </w:p>
        </w:tc>
        <w:tc>
          <w:tcPr>
            <w:tcW w:w="681" w:type="pct"/>
            <w:vAlign w:val="center"/>
          </w:tcPr>
          <w:p w14:paraId="7101330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1.47</w:t>
            </w:r>
          </w:p>
        </w:tc>
        <w:tc>
          <w:tcPr>
            <w:tcW w:w="739" w:type="pct"/>
            <w:vAlign w:val="center"/>
          </w:tcPr>
          <w:p w14:paraId="561014E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2.51</w:t>
            </w:r>
          </w:p>
        </w:tc>
        <w:tc>
          <w:tcPr>
            <w:tcW w:w="741" w:type="pct"/>
            <w:vAlign w:val="center"/>
          </w:tcPr>
          <w:p w14:paraId="41FF792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2.26</w:t>
            </w:r>
          </w:p>
        </w:tc>
        <w:tc>
          <w:tcPr>
            <w:tcW w:w="681" w:type="pct"/>
            <w:vAlign w:val="center"/>
          </w:tcPr>
          <w:p w14:paraId="00D88C3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1.18</w:t>
            </w:r>
          </w:p>
        </w:tc>
        <w:tc>
          <w:tcPr>
            <w:tcW w:w="739" w:type="pct"/>
            <w:vAlign w:val="center"/>
          </w:tcPr>
          <w:p w14:paraId="0E87DDC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2.03</w:t>
            </w:r>
          </w:p>
        </w:tc>
        <w:tc>
          <w:tcPr>
            <w:tcW w:w="739" w:type="pct"/>
            <w:vAlign w:val="center"/>
          </w:tcPr>
          <w:p w14:paraId="0D5476F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1.60</w:t>
            </w:r>
          </w:p>
        </w:tc>
      </w:tr>
    </w:tbl>
    <w:p w14:paraId="5B7C2F3C"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sz w:val="21"/>
          <w:szCs w:val="21"/>
        </w:rPr>
        <w:t>注：</w:t>
      </w:r>
      <w:r>
        <w:rPr>
          <w:rFonts w:ascii="Times New Roman" w:hAnsi="Times New Roman" w:cs="Times New Roman" w:hint="eastAsia"/>
          <w:bCs/>
          <w:sz w:val="21"/>
          <w:szCs w:val="21"/>
        </w:rPr>
        <w:t>1</w:t>
      </w:r>
      <w:r>
        <w:rPr>
          <w:rFonts w:ascii="Times New Roman" w:hAnsi="Times New Roman" w:cs="Times New Roman" w:hint="eastAsia"/>
          <w:bCs/>
          <w:sz w:val="21"/>
          <w:szCs w:val="21"/>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462D02EA" w14:textId="77777777" w:rsidR="00C02929" w:rsidRDefault="006116D1">
      <w:pPr>
        <w:ind w:firstLineChars="200" w:firstLine="420"/>
        <w:jc w:val="both"/>
        <w:rPr>
          <w:rFonts w:ascii="Times New Roman" w:hAnsi="Times New Roman" w:cs="Times New Roman"/>
          <w:sz w:val="21"/>
          <w:szCs w:val="21"/>
        </w:rPr>
      </w:pPr>
      <w:r>
        <w:rPr>
          <w:rFonts w:ascii="Times New Roman" w:hAnsi="Times New Roman" w:cs="Times New Roman" w:hint="eastAsia"/>
          <w:bCs/>
          <w:sz w:val="21"/>
          <w:szCs w:val="21"/>
        </w:rPr>
        <w:t>2</w:t>
      </w:r>
      <w:r>
        <w:rPr>
          <w:rFonts w:ascii="Times New Roman" w:hAnsi="Times New Roman" w:cs="Times New Roman" w:hint="eastAsia"/>
          <w:bCs/>
          <w:sz w:val="21"/>
          <w:szCs w:val="21"/>
        </w:rPr>
        <w:t>、由于可比上市公司未公布年度数据，故采用</w:t>
      </w:r>
      <w:r>
        <w:rPr>
          <w:rFonts w:ascii="Times New Roman" w:hAnsi="Times New Roman" w:cs="Times New Roman" w:hint="eastAsia"/>
          <w:bCs/>
          <w:sz w:val="21"/>
          <w:szCs w:val="21"/>
        </w:rPr>
        <w:t>2020</w:t>
      </w:r>
      <w:r>
        <w:rPr>
          <w:rFonts w:ascii="Times New Roman" w:hAnsi="Times New Roman" w:cs="Times New Roman" w:hint="eastAsia"/>
          <w:bCs/>
          <w:sz w:val="21"/>
          <w:szCs w:val="21"/>
        </w:rPr>
        <w:t>年</w:t>
      </w:r>
      <w:r>
        <w:rPr>
          <w:rFonts w:ascii="Times New Roman" w:hAnsi="Times New Roman" w:cs="Times New Roman" w:hint="eastAsia"/>
          <w:bCs/>
          <w:sz w:val="21"/>
          <w:szCs w:val="21"/>
        </w:rPr>
        <w:t>9</w:t>
      </w:r>
      <w:r>
        <w:rPr>
          <w:rFonts w:ascii="Times New Roman" w:hAnsi="Times New Roman" w:cs="Times New Roman" w:hint="eastAsia"/>
          <w:bCs/>
          <w:sz w:val="21"/>
          <w:szCs w:val="21"/>
        </w:rPr>
        <w:t>月</w:t>
      </w:r>
      <w:r>
        <w:rPr>
          <w:rFonts w:ascii="Times New Roman" w:hAnsi="Times New Roman" w:cs="Times New Roman" w:hint="eastAsia"/>
          <w:bCs/>
          <w:sz w:val="21"/>
          <w:szCs w:val="21"/>
        </w:rPr>
        <w:t>30</w:t>
      </w:r>
      <w:r>
        <w:rPr>
          <w:rFonts w:ascii="Times New Roman" w:hAnsi="Times New Roman" w:cs="Times New Roman" w:hint="eastAsia"/>
          <w:bCs/>
          <w:sz w:val="21"/>
          <w:szCs w:val="21"/>
        </w:rPr>
        <w:t>日数据进行分析。</w:t>
      </w:r>
    </w:p>
    <w:p w14:paraId="47D596FC"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报告期内，北洋天青及同行业可比上市公司的偿债能力水平如下：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35"/>
        <w:gridCol w:w="1139"/>
        <w:gridCol w:w="1241"/>
        <w:gridCol w:w="1241"/>
        <w:gridCol w:w="1256"/>
        <w:gridCol w:w="1256"/>
        <w:gridCol w:w="1254"/>
      </w:tblGrid>
      <w:tr w:rsidR="00C02929" w14:paraId="50778F98" w14:textId="77777777">
        <w:trPr>
          <w:trHeight w:val="397"/>
          <w:tblHeader/>
        </w:trPr>
        <w:tc>
          <w:tcPr>
            <w:tcW w:w="666" w:type="pct"/>
            <w:vMerge w:val="restart"/>
            <w:shd w:val="clear" w:color="auto" w:fill="auto"/>
            <w:vAlign w:val="center"/>
          </w:tcPr>
          <w:p w14:paraId="680E226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2124" w:type="pct"/>
            <w:gridSpan w:val="3"/>
            <w:vAlign w:val="center"/>
          </w:tcPr>
          <w:p w14:paraId="014BAA7C" w14:textId="77777777" w:rsidR="00C02929" w:rsidRDefault="006116D1">
            <w:pPr>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资产负债率（</w:t>
            </w:r>
            <w:r>
              <w:rPr>
                <w:rFonts w:ascii="Times New Roman" w:hAnsi="Times New Roman" w:cs="Times New Roman" w:hint="eastAsia"/>
                <w:b/>
                <w:color w:val="000000"/>
                <w:sz w:val="21"/>
                <w:szCs w:val="21"/>
              </w:rPr>
              <w:t>%</w:t>
            </w:r>
            <w:r>
              <w:rPr>
                <w:rFonts w:ascii="Times New Roman" w:hAnsi="Times New Roman" w:cs="Times New Roman" w:hint="eastAsia"/>
                <w:b/>
                <w:color w:val="000000"/>
                <w:sz w:val="21"/>
                <w:szCs w:val="21"/>
              </w:rPr>
              <w:t>）</w:t>
            </w:r>
          </w:p>
        </w:tc>
        <w:tc>
          <w:tcPr>
            <w:tcW w:w="2210" w:type="pct"/>
            <w:gridSpan w:val="3"/>
            <w:vAlign w:val="center"/>
          </w:tcPr>
          <w:p w14:paraId="4ED80653"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color w:val="000000"/>
                <w:sz w:val="21"/>
                <w:szCs w:val="21"/>
              </w:rPr>
              <w:t>流动负债（万元）</w:t>
            </w:r>
          </w:p>
        </w:tc>
      </w:tr>
      <w:tr w:rsidR="00C02929" w14:paraId="2666A6B8" w14:textId="77777777">
        <w:trPr>
          <w:trHeight w:val="397"/>
          <w:tblHeader/>
        </w:trPr>
        <w:tc>
          <w:tcPr>
            <w:tcW w:w="666" w:type="pct"/>
            <w:vMerge/>
            <w:shd w:val="clear" w:color="auto" w:fill="auto"/>
            <w:vAlign w:val="center"/>
          </w:tcPr>
          <w:p w14:paraId="15CC9FAD" w14:textId="77777777" w:rsidR="00C02929" w:rsidRDefault="00C02929">
            <w:pPr>
              <w:jc w:val="center"/>
              <w:rPr>
                <w:rFonts w:ascii="Times New Roman" w:hAnsi="Times New Roman" w:cs="Times New Roman"/>
                <w:b/>
                <w:bCs/>
                <w:sz w:val="21"/>
                <w:szCs w:val="21"/>
              </w:rPr>
            </w:pPr>
          </w:p>
        </w:tc>
        <w:tc>
          <w:tcPr>
            <w:tcW w:w="668" w:type="pct"/>
            <w:vAlign w:val="center"/>
          </w:tcPr>
          <w:p w14:paraId="66166113"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28" w:type="pct"/>
            <w:vAlign w:val="center"/>
          </w:tcPr>
          <w:p w14:paraId="0396FCB5"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lang w:val="en-GB"/>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28" w:type="pct"/>
            <w:vAlign w:val="center"/>
          </w:tcPr>
          <w:p w14:paraId="52696752"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7" w:type="pct"/>
            <w:vAlign w:val="center"/>
          </w:tcPr>
          <w:p w14:paraId="30AD9E24"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9</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30</w:t>
            </w:r>
            <w:r>
              <w:rPr>
                <w:rFonts w:ascii="Times New Roman" w:hAnsi="Times New Roman" w:cs="Times New Roman" w:hint="eastAsia"/>
                <w:b/>
                <w:bCs/>
                <w:snapToGrid w:val="0"/>
                <w:sz w:val="21"/>
                <w:szCs w:val="21"/>
                <w:lang w:val="en-GB"/>
              </w:rPr>
              <w:t>日</w:t>
            </w:r>
          </w:p>
        </w:tc>
        <w:tc>
          <w:tcPr>
            <w:tcW w:w="737" w:type="pct"/>
            <w:vAlign w:val="center"/>
          </w:tcPr>
          <w:p w14:paraId="0F988D65"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6" w:type="pct"/>
            <w:vAlign w:val="center"/>
          </w:tcPr>
          <w:p w14:paraId="6A7505A6"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C02929" w14:paraId="7A56D44B" w14:textId="77777777">
        <w:trPr>
          <w:trHeight w:val="397"/>
        </w:trPr>
        <w:tc>
          <w:tcPr>
            <w:tcW w:w="666" w:type="pct"/>
            <w:shd w:val="clear" w:color="auto" w:fill="auto"/>
            <w:vAlign w:val="center"/>
          </w:tcPr>
          <w:p w14:paraId="4B16AC85" w14:textId="77777777" w:rsidR="00C02929" w:rsidRDefault="006116D1">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埃斯顿</w:t>
            </w:r>
          </w:p>
        </w:tc>
        <w:tc>
          <w:tcPr>
            <w:tcW w:w="668" w:type="pct"/>
            <w:vAlign w:val="center"/>
          </w:tcPr>
          <w:p w14:paraId="3FE555B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66.62</w:t>
            </w:r>
          </w:p>
        </w:tc>
        <w:tc>
          <w:tcPr>
            <w:tcW w:w="728" w:type="pct"/>
            <w:vAlign w:val="center"/>
          </w:tcPr>
          <w:p w14:paraId="5C1525F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54.61</w:t>
            </w:r>
          </w:p>
        </w:tc>
        <w:tc>
          <w:tcPr>
            <w:tcW w:w="728" w:type="pct"/>
            <w:vAlign w:val="center"/>
          </w:tcPr>
          <w:p w14:paraId="325D62B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52.61</w:t>
            </w:r>
          </w:p>
        </w:tc>
        <w:tc>
          <w:tcPr>
            <w:tcW w:w="737" w:type="pct"/>
            <w:vAlign w:val="center"/>
          </w:tcPr>
          <w:p w14:paraId="43A01FD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242,928.58</w:t>
            </w:r>
          </w:p>
        </w:tc>
        <w:tc>
          <w:tcPr>
            <w:tcW w:w="737" w:type="pct"/>
            <w:vAlign w:val="center"/>
          </w:tcPr>
          <w:p w14:paraId="70F1E7B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170,950.63</w:t>
            </w:r>
          </w:p>
        </w:tc>
        <w:tc>
          <w:tcPr>
            <w:tcW w:w="736" w:type="pct"/>
            <w:vAlign w:val="center"/>
          </w:tcPr>
          <w:p w14:paraId="0B52962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157,633.28</w:t>
            </w:r>
          </w:p>
        </w:tc>
      </w:tr>
      <w:tr w:rsidR="00C02929" w14:paraId="0EBF1A40" w14:textId="77777777">
        <w:trPr>
          <w:trHeight w:val="397"/>
        </w:trPr>
        <w:tc>
          <w:tcPr>
            <w:tcW w:w="666" w:type="pct"/>
            <w:shd w:val="clear" w:color="auto" w:fill="auto"/>
            <w:vAlign w:val="center"/>
          </w:tcPr>
          <w:p w14:paraId="701B2CB1" w14:textId="77777777" w:rsidR="00C02929" w:rsidRDefault="006116D1">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拓斯达</w:t>
            </w:r>
          </w:p>
        </w:tc>
        <w:tc>
          <w:tcPr>
            <w:tcW w:w="668" w:type="pct"/>
            <w:vAlign w:val="center"/>
          </w:tcPr>
          <w:p w14:paraId="5D8E6E6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43.26</w:t>
            </w:r>
          </w:p>
        </w:tc>
        <w:tc>
          <w:tcPr>
            <w:tcW w:w="728" w:type="pct"/>
            <w:vAlign w:val="center"/>
          </w:tcPr>
          <w:p w14:paraId="3C2F034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37.19</w:t>
            </w:r>
          </w:p>
        </w:tc>
        <w:tc>
          <w:tcPr>
            <w:tcW w:w="728" w:type="pct"/>
            <w:vAlign w:val="center"/>
          </w:tcPr>
          <w:p w14:paraId="729D465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46.56</w:t>
            </w:r>
          </w:p>
        </w:tc>
        <w:tc>
          <w:tcPr>
            <w:tcW w:w="737" w:type="pct"/>
            <w:vAlign w:val="center"/>
          </w:tcPr>
          <w:p w14:paraId="16A003A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150,421.99</w:t>
            </w:r>
          </w:p>
        </w:tc>
        <w:tc>
          <w:tcPr>
            <w:tcW w:w="737" w:type="pct"/>
            <w:vAlign w:val="center"/>
          </w:tcPr>
          <w:p w14:paraId="13B99A6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86,007.92</w:t>
            </w:r>
          </w:p>
        </w:tc>
        <w:tc>
          <w:tcPr>
            <w:tcW w:w="736" w:type="pct"/>
            <w:vAlign w:val="center"/>
          </w:tcPr>
          <w:p w14:paraId="52652EB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65,740.97</w:t>
            </w:r>
          </w:p>
        </w:tc>
      </w:tr>
      <w:tr w:rsidR="00C02929" w14:paraId="4FAF1082" w14:textId="77777777">
        <w:trPr>
          <w:trHeight w:val="397"/>
        </w:trPr>
        <w:tc>
          <w:tcPr>
            <w:tcW w:w="666" w:type="pct"/>
            <w:shd w:val="clear" w:color="auto" w:fill="auto"/>
            <w:vAlign w:val="center"/>
          </w:tcPr>
          <w:p w14:paraId="545EB9F4" w14:textId="77777777" w:rsidR="00C02929" w:rsidRDefault="006116D1">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永创智能</w:t>
            </w:r>
          </w:p>
        </w:tc>
        <w:tc>
          <w:tcPr>
            <w:tcW w:w="668" w:type="pct"/>
            <w:vAlign w:val="center"/>
          </w:tcPr>
          <w:p w14:paraId="5110A20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56.46</w:t>
            </w:r>
          </w:p>
        </w:tc>
        <w:tc>
          <w:tcPr>
            <w:tcW w:w="728" w:type="pct"/>
            <w:vAlign w:val="center"/>
          </w:tcPr>
          <w:p w14:paraId="0624BEF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59.06</w:t>
            </w:r>
          </w:p>
        </w:tc>
        <w:tc>
          <w:tcPr>
            <w:tcW w:w="728" w:type="pct"/>
            <w:vAlign w:val="center"/>
          </w:tcPr>
          <w:p w14:paraId="4ABEA3B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55.29</w:t>
            </w:r>
          </w:p>
        </w:tc>
        <w:tc>
          <w:tcPr>
            <w:tcW w:w="737" w:type="pct"/>
            <w:vAlign w:val="center"/>
          </w:tcPr>
          <w:p w14:paraId="0E9C17E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159,125.86</w:t>
            </w:r>
          </w:p>
        </w:tc>
        <w:tc>
          <w:tcPr>
            <w:tcW w:w="737" w:type="pct"/>
            <w:vAlign w:val="center"/>
          </w:tcPr>
          <w:p w14:paraId="154D99A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164,926.47</w:t>
            </w:r>
          </w:p>
        </w:tc>
        <w:tc>
          <w:tcPr>
            <w:tcW w:w="736" w:type="pct"/>
            <w:vAlign w:val="center"/>
          </w:tcPr>
          <w:p w14:paraId="5D0CD0B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147,734.40</w:t>
            </w:r>
          </w:p>
        </w:tc>
      </w:tr>
      <w:tr w:rsidR="00C02929" w14:paraId="0F7A21FB" w14:textId="77777777">
        <w:trPr>
          <w:trHeight w:val="397"/>
        </w:trPr>
        <w:tc>
          <w:tcPr>
            <w:tcW w:w="666" w:type="pct"/>
            <w:shd w:val="clear" w:color="auto" w:fill="auto"/>
            <w:vAlign w:val="center"/>
          </w:tcPr>
          <w:p w14:paraId="0A192EE3" w14:textId="77777777" w:rsidR="00C02929" w:rsidRDefault="006116D1">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快克股份</w:t>
            </w:r>
          </w:p>
        </w:tc>
        <w:tc>
          <w:tcPr>
            <w:tcW w:w="668" w:type="pct"/>
            <w:vAlign w:val="center"/>
          </w:tcPr>
          <w:p w14:paraId="03285DE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15.06</w:t>
            </w:r>
          </w:p>
        </w:tc>
        <w:tc>
          <w:tcPr>
            <w:tcW w:w="728" w:type="pct"/>
            <w:vAlign w:val="center"/>
          </w:tcPr>
          <w:p w14:paraId="3EA763E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14.19</w:t>
            </w:r>
          </w:p>
        </w:tc>
        <w:tc>
          <w:tcPr>
            <w:tcW w:w="728" w:type="pct"/>
            <w:vAlign w:val="center"/>
          </w:tcPr>
          <w:p w14:paraId="36B0477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16.24</w:t>
            </w:r>
          </w:p>
        </w:tc>
        <w:tc>
          <w:tcPr>
            <w:tcW w:w="737" w:type="pct"/>
            <w:vAlign w:val="center"/>
          </w:tcPr>
          <w:p w14:paraId="23B3B4E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17,825.80</w:t>
            </w:r>
          </w:p>
        </w:tc>
        <w:tc>
          <w:tcPr>
            <w:tcW w:w="737" w:type="pct"/>
            <w:vAlign w:val="center"/>
          </w:tcPr>
          <w:p w14:paraId="403076C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14,907.30</w:t>
            </w:r>
          </w:p>
        </w:tc>
        <w:tc>
          <w:tcPr>
            <w:tcW w:w="736" w:type="pct"/>
            <w:vAlign w:val="center"/>
          </w:tcPr>
          <w:p w14:paraId="1E49C7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15,466.35</w:t>
            </w:r>
          </w:p>
        </w:tc>
      </w:tr>
      <w:tr w:rsidR="00C02929" w14:paraId="190BED31" w14:textId="77777777">
        <w:trPr>
          <w:trHeight w:val="397"/>
        </w:trPr>
        <w:tc>
          <w:tcPr>
            <w:tcW w:w="666" w:type="pct"/>
            <w:shd w:val="clear" w:color="auto" w:fill="auto"/>
            <w:vAlign w:val="center"/>
          </w:tcPr>
          <w:p w14:paraId="5B7649E9" w14:textId="77777777" w:rsidR="00C02929" w:rsidRDefault="006116D1">
            <w:pPr>
              <w:jc w:val="cente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机器人</w:t>
            </w:r>
          </w:p>
        </w:tc>
        <w:tc>
          <w:tcPr>
            <w:tcW w:w="668" w:type="pct"/>
            <w:vAlign w:val="center"/>
          </w:tcPr>
          <w:p w14:paraId="63FE648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37.31</w:t>
            </w:r>
          </w:p>
        </w:tc>
        <w:tc>
          <w:tcPr>
            <w:tcW w:w="728" w:type="pct"/>
            <w:vAlign w:val="center"/>
          </w:tcPr>
          <w:p w14:paraId="31639D0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33.89</w:t>
            </w:r>
          </w:p>
        </w:tc>
        <w:tc>
          <w:tcPr>
            <w:tcW w:w="728" w:type="pct"/>
            <w:vAlign w:val="center"/>
          </w:tcPr>
          <w:p w14:paraId="558C1DC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33.73</w:t>
            </w:r>
          </w:p>
        </w:tc>
        <w:tc>
          <w:tcPr>
            <w:tcW w:w="737" w:type="pct"/>
            <w:vAlign w:val="center"/>
          </w:tcPr>
          <w:p w14:paraId="7B5EA43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288,891.66</w:t>
            </w:r>
          </w:p>
        </w:tc>
        <w:tc>
          <w:tcPr>
            <w:tcW w:w="737" w:type="pct"/>
            <w:vAlign w:val="center"/>
          </w:tcPr>
          <w:p w14:paraId="78CEE52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272,483.15</w:t>
            </w:r>
          </w:p>
        </w:tc>
        <w:tc>
          <w:tcPr>
            <w:tcW w:w="736" w:type="pct"/>
            <w:vAlign w:val="center"/>
          </w:tcPr>
          <w:p w14:paraId="3439660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246,074.90</w:t>
            </w:r>
          </w:p>
        </w:tc>
      </w:tr>
      <w:tr w:rsidR="00C02929" w14:paraId="3E643C5F" w14:textId="77777777">
        <w:trPr>
          <w:trHeight w:val="397"/>
        </w:trPr>
        <w:tc>
          <w:tcPr>
            <w:tcW w:w="666" w:type="pct"/>
            <w:shd w:val="clear" w:color="auto" w:fill="auto"/>
            <w:vAlign w:val="center"/>
          </w:tcPr>
          <w:p w14:paraId="799731AF" w14:textId="77777777" w:rsidR="00C02929" w:rsidRDefault="006116D1">
            <w:pPr>
              <w:jc w:val="center"/>
              <w:rPr>
                <w:rFonts w:ascii="Times New Roman" w:hAnsi="Times New Roman" w:cs="Times New Roman"/>
                <w:b/>
                <w:bCs/>
                <w:snapToGrid w:val="0"/>
                <w:sz w:val="21"/>
                <w:szCs w:val="21"/>
              </w:rPr>
            </w:pPr>
            <w:r>
              <w:rPr>
                <w:rFonts w:ascii="Times New Roman" w:hAnsi="Times New Roman" w:cs="Times New Roman" w:hint="eastAsia"/>
                <w:b/>
                <w:bCs/>
                <w:snapToGrid w:val="0"/>
                <w:sz w:val="21"/>
                <w:szCs w:val="21"/>
              </w:rPr>
              <w:t>可比上市公司平均值</w:t>
            </w:r>
          </w:p>
        </w:tc>
        <w:tc>
          <w:tcPr>
            <w:tcW w:w="668" w:type="pct"/>
            <w:vAlign w:val="center"/>
          </w:tcPr>
          <w:p w14:paraId="385A1251"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43.74</w:t>
            </w:r>
          </w:p>
        </w:tc>
        <w:tc>
          <w:tcPr>
            <w:tcW w:w="728" w:type="pct"/>
            <w:vAlign w:val="center"/>
          </w:tcPr>
          <w:p w14:paraId="727D7E1F"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39.79</w:t>
            </w:r>
          </w:p>
        </w:tc>
        <w:tc>
          <w:tcPr>
            <w:tcW w:w="728" w:type="pct"/>
            <w:vAlign w:val="center"/>
          </w:tcPr>
          <w:p w14:paraId="535C5D27"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40.89</w:t>
            </w:r>
          </w:p>
        </w:tc>
        <w:tc>
          <w:tcPr>
            <w:tcW w:w="737" w:type="pct"/>
            <w:vAlign w:val="center"/>
          </w:tcPr>
          <w:p w14:paraId="196E7E9B"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171,838.78</w:t>
            </w:r>
          </w:p>
        </w:tc>
        <w:tc>
          <w:tcPr>
            <w:tcW w:w="737" w:type="pct"/>
            <w:vAlign w:val="center"/>
          </w:tcPr>
          <w:p w14:paraId="3EFBC731"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141,855.09</w:t>
            </w:r>
          </w:p>
        </w:tc>
        <w:tc>
          <w:tcPr>
            <w:tcW w:w="736" w:type="pct"/>
            <w:vAlign w:val="center"/>
          </w:tcPr>
          <w:p w14:paraId="5C157632"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126,529.98</w:t>
            </w:r>
          </w:p>
        </w:tc>
      </w:tr>
      <w:tr w:rsidR="00C02929" w14:paraId="231949C3" w14:textId="77777777">
        <w:trPr>
          <w:trHeight w:val="397"/>
        </w:trPr>
        <w:tc>
          <w:tcPr>
            <w:tcW w:w="666" w:type="pct"/>
            <w:shd w:val="clear" w:color="auto" w:fill="auto"/>
            <w:vAlign w:val="center"/>
          </w:tcPr>
          <w:p w14:paraId="266CEB0B" w14:textId="77777777" w:rsidR="00C02929" w:rsidRDefault="006116D1">
            <w:pPr>
              <w:jc w:val="center"/>
              <w:rPr>
                <w:rFonts w:ascii="Times New Roman" w:hAnsi="Times New Roman" w:cs="Times New Roman"/>
                <w:snapToGrid w:val="0"/>
                <w:sz w:val="21"/>
                <w:szCs w:val="21"/>
                <w:lang w:val="en-GB"/>
              </w:rPr>
            </w:pPr>
            <w:r>
              <w:rPr>
                <w:rFonts w:ascii="Times New Roman" w:hAnsi="Times New Roman" w:cs="Times New Roman" w:hint="eastAsia"/>
                <w:b/>
                <w:bCs/>
                <w:snapToGrid w:val="0"/>
                <w:sz w:val="21"/>
                <w:szCs w:val="21"/>
                <w:lang w:val="en-GB"/>
              </w:rPr>
              <w:t>项目</w:t>
            </w:r>
          </w:p>
        </w:tc>
        <w:tc>
          <w:tcPr>
            <w:tcW w:w="668" w:type="pct"/>
            <w:vAlign w:val="center"/>
          </w:tcPr>
          <w:p w14:paraId="3B81D95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28" w:type="pct"/>
            <w:vAlign w:val="center"/>
          </w:tcPr>
          <w:p w14:paraId="7F7CB2D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28" w:type="pct"/>
            <w:vAlign w:val="center"/>
          </w:tcPr>
          <w:p w14:paraId="6DE64EE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7" w:type="pct"/>
            <w:vAlign w:val="center"/>
          </w:tcPr>
          <w:p w14:paraId="376CE6F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7" w:type="pct"/>
            <w:vAlign w:val="center"/>
          </w:tcPr>
          <w:p w14:paraId="67E5EB8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2019</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c>
          <w:tcPr>
            <w:tcW w:w="736" w:type="pct"/>
            <w:vAlign w:val="center"/>
          </w:tcPr>
          <w:p w14:paraId="7A8A34D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b/>
                <w:bCs/>
                <w:snapToGrid w:val="0"/>
                <w:sz w:val="21"/>
                <w:szCs w:val="21"/>
                <w:lang w:val="en-GB"/>
              </w:rPr>
              <w:t>2018</w:t>
            </w:r>
            <w:r>
              <w:rPr>
                <w:rFonts w:ascii="Times New Roman" w:hAnsi="Times New Roman" w:cs="Times New Roman" w:hint="eastAsia"/>
                <w:b/>
                <w:bCs/>
                <w:snapToGrid w:val="0"/>
                <w:sz w:val="21"/>
                <w:szCs w:val="21"/>
              </w:rPr>
              <w:t>年</w:t>
            </w:r>
            <w:r>
              <w:rPr>
                <w:rFonts w:ascii="Times New Roman" w:hAnsi="Times New Roman" w:cs="Times New Roman"/>
                <w:b/>
                <w:bCs/>
                <w:snapToGrid w:val="0"/>
                <w:sz w:val="21"/>
                <w:szCs w:val="21"/>
                <w:lang w:val="en-GB"/>
              </w:rPr>
              <w:t>12</w:t>
            </w:r>
            <w:r>
              <w:rPr>
                <w:rFonts w:ascii="Times New Roman" w:hAnsi="Times New Roman" w:cs="Times New Roman" w:hint="eastAsia"/>
                <w:b/>
                <w:bCs/>
                <w:snapToGrid w:val="0"/>
                <w:sz w:val="21"/>
                <w:szCs w:val="21"/>
              </w:rPr>
              <w:t>月</w:t>
            </w:r>
            <w:r>
              <w:rPr>
                <w:rFonts w:ascii="Times New Roman" w:hAnsi="Times New Roman" w:cs="Times New Roman"/>
                <w:b/>
                <w:bCs/>
                <w:snapToGrid w:val="0"/>
                <w:sz w:val="21"/>
                <w:szCs w:val="21"/>
                <w:lang w:val="en-GB"/>
              </w:rPr>
              <w:t>31</w:t>
            </w:r>
            <w:r>
              <w:rPr>
                <w:rFonts w:ascii="Times New Roman" w:hAnsi="Times New Roman" w:cs="Times New Roman" w:hint="eastAsia"/>
                <w:b/>
                <w:bCs/>
                <w:snapToGrid w:val="0"/>
                <w:sz w:val="21"/>
                <w:szCs w:val="21"/>
                <w:lang w:val="en-GB"/>
              </w:rPr>
              <w:t>日</w:t>
            </w:r>
          </w:p>
        </w:tc>
      </w:tr>
      <w:tr w:rsidR="00C02929" w14:paraId="512D8322" w14:textId="77777777">
        <w:trPr>
          <w:trHeight w:val="397"/>
        </w:trPr>
        <w:tc>
          <w:tcPr>
            <w:tcW w:w="666" w:type="pct"/>
            <w:shd w:val="clear" w:color="auto" w:fill="auto"/>
            <w:vAlign w:val="center"/>
          </w:tcPr>
          <w:p w14:paraId="1C2F7FD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snapToGrid w:val="0"/>
                <w:sz w:val="21"/>
                <w:szCs w:val="21"/>
                <w:lang w:val="en-GB"/>
              </w:rPr>
              <w:t>北洋天青</w:t>
            </w:r>
          </w:p>
        </w:tc>
        <w:tc>
          <w:tcPr>
            <w:tcW w:w="668" w:type="pct"/>
            <w:vAlign w:val="center"/>
          </w:tcPr>
          <w:p w14:paraId="6548A90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67.78</w:t>
            </w:r>
          </w:p>
        </w:tc>
        <w:tc>
          <w:tcPr>
            <w:tcW w:w="728" w:type="pct"/>
            <w:vAlign w:val="center"/>
          </w:tcPr>
          <w:p w14:paraId="2F88914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39.31</w:t>
            </w:r>
          </w:p>
        </w:tc>
        <w:tc>
          <w:tcPr>
            <w:tcW w:w="728" w:type="pct"/>
            <w:vAlign w:val="center"/>
          </w:tcPr>
          <w:p w14:paraId="2539818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43.41</w:t>
            </w:r>
          </w:p>
        </w:tc>
        <w:tc>
          <w:tcPr>
            <w:tcW w:w="737" w:type="pct"/>
            <w:vAlign w:val="center"/>
          </w:tcPr>
          <w:p w14:paraId="2A2A9E6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w:t>
            </w:r>
            <w:r>
              <w:rPr>
                <w:rFonts w:ascii="Times New Roman" w:hAnsi="Times New Roman" w:cs="Times New Roman" w:hint="eastAsia"/>
                <w:color w:val="000000"/>
                <w:sz w:val="21"/>
                <w:szCs w:val="21"/>
              </w:rPr>
              <w:t>,</w:t>
            </w:r>
            <w:r>
              <w:rPr>
                <w:rFonts w:ascii="Times New Roman" w:hAnsi="Times New Roman" w:cs="Times New Roman"/>
                <w:color w:val="000000"/>
                <w:sz w:val="21"/>
                <w:szCs w:val="21"/>
              </w:rPr>
              <w:t>169.05</w:t>
            </w:r>
          </w:p>
        </w:tc>
        <w:tc>
          <w:tcPr>
            <w:tcW w:w="737" w:type="pct"/>
            <w:vAlign w:val="center"/>
          </w:tcPr>
          <w:p w14:paraId="400C0CD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3,638.10</w:t>
            </w:r>
          </w:p>
        </w:tc>
        <w:tc>
          <w:tcPr>
            <w:tcW w:w="736" w:type="pct"/>
            <w:vAlign w:val="center"/>
          </w:tcPr>
          <w:p w14:paraId="2955871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3,405.11</w:t>
            </w:r>
          </w:p>
        </w:tc>
      </w:tr>
    </w:tbl>
    <w:p w14:paraId="5A0C8525"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sz w:val="21"/>
          <w:szCs w:val="21"/>
        </w:rPr>
        <w:t>注：</w:t>
      </w:r>
      <w:r>
        <w:rPr>
          <w:rFonts w:ascii="Times New Roman" w:hAnsi="Times New Roman" w:cs="Times New Roman" w:hint="eastAsia"/>
          <w:bCs/>
          <w:sz w:val="21"/>
          <w:szCs w:val="21"/>
        </w:rPr>
        <w:t>1</w:t>
      </w:r>
      <w:r>
        <w:rPr>
          <w:rFonts w:ascii="Times New Roman" w:hAnsi="Times New Roman" w:cs="Times New Roman" w:hint="eastAsia"/>
          <w:bCs/>
          <w:sz w:val="21"/>
          <w:szCs w:val="21"/>
        </w:rPr>
        <w:t>、</w:t>
      </w: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2D5CB575" w14:textId="77777777" w:rsidR="00C02929" w:rsidRDefault="006116D1">
      <w:pPr>
        <w:ind w:firstLineChars="200" w:firstLine="420"/>
        <w:jc w:val="both"/>
        <w:rPr>
          <w:rFonts w:ascii="Times New Roman" w:hAnsi="Times New Roman" w:cs="Times New Roman"/>
          <w:sz w:val="21"/>
          <w:szCs w:val="21"/>
        </w:rPr>
      </w:pPr>
      <w:r>
        <w:rPr>
          <w:rFonts w:ascii="Times New Roman" w:hAnsi="Times New Roman" w:cs="Times New Roman" w:hint="eastAsia"/>
          <w:bCs/>
          <w:sz w:val="21"/>
          <w:szCs w:val="21"/>
        </w:rPr>
        <w:t>2</w:t>
      </w:r>
      <w:r>
        <w:rPr>
          <w:rFonts w:ascii="Times New Roman" w:hAnsi="Times New Roman" w:cs="Times New Roman" w:hint="eastAsia"/>
          <w:bCs/>
          <w:sz w:val="21"/>
          <w:szCs w:val="21"/>
        </w:rPr>
        <w:t>、由于可比上市公司未公布年度数据，故采用</w:t>
      </w:r>
      <w:r>
        <w:rPr>
          <w:rFonts w:ascii="Times New Roman" w:hAnsi="Times New Roman" w:cs="Times New Roman" w:hint="eastAsia"/>
          <w:bCs/>
          <w:sz w:val="21"/>
          <w:szCs w:val="21"/>
        </w:rPr>
        <w:t>2020</w:t>
      </w:r>
      <w:r>
        <w:rPr>
          <w:rFonts w:ascii="Times New Roman" w:hAnsi="Times New Roman" w:cs="Times New Roman" w:hint="eastAsia"/>
          <w:bCs/>
          <w:sz w:val="21"/>
          <w:szCs w:val="21"/>
        </w:rPr>
        <w:t>年</w:t>
      </w:r>
      <w:r>
        <w:rPr>
          <w:rFonts w:ascii="Times New Roman" w:hAnsi="Times New Roman" w:cs="Times New Roman" w:hint="eastAsia"/>
          <w:bCs/>
          <w:sz w:val="21"/>
          <w:szCs w:val="21"/>
        </w:rPr>
        <w:t>9</w:t>
      </w:r>
      <w:r>
        <w:rPr>
          <w:rFonts w:ascii="Times New Roman" w:hAnsi="Times New Roman" w:cs="Times New Roman" w:hint="eastAsia"/>
          <w:bCs/>
          <w:sz w:val="21"/>
          <w:szCs w:val="21"/>
        </w:rPr>
        <w:t>月</w:t>
      </w:r>
      <w:r>
        <w:rPr>
          <w:rFonts w:ascii="Times New Roman" w:hAnsi="Times New Roman" w:cs="Times New Roman" w:hint="eastAsia"/>
          <w:bCs/>
          <w:sz w:val="21"/>
          <w:szCs w:val="21"/>
        </w:rPr>
        <w:t>30</w:t>
      </w:r>
      <w:r>
        <w:rPr>
          <w:rFonts w:ascii="Times New Roman" w:hAnsi="Times New Roman" w:cs="Times New Roman" w:hint="eastAsia"/>
          <w:bCs/>
          <w:sz w:val="21"/>
          <w:szCs w:val="21"/>
        </w:rPr>
        <w:t>日数据进行分析。</w:t>
      </w:r>
    </w:p>
    <w:p w14:paraId="58AA1B40" w14:textId="77777777" w:rsidR="00C02929" w:rsidRDefault="006116D1">
      <w:pPr>
        <w:spacing w:beforeLines="50" w:before="156" w:line="360" w:lineRule="auto"/>
        <w:ind w:firstLineChars="200" w:firstLine="480"/>
        <w:jc w:val="both"/>
        <w:rPr>
          <w:rFonts w:ascii="Times New Roman" w:hAnsi="Times New Roman" w:cs="Times New Roman"/>
          <w:bCs/>
          <w:color w:val="000000"/>
          <w:lang w:val="en-GB"/>
        </w:rPr>
      </w:pPr>
      <w:r>
        <w:rPr>
          <w:rFonts w:ascii="Times New Roman" w:hAnsi="Times New Roman" w:cs="Times New Roman" w:hint="eastAsia"/>
          <w:bCs/>
          <w:color w:val="000000"/>
          <w:lang w:val="en-GB"/>
        </w:rPr>
        <w:t>由上表可知，北洋天青与同行业可比公司和行业平均水平存在一定差异，主要系标的公司业务规模快速上升，致使应付票据、应付账款、合同负债大幅增加所致。因此，北洋天青不存在较高的财务风险。</w:t>
      </w:r>
    </w:p>
    <w:p w14:paraId="10E4469C" w14:textId="77777777" w:rsidR="00C02929" w:rsidRDefault="006116D1">
      <w:pPr>
        <w:spacing w:beforeLines="50" w:before="156" w:line="360" w:lineRule="auto"/>
        <w:ind w:firstLineChars="200" w:firstLine="482"/>
        <w:jc w:val="both"/>
        <w:outlineLvl w:val="3"/>
        <w:rPr>
          <w:rFonts w:ascii="Times New Roman" w:hAnsi="Times New Roman" w:cs="Times New Roman"/>
          <w:b/>
        </w:rPr>
      </w:pPr>
      <w:r>
        <w:rPr>
          <w:rFonts w:ascii="Times New Roman" w:hAnsi="Times New Roman" w:cs="Times New Roman" w:hint="eastAsia"/>
          <w:b/>
        </w:rPr>
        <w:t>（二）应对措施</w:t>
      </w:r>
    </w:p>
    <w:p w14:paraId="207598C7"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标的公司将通过建立预算管理制度、资金计划管理制度、筹资管理制度等制度制定相对完善的内控措施，以应对未来可能存在的财务风险。</w:t>
      </w:r>
    </w:p>
    <w:p w14:paraId="5A72D66B"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三、补充披露情况</w:t>
      </w:r>
    </w:p>
    <w:p w14:paraId="0298B5B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管理层讨论与分析”之“三、标的公司报告期财务状况和经营成果的讨论分析”之“（一）财务情况分析”进行了补充披露。</w:t>
      </w:r>
    </w:p>
    <w:p w14:paraId="377F1394" w14:textId="190C78AD"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w:t>
      </w:r>
      <w:r w:rsidR="00AA3DAA" w:rsidRP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211EEB2A"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认为：标的公司流动负债增长较快、偿债能力减弱的原因主要系业务规模迅速增长，应付票据、应付账款及合同负债增加所致。标的公司的流动负债情况与偿债能力水平与同行业可比公司和行业平均水平存在一定差异，主要系标的公司业务规模快速上升，致使应付票据、应付账款及合同负债大幅增加所致，北洋天青不存在较高的财务风险。</w:t>
      </w:r>
    </w:p>
    <w:p w14:paraId="3A305EEF" w14:textId="77777777" w:rsidR="00C02929" w:rsidRDefault="00C02929">
      <w:pPr>
        <w:pStyle w:val="afffff"/>
        <w:sectPr w:rsidR="00C02929">
          <w:pgSz w:w="11906" w:h="16838"/>
          <w:pgMar w:top="1440" w:right="1800" w:bottom="1440" w:left="1800" w:header="851" w:footer="992" w:gutter="0"/>
          <w:cols w:space="720"/>
          <w:docGrid w:type="lines" w:linePitch="312"/>
        </w:sectPr>
      </w:pPr>
      <w:bookmarkStart w:id="64" w:name="_Toc69256877"/>
      <w:bookmarkStart w:id="65" w:name="_Toc69256859"/>
      <w:bookmarkEnd w:id="58"/>
      <w:bookmarkEnd w:id="59"/>
    </w:p>
    <w:p w14:paraId="6CB6C4E6" w14:textId="77777777" w:rsidR="00C02929" w:rsidRDefault="006116D1">
      <w:pPr>
        <w:pStyle w:val="afffff"/>
      </w:pPr>
      <w:r>
        <w:rPr>
          <w:rFonts w:hint="eastAsia"/>
        </w:rPr>
        <w:lastRenderedPageBreak/>
        <w:t>第十一题</w:t>
      </w:r>
    </w:p>
    <w:p w14:paraId="3AAC8FBC"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申请文件显示，报告期各期末，标的资产的应收账款账面价值分别为</w:t>
      </w:r>
      <w:r>
        <w:rPr>
          <w:rFonts w:ascii="Times New Roman" w:eastAsia="黑体" w:hAnsi="Times New Roman" w:cs="Times New Roman" w:hint="eastAsia"/>
          <w:b/>
          <w:color w:val="000000"/>
          <w:szCs w:val="21"/>
        </w:rPr>
        <w:t>1,422.65</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3,126.26</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4,994.25</w:t>
      </w:r>
      <w:r>
        <w:rPr>
          <w:rFonts w:ascii="Times New Roman" w:eastAsia="黑体" w:hAnsi="Times New Roman" w:cs="Times New Roman" w:hint="eastAsia"/>
          <w:b/>
          <w:color w:val="000000"/>
          <w:szCs w:val="21"/>
        </w:rPr>
        <w:t>万元，占总资产的比例分别为</w:t>
      </w:r>
      <w:r>
        <w:rPr>
          <w:rFonts w:ascii="Times New Roman" w:eastAsia="黑体" w:hAnsi="Times New Roman" w:cs="Times New Roman" w:hint="eastAsia"/>
          <w:b/>
          <w:color w:val="000000"/>
          <w:szCs w:val="21"/>
        </w:rPr>
        <w:t>18.14%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32.79%</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24.94%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年标的资产应收账款相较于</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年大幅增加</w:t>
      </w:r>
      <w:r>
        <w:rPr>
          <w:rFonts w:ascii="Times New Roman" w:eastAsia="黑体" w:hAnsi="Times New Roman" w:cs="Times New Roman" w:hint="eastAsia"/>
          <w:b/>
          <w:color w:val="000000"/>
          <w:szCs w:val="21"/>
        </w:rPr>
        <w:t>119.75%</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9</w:t>
      </w:r>
      <w:r>
        <w:rPr>
          <w:rFonts w:ascii="Times New Roman" w:eastAsia="黑体" w:hAnsi="Times New Roman" w:cs="Times New Roman" w:hint="eastAsia"/>
          <w:b/>
          <w:color w:val="000000"/>
          <w:szCs w:val="21"/>
        </w:rPr>
        <w:t>月末，标的资产应收账款相较于</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年末增加</w:t>
      </w:r>
      <w:r>
        <w:rPr>
          <w:rFonts w:ascii="Times New Roman" w:eastAsia="黑体" w:hAnsi="Times New Roman" w:cs="Times New Roman" w:hint="eastAsia"/>
          <w:b/>
          <w:color w:val="000000"/>
          <w:szCs w:val="21"/>
        </w:rPr>
        <w:t>59.75%</w:t>
      </w:r>
      <w:r>
        <w:rPr>
          <w:rFonts w:ascii="Times New Roman" w:eastAsia="黑体" w:hAnsi="Times New Roman" w:cs="Times New Roman" w:hint="eastAsia"/>
          <w:b/>
          <w:color w:val="000000"/>
          <w:szCs w:val="21"/>
        </w:rPr>
        <w:t>。标的资产应收账款中</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年内到期（含</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年）的占比分别为</w:t>
      </w:r>
      <w:r>
        <w:rPr>
          <w:rFonts w:ascii="Times New Roman" w:eastAsia="黑体" w:hAnsi="Times New Roman" w:cs="Times New Roman" w:hint="eastAsia"/>
          <w:b/>
          <w:color w:val="000000"/>
          <w:szCs w:val="21"/>
        </w:rPr>
        <w:t>92.88%</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92.44%</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76.94%</w:t>
      </w:r>
      <w:r>
        <w:rPr>
          <w:rFonts w:ascii="Times New Roman" w:eastAsia="黑体" w:hAnsi="Times New Roman" w:cs="Times New Roman" w:hint="eastAsia"/>
          <w:b/>
          <w:color w:val="000000"/>
          <w:szCs w:val="21"/>
        </w:rPr>
        <w:t>，账龄</w:t>
      </w:r>
      <w:r>
        <w:rPr>
          <w:rFonts w:ascii="Times New Roman" w:eastAsia="黑体" w:hAnsi="Times New Roman" w:cs="Times New Roman" w:hint="eastAsia"/>
          <w:b/>
          <w:color w:val="000000"/>
          <w:szCs w:val="21"/>
        </w:rPr>
        <w:t>1-2</w:t>
      </w:r>
      <w:r>
        <w:rPr>
          <w:rFonts w:ascii="Times New Roman" w:eastAsia="黑体" w:hAnsi="Times New Roman" w:cs="Times New Roman" w:hint="eastAsia"/>
          <w:b/>
          <w:color w:val="000000"/>
          <w:szCs w:val="21"/>
        </w:rPr>
        <w:t>年的应收账款增长较快。请你公司：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）结合应收账款应收方、具体信用政策、坏账计提政策、截至目前回款情况、逾期应收账款情况，补充披露北洋天青应收账款水平较高的原因及坏账准备计提的充分性。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）补充披露客户回款的及时性、对北洋天青现金流的影响。请独立财务顾问和会计师核查并发表明确意见。</w:t>
      </w:r>
    </w:p>
    <w:p w14:paraId="0912F398" w14:textId="77777777" w:rsidR="00C02929" w:rsidRDefault="006116D1">
      <w:pPr>
        <w:pStyle w:val="affffd"/>
        <w:spacing w:before="156"/>
        <w:ind w:firstLine="482"/>
        <w:rPr>
          <w:b/>
        </w:rPr>
      </w:pPr>
      <w:r>
        <w:rPr>
          <w:rFonts w:hint="eastAsia"/>
          <w:b/>
        </w:rPr>
        <w:t>【回复说明】</w:t>
      </w:r>
    </w:p>
    <w:p w14:paraId="3717CEF5"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结合应收账款应收方、具体信用政策、坏账计提政策、截至目前回款情况、逾期应收账款情况，补充披露北洋天青应收账款水平较高的原因及坏账准备计提的充分性。</w:t>
      </w:r>
    </w:p>
    <w:p w14:paraId="276B6472"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一、应收账款应收方、具体信用政策</w:t>
      </w:r>
    </w:p>
    <w:p w14:paraId="5DF94247"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北洋天青客户集中度较高，最近三年来自海尔、澳柯玛、海信三大客户的收入占比均超过</w:t>
      </w:r>
      <w:r>
        <w:rPr>
          <w:rFonts w:ascii="Times New Roman" w:hAnsi="Times New Roman" w:cs="Times New Roman"/>
        </w:rPr>
        <w:t>90%</w:t>
      </w:r>
      <w:r>
        <w:rPr>
          <w:rFonts w:ascii="Times New Roman" w:hAnsi="Times New Roman" w:cs="Times New Roman" w:hint="eastAsia"/>
        </w:rPr>
        <w:t>。应收账款应收方主要由上述三家构成。</w:t>
      </w:r>
    </w:p>
    <w:p w14:paraId="3E7087F7"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北洋天青与客户签订的销售合同的主要收款模式为“</w:t>
      </w:r>
      <w:r>
        <w:rPr>
          <w:rFonts w:ascii="Times New Roman" w:hAnsi="Times New Roman" w:cs="Times New Roman"/>
        </w:rPr>
        <w:t>30%</w:t>
      </w:r>
      <w:r>
        <w:rPr>
          <w:rFonts w:ascii="Times New Roman" w:hAnsi="Times New Roman" w:cs="Times New Roman" w:hint="eastAsia"/>
        </w:rPr>
        <w:t>预付款</w:t>
      </w:r>
      <w:r>
        <w:rPr>
          <w:rFonts w:ascii="Times New Roman" w:hAnsi="Times New Roman" w:cs="Times New Roman"/>
        </w:rPr>
        <w:t>+30%</w:t>
      </w:r>
      <w:r>
        <w:rPr>
          <w:rFonts w:ascii="Times New Roman" w:hAnsi="Times New Roman" w:cs="Times New Roman" w:hint="eastAsia"/>
        </w:rPr>
        <w:t>发货款</w:t>
      </w:r>
      <w:r>
        <w:rPr>
          <w:rFonts w:ascii="Times New Roman" w:hAnsi="Times New Roman" w:cs="Times New Roman"/>
        </w:rPr>
        <w:t>+30%</w:t>
      </w:r>
      <w:r>
        <w:rPr>
          <w:rFonts w:ascii="Times New Roman" w:hAnsi="Times New Roman" w:cs="Times New Roman" w:hint="eastAsia"/>
        </w:rPr>
        <w:t>验收款</w:t>
      </w:r>
      <w:r>
        <w:rPr>
          <w:rFonts w:ascii="Times New Roman" w:hAnsi="Times New Roman" w:cs="Times New Roman"/>
        </w:rPr>
        <w:t>+10%</w:t>
      </w:r>
      <w:r>
        <w:rPr>
          <w:rFonts w:ascii="Times New Roman" w:hAnsi="Times New Roman" w:cs="Times New Roman" w:hint="eastAsia"/>
        </w:rPr>
        <w:t>质保金”，具体政策如下：</w:t>
      </w:r>
    </w:p>
    <w:p w14:paraId="7E1CF754"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1</w:t>
      </w:r>
      <w:r>
        <w:rPr>
          <w:rFonts w:ascii="Times New Roman" w:hAnsi="Times New Roman" w:cs="Times New Roman" w:hint="eastAsia"/>
        </w:rPr>
        <w:t>、签订合同之日起</w:t>
      </w:r>
      <w:r>
        <w:rPr>
          <w:rFonts w:ascii="Times New Roman" w:hAnsi="Times New Roman" w:cs="Times New Roman"/>
        </w:rPr>
        <w:t>15-30</w:t>
      </w:r>
      <w:r>
        <w:rPr>
          <w:rFonts w:ascii="Times New Roman" w:hAnsi="Times New Roman" w:cs="Times New Roman" w:hint="eastAsia"/>
        </w:rPr>
        <w:t>日内，客户向标的公司预付合同总金额的</w:t>
      </w:r>
      <w:r>
        <w:rPr>
          <w:rFonts w:ascii="Times New Roman" w:hAnsi="Times New Roman" w:cs="Times New Roman"/>
        </w:rPr>
        <w:t>30%</w:t>
      </w:r>
      <w:r>
        <w:rPr>
          <w:rFonts w:ascii="Times New Roman" w:hAnsi="Times New Roman" w:cs="Times New Roman" w:hint="eastAsia"/>
        </w:rPr>
        <w:t>，收到预付款后标的公司开始组织生产；</w:t>
      </w:r>
    </w:p>
    <w:p w14:paraId="3849413C"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w:t>
      </w:r>
      <w:r>
        <w:rPr>
          <w:rFonts w:ascii="Times New Roman" w:hAnsi="Times New Roman" w:cs="Times New Roman" w:hint="eastAsia"/>
        </w:rPr>
        <w:t>、设备发出后</w:t>
      </w:r>
      <w:r>
        <w:rPr>
          <w:rFonts w:ascii="Times New Roman" w:hAnsi="Times New Roman" w:cs="Times New Roman"/>
        </w:rPr>
        <w:t>15-30</w:t>
      </w:r>
      <w:r>
        <w:rPr>
          <w:rFonts w:ascii="Times New Roman" w:hAnsi="Times New Roman" w:cs="Times New Roman" w:hint="eastAsia"/>
        </w:rPr>
        <w:t>日内或设备发货期客户向标的公司支付合同金额的</w:t>
      </w:r>
      <w:r>
        <w:rPr>
          <w:rFonts w:ascii="Times New Roman" w:hAnsi="Times New Roman" w:cs="Times New Roman"/>
        </w:rPr>
        <w:t>30%</w:t>
      </w:r>
      <w:r>
        <w:rPr>
          <w:rFonts w:ascii="Times New Roman" w:hAnsi="Times New Roman" w:cs="Times New Roman" w:hint="eastAsia"/>
        </w:rPr>
        <w:t>；</w:t>
      </w:r>
    </w:p>
    <w:p w14:paraId="6D586E0A"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3</w:t>
      </w:r>
      <w:r>
        <w:rPr>
          <w:rFonts w:ascii="Times New Roman" w:hAnsi="Times New Roman" w:cs="Times New Roman" w:hint="eastAsia"/>
        </w:rPr>
        <w:t>、设备安装完成后，于最终验收合格日并经客户确认货物后</w:t>
      </w:r>
      <w:r>
        <w:rPr>
          <w:rFonts w:ascii="Times New Roman" w:hAnsi="Times New Roman" w:cs="Times New Roman"/>
        </w:rPr>
        <w:t>15-30</w:t>
      </w:r>
      <w:r>
        <w:rPr>
          <w:rFonts w:ascii="Times New Roman" w:hAnsi="Times New Roman" w:cs="Times New Roman" w:hint="eastAsia"/>
        </w:rPr>
        <w:t>日内，客户向标的公司支付合同金额的</w:t>
      </w:r>
      <w:r>
        <w:rPr>
          <w:rFonts w:ascii="Times New Roman" w:hAnsi="Times New Roman" w:cs="Times New Roman"/>
        </w:rPr>
        <w:t>30%</w:t>
      </w:r>
      <w:r>
        <w:rPr>
          <w:rFonts w:ascii="Times New Roman" w:hAnsi="Times New Roman" w:cs="Times New Roman" w:hint="eastAsia"/>
        </w:rPr>
        <w:t>；</w:t>
      </w:r>
    </w:p>
    <w:p w14:paraId="74826E44"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lastRenderedPageBreak/>
        <w:t>4</w:t>
      </w:r>
      <w:r>
        <w:rPr>
          <w:rFonts w:ascii="Times New Roman" w:hAnsi="Times New Roman" w:cs="Times New Roman" w:hint="eastAsia"/>
        </w:rPr>
        <w:t>、设备质保期结束并通过验收后的</w:t>
      </w:r>
      <w:r>
        <w:rPr>
          <w:rFonts w:ascii="Times New Roman" w:hAnsi="Times New Roman" w:cs="Times New Roman"/>
        </w:rPr>
        <w:t>10</w:t>
      </w:r>
      <w:r>
        <w:rPr>
          <w:rFonts w:ascii="Times New Roman" w:hAnsi="Times New Roman" w:cs="Times New Roman" w:hint="eastAsia"/>
        </w:rPr>
        <w:t>日内，客户向标的公司支付合同金额的</w:t>
      </w:r>
      <w:r>
        <w:rPr>
          <w:rFonts w:ascii="Times New Roman" w:hAnsi="Times New Roman" w:cs="Times New Roman"/>
        </w:rPr>
        <w:t>10%</w:t>
      </w:r>
      <w:r>
        <w:rPr>
          <w:rFonts w:ascii="Times New Roman" w:hAnsi="Times New Roman" w:cs="Times New Roman" w:hint="eastAsia"/>
        </w:rPr>
        <w:t>。</w:t>
      </w:r>
    </w:p>
    <w:p w14:paraId="4ACD11A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对于部分小额合同，北洋天青与客户签订的销售合同也会采用“</w:t>
      </w:r>
      <w:r>
        <w:rPr>
          <w:rFonts w:ascii="Times New Roman" w:hAnsi="Times New Roman" w:cs="Times New Roman"/>
        </w:rPr>
        <w:t>30%</w:t>
      </w:r>
      <w:r>
        <w:rPr>
          <w:rFonts w:ascii="Times New Roman" w:hAnsi="Times New Roman" w:cs="Times New Roman" w:hint="eastAsia"/>
        </w:rPr>
        <w:t>预付款</w:t>
      </w:r>
      <w:r>
        <w:rPr>
          <w:rFonts w:ascii="Times New Roman" w:hAnsi="Times New Roman" w:cs="Times New Roman"/>
        </w:rPr>
        <w:t>+70%</w:t>
      </w:r>
      <w:r>
        <w:rPr>
          <w:rFonts w:ascii="Times New Roman" w:hAnsi="Times New Roman" w:cs="Times New Roman" w:hint="eastAsia"/>
        </w:rPr>
        <w:t>发货款”或“</w:t>
      </w:r>
      <w:r>
        <w:rPr>
          <w:rFonts w:ascii="Times New Roman" w:hAnsi="Times New Roman" w:cs="Times New Roman"/>
        </w:rPr>
        <w:t>80%</w:t>
      </w:r>
      <w:r>
        <w:rPr>
          <w:rFonts w:ascii="Times New Roman" w:hAnsi="Times New Roman" w:cs="Times New Roman" w:hint="eastAsia"/>
        </w:rPr>
        <w:t>验收款</w:t>
      </w:r>
      <w:r>
        <w:rPr>
          <w:rFonts w:ascii="Times New Roman" w:hAnsi="Times New Roman" w:cs="Times New Roman"/>
        </w:rPr>
        <w:t>+20%</w:t>
      </w:r>
      <w:r>
        <w:rPr>
          <w:rFonts w:ascii="Times New Roman" w:hAnsi="Times New Roman" w:cs="Times New Roman" w:hint="eastAsia"/>
        </w:rPr>
        <w:t>质保款”的收款模式。</w:t>
      </w:r>
    </w:p>
    <w:p w14:paraId="382A08C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按照合同规定，在设备安装前北洋天青应收到客户</w:t>
      </w:r>
      <w:r>
        <w:rPr>
          <w:rFonts w:ascii="Times New Roman" w:hAnsi="Times New Roman" w:cs="Times New Roman"/>
        </w:rPr>
        <w:t>60%</w:t>
      </w:r>
      <w:r>
        <w:rPr>
          <w:rFonts w:ascii="Times New Roman" w:hAnsi="Times New Roman" w:cs="Times New Roman" w:hint="eastAsia"/>
        </w:rPr>
        <w:t>左右的款项，在验收后应当收到客户</w:t>
      </w:r>
      <w:r>
        <w:rPr>
          <w:rFonts w:ascii="Times New Roman" w:hAnsi="Times New Roman" w:cs="Times New Roman"/>
        </w:rPr>
        <w:t>90%</w:t>
      </w:r>
      <w:r>
        <w:rPr>
          <w:rFonts w:ascii="Times New Roman" w:hAnsi="Times New Roman" w:cs="Times New Roman" w:hint="eastAsia"/>
        </w:rPr>
        <w:t>的款项。标的公司大部分应收账款账龄小于一年。北洋天青通过上述合同收款模式进行客户信用政策管理。</w:t>
      </w:r>
    </w:p>
    <w:p w14:paraId="3F9EC7F4"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二、北洋天青坏账计提政策</w:t>
      </w:r>
    </w:p>
    <w:p w14:paraId="4969AE7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自</w:t>
      </w:r>
      <w:r>
        <w:rPr>
          <w:rFonts w:ascii="Times New Roman" w:hAnsi="Times New Roman" w:cs="Times New Roman"/>
        </w:rPr>
        <w:t>2018</w:t>
      </w:r>
      <w:r>
        <w:rPr>
          <w:rFonts w:ascii="Times New Roman" w:hAnsi="Times New Roman" w:cs="Times New Roman" w:hint="eastAsia"/>
        </w:rPr>
        <w:t>年</w:t>
      </w:r>
      <w:r>
        <w:rPr>
          <w:rFonts w:ascii="Times New Roman" w:hAnsi="Times New Roman" w:cs="Times New Roman"/>
        </w:rPr>
        <w:t>1</w:t>
      </w:r>
      <w:r>
        <w:rPr>
          <w:rFonts w:ascii="Times New Roman" w:hAnsi="Times New Roman" w:cs="Times New Roman" w:hint="eastAsia"/>
        </w:rPr>
        <w:t>月</w:t>
      </w:r>
      <w:r>
        <w:rPr>
          <w:rFonts w:ascii="Times New Roman" w:hAnsi="Times New Roman" w:cs="Times New Roman"/>
        </w:rPr>
        <w:t>1</w:t>
      </w:r>
      <w:r>
        <w:rPr>
          <w:rFonts w:ascii="Times New Roman" w:hAnsi="Times New Roman" w:cs="Times New Roman" w:hint="eastAsia"/>
        </w:rPr>
        <w:t>日起适用的会计政策：对于《企业会计准则第</w:t>
      </w:r>
      <w:r>
        <w:rPr>
          <w:rFonts w:ascii="Times New Roman" w:hAnsi="Times New Roman" w:cs="Times New Roman"/>
        </w:rPr>
        <w:t>14</w:t>
      </w:r>
      <w:r>
        <w:rPr>
          <w:rFonts w:ascii="Times New Roman" w:hAnsi="Times New Roman" w:cs="Times New Roman" w:hint="eastAsia"/>
        </w:rPr>
        <w:t>号</w:t>
      </w:r>
      <w:r>
        <w:rPr>
          <w:rFonts w:ascii="Times New Roman" w:hAnsi="Times New Roman" w:cs="Times New Roman"/>
        </w:rPr>
        <w:t>-</w:t>
      </w:r>
      <w:r>
        <w:rPr>
          <w:rFonts w:ascii="Times New Roman" w:hAnsi="Times New Roman" w:cs="Times New Roman" w:hint="eastAsia"/>
        </w:rPr>
        <w:t>收入》准则规范的交易形成且不含重大融资成分的应收账款，始终按照相当于整个存续期内预期信用损失的金额计量其损失准备。</w:t>
      </w:r>
    </w:p>
    <w:p w14:paraId="7655CD8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标的公司将应收账款按信用风险特征（账龄）进行组合，并基于合理且有依据的信息，包括前瞻性信息等，对应收账款的预期信用损失进行估计如下：</w:t>
      </w:r>
    </w:p>
    <w:tbl>
      <w:tblPr>
        <w:tblStyle w:val="1b"/>
        <w:tblW w:w="5000" w:type="pct"/>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4199"/>
        <w:gridCol w:w="1529"/>
        <w:gridCol w:w="1258"/>
        <w:gridCol w:w="1536"/>
      </w:tblGrid>
      <w:tr w:rsidR="00C02929" w14:paraId="593432AE" w14:textId="77777777">
        <w:trPr>
          <w:trHeight w:val="397"/>
          <w:tblHeader/>
          <w:jc w:val="center"/>
        </w:trPr>
        <w:tc>
          <w:tcPr>
            <w:tcW w:w="2464" w:type="pct"/>
            <w:vMerge w:val="restart"/>
            <w:vAlign w:val="center"/>
          </w:tcPr>
          <w:p w14:paraId="54B9F7BA" w14:textId="77777777" w:rsidR="00C02929" w:rsidRDefault="006116D1">
            <w:pPr>
              <w:keepNext/>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账龄</w:t>
            </w:r>
          </w:p>
        </w:tc>
        <w:tc>
          <w:tcPr>
            <w:tcW w:w="897" w:type="pct"/>
            <w:vAlign w:val="center"/>
          </w:tcPr>
          <w:p w14:paraId="7D616C04" w14:textId="77777777" w:rsidR="00C02929" w:rsidRDefault="006116D1">
            <w:pPr>
              <w:keepNext/>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2018</w:t>
            </w:r>
            <w:r>
              <w:rPr>
                <w:rFonts w:ascii="Times New Roman" w:hAnsi="Times New Roman" w:cs="Times New Roman" w:hint="eastAsia"/>
                <w:b/>
                <w:bCs/>
                <w:snapToGrid w:val="0"/>
                <w:sz w:val="21"/>
                <w:szCs w:val="21"/>
                <w:lang w:val="en-GB"/>
              </w:rPr>
              <w:t>年</w:t>
            </w:r>
          </w:p>
        </w:tc>
        <w:tc>
          <w:tcPr>
            <w:tcW w:w="738" w:type="pct"/>
            <w:vAlign w:val="center"/>
          </w:tcPr>
          <w:p w14:paraId="1D79C04E" w14:textId="77777777" w:rsidR="00C02929" w:rsidRDefault="006116D1">
            <w:pPr>
              <w:keepNext/>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2019</w:t>
            </w:r>
            <w:r>
              <w:rPr>
                <w:rFonts w:ascii="Times New Roman" w:hAnsi="Times New Roman" w:cs="Times New Roman" w:hint="eastAsia"/>
                <w:b/>
                <w:bCs/>
                <w:snapToGrid w:val="0"/>
                <w:sz w:val="21"/>
                <w:szCs w:val="21"/>
                <w:lang w:val="en-GB"/>
              </w:rPr>
              <w:t>年</w:t>
            </w:r>
          </w:p>
        </w:tc>
        <w:tc>
          <w:tcPr>
            <w:tcW w:w="901" w:type="pct"/>
            <w:vAlign w:val="center"/>
          </w:tcPr>
          <w:p w14:paraId="62D324B6" w14:textId="77777777" w:rsidR="00C02929" w:rsidRDefault="006116D1">
            <w:pPr>
              <w:keepNext/>
              <w:jc w:val="center"/>
              <w:rPr>
                <w:rFonts w:ascii="Times New Roman" w:hAnsi="Times New Roman" w:cs="Times New Roman"/>
                <w:b/>
                <w:bCs/>
                <w:snapToGrid w:val="0"/>
                <w:sz w:val="21"/>
                <w:szCs w:val="21"/>
                <w:lang w:val="en-GB"/>
              </w:rPr>
            </w:pPr>
            <w:r>
              <w:rPr>
                <w:rFonts w:ascii="Times New Roman" w:hAnsi="Times New Roman" w:cs="Times New Roman"/>
                <w:b/>
                <w:bCs/>
                <w:snapToGrid w:val="0"/>
                <w:sz w:val="21"/>
                <w:szCs w:val="21"/>
                <w:lang w:val="en-GB"/>
              </w:rPr>
              <w:t>2020</w:t>
            </w:r>
            <w:r>
              <w:rPr>
                <w:rFonts w:ascii="Times New Roman" w:hAnsi="Times New Roman" w:cs="Times New Roman" w:hint="eastAsia"/>
                <w:b/>
                <w:bCs/>
                <w:snapToGrid w:val="0"/>
                <w:sz w:val="21"/>
                <w:szCs w:val="21"/>
                <w:lang w:val="en-GB"/>
              </w:rPr>
              <w:t>年</w:t>
            </w:r>
          </w:p>
        </w:tc>
      </w:tr>
      <w:tr w:rsidR="00C02929" w14:paraId="73A753EF" w14:textId="77777777">
        <w:trPr>
          <w:trHeight w:val="397"/>
          <w:tblHeader/>
          <w:jc w:val="center"/>
        </w:trPr>
        <w:tc>
          <w:tcPr>
            <w:tcW w:w="2464" w:type="pct"/>
            <w:vMerge/>
            <w:vAlign w:val="center"/>
          </w:tcPr>
          <w:p w14:paraId="428931E0" w14:textId="77777777" w:rsidR="00C02929" w:rsidRDefault="00C02929">
            <w:pPr>
              <w:jc w:val="center"/>
              <w:rPr>
                <w:rFonts w:ascii="Times New Roman" w:hAnsi="Times New Roman" w:cs="Times New Roman"/>
                <w:b/>
                <w:bCs/>
                <w:snapToGrid w:val="0"/>
                <w:sz w:val="21"/>
                <w:szCs w:val="21"/>
                <w:lang w:val="en-GB"/>
              </w:rPr>
            </w:pPr>
          </w:p>
        </w:tc>
        <w:tc>
          <w:tcPr>
            <w:tcW w:w="2536" w:type="pct"/>
            <w:gridSpan w:val="3"/>
            <w:vAlign w:val="center"/>
          </w:tcPr>
          <w:p w14:paraId="244B3119"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预期信用损失率（</w:t>
            </w:r>
            <w:r>
              <w:rPr>
                <w:rFonts w:ascii="Times New Roman" w:hAnsi="Times New Roman" w:cs="Times New Roman" w:hint="eastAsia"/>
                <w:b/>
                <w:bCs/>
                <w:snapToGrid w:val="0"/>
                <w:sz w:val="21"/>
                <w:szCs w:val="21"/>
                <w:lang w:val="en-GB"/>
              </w:rPr>
              <w:t>%</w:t>
            </w:r>
            <w:r>
              <w:rPr>
                <w:rFonts w:ascii="Times New Roman" w:hAnsi="Times New Roman" w:cs="Times New Roman" w:hint="eastAsia"/>
                <w:b/>
                <w:bCs/>
                <w:snapToGrid w:val="0"/>
                <w:sz w:val="21"/>
                <w:szCs w:val="21"/>
                <w:lang w:val="en-GB"/>
              </w:rPr>
              <w:t>）</w:t>
            </w:r>
          </w:p>
        </w:tc>
      </w:tr>
      <w:tr w:rsidR="00C02929" w14:paraId="2599D11D" w14:textId="77777777">
        <w:trPr>
          <w:trHeight w:val="397"/>
          <w:jc w:val="center"/>
        </w:trPr>
        <w:tc>
          <w:tcPr>
            <w:tcW w:w="2464" w:type="pct"/>
            <w:vAlign w:val="center"/>
          </w:tcPr>
          <w:p w14:paraId="754BFF71" w14:textId="77777777" w:rsidR="00C02929" w:rsidRDefault="006116D1">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1</w:t>
            </w:r>
            <w:r>
              <w:rPr>
                <w:rFonts w:ascii="Times New Roman" w:hAnsi="Times New Roman" w:cs="Times New Roman" w:hint="eastAsia"/>
                <w:snapToGrid w:val="0"/>
                <w:sz w:val="21"/>
                <w:szCs w:val="21"/>
                <w:lang w:val="en-GB"/>
              </w:rPr>
              <w:t>年以内（含</w:t>
            </w:r>
            <w:r>
              <w:rPr>
                <w:rFonts w:ascii="Times New Roman" w:hAnsi="Times New Roman" w:cs="Times New Roman" w:hint="eastAsia"/>
                <w:snapToGrid w:val="0"/>
                <w:sz w:val="21"/>
                <w:szCs w:val="21"/>
                <w:lang w:val="en-GB"/>
              </w:rPr>
              <w:t>1</w:t>
            </w:r>
            <w:r>
              <w:rPr>
                <w:rFonts w:ascii="Times New Roman" w:hAnsi="Times New Roman" w:cs="Times New Roman" w:hint="eastAsia"/>
                <w:snapToGrid w:val="0"/>
                <w:sz w:val="21"/>
                <w:szCs w:val="21"/>
                <w:lang w:val="en-GB"/>
              </w:rPr>
              <w:t>年）</w:t>
            </w:r>
          </w:p>
        </w:tc>
        <w:tc>
          <w:tcPr>
            <w:tcW w:w="897" w:type="pct"/>
            <w:vAlign w:val="center"/>
          </w:tcPr>
          <w:p w14:paraId="7F93898F"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0.93</w:t>
            </w:r>
          </w:p>
        </w:tc>
        <w:tc>
          <w:tcPr>
            <w:tcW w:w="738" w:type="pct"/>
            <w:vAlign w:val="center"/>
          </w:tcPr>
          <w:p w14:paraId="5A11285C"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1.61</w:t>
            </w:r>
          </w:p>
        </w:tc>
        <w:tc>
          <w:tcPr>
            <w:tcW w:w="901" w:type="pct"/>
            <w:vAlign w:val="center"/>
          </w:tcPr>
          <w:p w14:paraId="5F46438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1.61</w:t>
            </w:r>
          </w:p>
        </w:tc>
      </w:tr>
      <w:tr w:rsidR="00C02929" w14:paraId="20E8C3B5" w14:textId="77777777">
        <w:trPr>
          <w:trHeight w:val="397"/>
          <w:jc w:val="center"/>
        </w:trPr>
        <w:tc>
          <w:tcPr>
            <w:tcW w:w="2464" w:type="pct"/>
            <w:vAlign w:val="center"/>
          </w:tcPr>
          <w:p w14:paraId="18F8000F" w14:textId="77777777" w:rsidR="00C02929" w:rsidRDefault="006116D1">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1-2</w:t>
            </w:r>
            <w:r>
              <w:rPr>
                <w:rFonts w:ascii="Times New Roman" w:hAnsi="Times New Roman" w:cs="Times New Roman" w:hint="eastAsia"/>
                <w:snapToGrid w:val="0"/>
                <w:sz w:val="21"/>
                <w:szCs w:val="21"/>
                <w:lang w:val="en-GB"/>
              </w:rPr>
              <w:t>年</w:t>
            </w:r>
          </w:p>
        </w:tc>
        <w:tc>
          <w:tcPr>
            <w:tcW w:w="897" w:type="pct"/>
            <w:vAlign w:val="center"/>
          </w:tcPr>
          <w:p w14:paraId="7D26ED9A"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7.74</w:t>
            </w:r>
          </w:p>
        </w:tc>
        <w:tc>
          <w:tcPr>
            <w:tcW w:w="738" w:type="pct"/>
            <w:vAlign w:val="center"/>
          </w:tcPr>
          <w:p w14:paraId="597628F3"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17.91</w:t>
            </w:r>
          </w:p>
        </w:tc>
        <w:tc>
          <w:tcPr>
            <w:tcW w:w="901" w:type="pct"/>
            <w:vAlign w:val="center"/>
          </w:tcPr>
          <w:p w14:paraId="250DE3C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17.91</w:t>
            </w:r>
          </w:p>
        </w:tc>
      </w:tr>
      <w:tr w:rsidR="00C02929" w14:paraId="61378822" w14:textId="77777777">
        <w:trPr>
          <w:trHeight w:val="397"/>
          <w:jc w:val="center"/>
        </w:trPr>
        <w:tc>
          <w:tcPr>
            <w:tcW w:w="2464" w:type="pct"/>
            <w:vAlign w:val="center"/>
          </w:tcPr>
          <w:p w14:paraId="1CA8ABE1" w14:textId="77777777" w:rsidR="00C02929" w:rsidRDefault="006116D1">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2-3</w:t>
            </w:r>
            <w:r>
              <w:rPr>
                <w:rFonts w:ascii="Times New Roman" w:hAnsi="Times New Roman" w:cs="Times New Roman" w:hint="eastAsia"/>
                <w:snapToGrid w:val="0"/>
                <w:sz w:val="21"/>
                <w:szCs w:val="21"/>
                <w:lang w:val="en-GB"/>
              </w:rPr>
              <w:t>年</w:t>
            </w:r>
          </w:p>
        </w:tc>
        <w:tc>
          <w:tcPr>
            <w:tcW w:w="897" w:type="pct"/>
            <w:vAlign w:val="center"/>
          </w:tcPr>
          <w:p w14:paraId="0DD6A843"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15.80</w:t>
            </w:r>
          </w:p>
        </w:tc>
        <w:tc>
          <w:tcPr>
            <w:tcW w:w="738" w:type="pct"/>
            <w:vAlign w:val="center"/>
          </w:tcPr>
          <w:p w14:paraId="7F01DDCA"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30.33</w:t>
            </w:r>
          </w:p>
        </w:tc>
        <w:tc>
          <w:tcPr>
            <w:tcW w:w="901" w:type="pct"/>
            <w:vAlign w:val="center"/>
          </w:tcPr>
          <w:p w14:paraId="05A68B3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30.33</w:t>
            </w:r>
          </w:p>
        </w:tc>
      </w:tr>
      <w:tr w:rsidR="00C02929" w14:paraId="170593C2" w14:textId="77777777">
        <w:trPr>
          <w:trHeight w:val="397"/>
          <w:jc w:val="center"/>
        </w:trPr>
        <w:tc>
          <w:tcPr>
            <w:tcW w:w="2464" w:type="pct"/>
            <w:vAlign w:val="center"/>
          </w:tcPr>
          <w:p w14:paraId="2A6E614F" w14:textId="77777777" w:rsidR="00C02929" w:rsidRDefault="006116D1">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3-4</w:t>
            </w:r>
            <w:r>
              <w:rPr>
                <w:rFonts w:ascii="Times New Roman" w:hAnsi="Times New Roman" w:cs="Times New Roman" w:hint="eastAsia"/>
                <w:snapToGrid w:val="0"/>
                <w:sz w:val="21"/>
                <w:szCs w:val="21"/>
                <w:lang w:val="en-GB"/>
              </w:rPr>
              <w:t>年</w:t>
            </w:r>
          </w:p>
        </w:tc>
        <w:tc>
          <w:tcPr>
            <w:tcW w:w="897" w:type="pct"/>
            <w:vAlign w:val="center"/>
          </w:tcPr>
          <w:p w14:paraId="6797EF2F"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38.40</w:t>
            </w:r>
          </w:p>
        </w:tc>
        <w:tc>
          <w:tcPr>
            <w:tcW w:w="738" w:type="pct"/>
            <w:vAlign w:val="center"/>
          </w:tcPr>
          <w:p w14:paraId="4ABFD5F6"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59.07</w:t>
            </w:r>
          </w:p>
        </w:tc>
        <w:tc>
          <w:tcPr>
            <w:tcW w:w="901" w:type="pct"/>
            <w:vAlign w:val="center"/>
          </w:tcPr>
          <w:p w14:paraId="3C8009D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59.07</w:t>
            </w:r>
          </w:p>
        </w:tc>
      </w:tr>
      <w:tr w:rsidR="00C02929" w14:paraId="27F957C4" w14:textId="77777777">
        <w:trPr>
          <w:trHeight w:val="397"/>
          <w:jc w:val="center"/>
        </w:trPr>
        <w:tc>
          <w:tcPr>
            <w:tcW w:w="2464" w:type="pct"/>
            <w:vAlign w:val="center"/>
          </w:tcPr>
          <w:p w14:paraId="4C02447B" w14:textId="77777777" w:rsidR="00C02929" w:rsidRDefault="006116D1">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4-5</w:t>
            </w:r>
            <w:r>
              <w:rPr>
                <w:rFonts w:ascii="Times New Roman" w:hAnsi="Times New Roman" w:cs="Times New Roman" w:hint="eastAsia"/>
                <w:snapToGrid w:val="0"/>
                <w:sz w:val="21"/>
                <w:szCs w:val="21"/>
                <w:lang w:val="en-GB"/>
              </w:rPr>
              <w:t>年</w:t>
            </w:r>
          </w:p>
        </w:tc>
        <w:tc>
          <w:tcPr>
            <w:tcW w:w="897" w:type="pct"/>
            <w:vAlign w:val="center"/>
          </w:tcPr>
          <w:p w14:paraId="0E09F5B5"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67.63</w:t>
            </w:r>
          </w:p>
        </w:tc>
        <w:tc>
          <w:tcPr>
            <w:tcW w:w="738" w:type="pct"/>
            <w:vAlign w:val="center"/>
          </w:tcPr>
          <w:p w14:paraId="2F23DE1F" w14:textId="77777777" w:rsidR="00C02929" w:rsidRDefault="006116D1">
            <w:pPr>
              <w:jc w:val="right"/>
              <w:rPr>
                <w:rFonts w:ascii="Times New Roman" w:hAnsi="Times New Roman" w:cs="Times New Roman"/>
                <w:snapToGrid w:val="0"/>
                <w:sz w:val="21"/>
                <w:szCs w:val="21"/>
                <w:lang w:val="en-GB"/>
              </w:rPr>
            </w:pPr>
            <w:r>
              <w:rPr>
                <w:rFonts w:ascii="Times New Roman" w:hAnsi="Times New Roman" w:cs="Times New Roman"/>
                <w:color w:val="000000"/>
                <w:sz w:val="21"/>
                <w:szCs w:val="21"/>
              </w:rPr>
              <w:t>82.96</w:t>
            </w:r>
          </w:p>
        </w:tc>
        <w:tc>
          <w:tcPr>
            <w:tcW w:w="901" w:type="pct"/>
            <w:vAlign w:val="center"/>
          </w:tcPr>
          <w:p w14:paraId="0E0D1C0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82.96</w:t>
            </w:r>
          </w:p>
        </w:tc>
      </w:tr>
      <w:tr w:rsidR="00C02929" w14:paraId="0AF3F519" w14:textId="77777777">
        <w:trPr>
          <w:trHeight w:val="397"/>
          <w:jc w:val="center"/>
        </w:trPr>
        <w:tc>
          <w:tcPr>
            <w:tcW w:w="2464" w:type="pct"/>
            <w:vAlign w:val="center"/>
          </w:tcPr>
          <w:p w14:paraId="23A8D385" w14:textId="77777777" w:rsidR="00C02929" w:rsidRDefault="006116D1">
            <w:pPr>
              <w:rPr>
                <w:rFonts w:ascii="Times New Roman" w:hAnsi="Times New Roman" w:cs="Times New Roman"/>
                <w:snapToGrid w:val="0"/>
                <w:sz w:val="21"/>
                <w:szCs w:val="21"/>
                <w:lang w:val="en-GB"/>
              </w:rPr>
            </w:pPr>
            <w:r>
              <w:rPr>
                <w:rFonts w:ascii="Times New Roman" w:hAnsi="Times New Roman" w:cs="Times New Roman" w:hint="eastAsia"/>
                <w:snapToGrid w:val="0"/>
                <w:sz w:val="21"/>
                <w:szCs w:val="21"/>
                <w:lang w:val="en-GB"/>
              </w:rPr>
              <w:t>5</w:t>
            </w:r>
            <w:r>
              <w:rPr>
                <w:rFonts w:ascii="Times New Roman" w:hAnsi="Times New Roman" w:cs="Times New Roman" w:hint="eastAsia"/>
                <w:snapToGrid w:val="0"/>
                <w:sz w:val="21"/>
                <w:szCs w:val="21"/>
                <w:lang w:val="en-GB"/>
              </w:rPr>
              <w:t>年以上</w:t>
            </w:r>
          </w:p>
        </w:tc>
        <w:tc>
          <w:tcPr>
            <w:tcW w:w="897" w:type="pct"/>
            <w:vAlign w:val="center"/>
          </w:tcPr>
          <w:p w14:paraId="1EC75C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738" w:type="pct"/>
            <w:vAlign w:val="center"/>
          </w:tcPr>
          <w:p w14:paraId="6137434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901" w:type="pct"/>
            <w:vAlign w:val="center"/>
          </w:tcPr>
          <w:p w14:paraId="201CC66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r>
    </w:tbl>
    <w:p w14:paraId="4C0E82D8"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如果有客观证据表明某项应收账款已经发生信用减值，则标的公司对该应收账款单项计提坏账准备并确认预期信用损失。</w:t>
      </w:r>
    </w:p>
    <w:p w14:paraId="63BE6C3D"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三、截至目前回款情况、逾期应收账款情况</w:t>
      </w:r>
    </w:p>
    <w:p w14:paraId="1B4B3CD9"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截至本核查意见出具日，北洋天青</w:t>
      </w:r>
      <w:r>
        <w:rPr>
          <w:rFonts w:ascii="Times New Roman" w:hAnsi="Times New Roman" w:cs="Times New Roman"/>
        </w:rPr>
        <w:t>2020</w:t>
      </w:r>
      <w:r>
        <w:rPr>
          <w:rFonts w:ascii="Times New Roman" w:hAnsi="Times New Roman" w:cs="Times New Roman" w:hint="eastAsia"/>
        </w:rPr>
        <w:t>年末余额较大的应收账款回款情况具体如下表所示：</w:t>
      </w:r>
    </w:p>
    <w:p w14:paraId="306A1EC2"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lastRenderedPageBreak/>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226"/>
        <w:gridCol w:w="1573"/>
        <w:gridCol w:w="1309"/>
        <w:gridCol w:w="873"/>
        <w:gridCol w:w="1541"/>
      </w:tblGrid>
      <w:tr w:rsidR="00C02929" w14:paraId="6734A4C7" w14:textId="77777777">
        <w:trPr>
          <w:trHeight w:val="397"/>
          <w:tblHeader/>
        </w:trPr>
        <w:tc>
          <w:tcPr>
            <w:tcW w:w="1893" w:type="pct"/>
            <w:shd w:val="clear" w:color="auto" w:fill="auto"/>
            <w:vAlign w:val="center"/>
          </w:tcPr>
          <w:p w14:paraId="722ACEB7" w14:textId="77777777" w:rsidR="00C02929" w:rsidRDefault="006116D1">
            <w:pPr>
              <w:jc w:val="center"/>
              <w:rPr>
                <w:rFonts w:ascii="Times New Roman" w:hAnsi="Times New Roman" w:cs="Times New Roman"/>
                <w:b/>
                <w:bCs/>
                <w:sz w:val="21"/>
                <w:szCs w:val="21"/>
              </w:rPr>
            </w:pPr>
            <w:bookmarkStart w:id="66" w:name="OLE_LINK42"/>
            <w:bookmarkStart w:id="67" w:name="OLE_LINK43"/>
            <w:r>
              <w:rPr>
                <w:rFonts w:ascii="Times New Roman" w:hAnsi="Times New Roman" w:cs="Times New Roman" w:hint="eastAsia"/>
                <w:b/>
                <w:bCs/>
                <w:sz w:val="21"/>
                <w:szCs w:val="21"/>
              </w:rPr>
              <w:t>客户名称</w:t>
            </w:r>
          </w:p>
        </w:tc>
        <w:tc>
          <w:tcPr>
            <w:tcW w:w="923" w:type="pct"/>
            <w:vAlign w:val="center"/>
          </w:tcPr>
          <w:p w14:paraId="6F49454D"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2020</w:t>
            </w:r>
            <w:r>
              <w:rPr>
                <w:rFonts w:ascii="Times New Roman" w:hAnsi="Times New Roman" w:cs="Times New Roman" w:hint="eastAsia"/>
                <w:b/>
                <w:bCs/>
                <w:snapToGrid w:val="0"/>
                <w:sz w:val="21"/>
                <w:szCs w:val="21"/>
                <w:lang w:val="en-GB"/>
              </w:rPr>
              <w:t>年</w:t>
            </w:r>
            <w:r>
              <w:rPr>
                <w:rFonts w:ascii="Times New Roman" w:hAnsi="Times New Roman" w:cs="Times New Roman" w:hint="eastAsia"/>
                <w:b/>
                <w:bCs/>
                <w:snapToGrid w:val="0"/>
                <w:sz w:val="21"/>
                <w:szCs w:val="21"/>
                <w:lang w:val="en-GB"/>
              </w:rPr>
              <w:t>12</w:t>
            </w:r>
            <w:r>
              <w:rPr>
                <w:rFonts w:ascii="Times New Roman" w:hAnsi="Times New Roman" w:cs="Times New Roman" w:hint="eastAsia"/>
                <w:b/>
                <w:bCs/>
                <w:snapToGrid w:val="0"/>
                <w:sz w:val="21"/>
                <w:szCs w:val="21"/>
                <w:lang w:val="en-GB"/>
              </w:rPr>
              <w:t>月</w:t>
            </w:r>
            <w:r>
              <w:rPr>
                <w:rFonts w:ascii="Times New Roman" w:hAnsi="Times New Roman" w:cs="Times New Roman" w:hint="eastAsia"/>
                <w:b/>
                <w:bCs/>
                <w:snapToGrid w:val="0"/>
                <w:sz w:val="21"/>
                <w:szCs w:val="21"/>
                <w:lang w:val="en-GB"/>
              </w:rPr>
              <w:t>31</w:t>
            </w:r>
            <w:r>
              <w:rPr>
                <w:rFonts w:ascii="Times New Roman" w:hAnsi="Times New Roman" w:cs="Times New Roman" w:hint="eastAsia"/>
                <w:b/>
                <w:bCs/>
                <w:snapToGrid w:val="0"/>
                <w:sz w:val="21"/>
                <w:szCs w:val="21"/>
                <w:lang w:val="en-GB"/>
              </w:rPr>
              <w:t>日应收账款账面余额</w:t>
            </w:r>
          </w:p>
        </w:tc>
        <w:tc>
          <w:tcPr>
            <w:tcW w:w="768" w:type="pct"/>
            <w:vAlign w:val="center"/>
          </w:tcPr>
          <w:p w14:paraId="68F4A0D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占应收账款总账面余额比例</w:t>
            </w:r>
          </w:p>
        </w:tc>
        <w:tc>
          <w:tcPr>
            <w:tcW w:w="512" w:type="pct"/>
            <w:vAlign w:val="center"/>
          </w:tcPr>
          <w:p w14:paraId="0BCC5545"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napToGrid w:val="0"/>
                <w:sz w:val="21"/>
                <w:szCs w:val="21"/>
              </w:rPr>
              <w:t>期后</w:t>
            </w:r>
            <w:r>
              <w:rPr>
                <w:rFonts w:ascii="Times New Roman" w:hAnsi="Times New Roman" w:cs="Times New Roman" w:hint="eastAsia"/>
                <w:b/>
                <w:bCs/>
                <w:snapToGrid w:val="0"/>
                <w:sz w:val="21"/>
                <w:szCs w:val="21"/>
                <w:lang w:val="en-GB"/>
              </w:rPr>
              <w:t>累计回款金额</w:t>
            </w:r>
          </w:p>
        </w:tc>
        <w:tc>
          <w:tcPr>
            <w:tcW w:w="904" w:type="pct"/>
            <w:vAlign w:val="center"/>
          </w:tcPr>
          <w:p w14:paraId="38EFEBC5"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对应合同验收时间</w:t>
            </w:r>
          </w:p>
        </w:tc>
      </w:tr>
      <w:tr w:rsidR="00C02929" w14:paraId="79004B72" w14:textId="77777777">
        <w:trPr>
          <w:trHeight w:val="397"/>
        </w:trPr>
        <w:tc>
          <w:tcPr>
            <w:tcW w:w="1893" w:type="pct"/>
            <w:shd w:val="clear" w:color="auto" w:fill="auto"/>
            <w:vAlign w:val="center"/>
          </w:tcPr>
          <w:p w14:paraId="69A259AE" w14:textId="77777777" w:rsidR="00C02929" w:rsidRDefault="006116D1">
            <w:pPr>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rPr>
              <w:t>青岛胶南海尔洗衣机有限公司</w:t>
            </w:r>
          </w:p>
        </w:tc>
        <w:tc>
          <w:tcPr>
            <w:tcW w:w="923" w:type="pct"/>
            <w:vAlign w:val="center"/>
          </w:tcPr>
          <w:p w14:paraId="14575DED"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870.92</w:t>
            </w:r>
          </w:p>
        </w:tc>
        <w:tc>
          <w:tcPr>
            <w:tcW w:w="768" w:type="pct"/>
            <w:vAlign w:val="center"/>
          </w:tcPr>
          <w:p w14:paraId="76BB0E48"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17.28%</w:t>
            </w:r>
          </w:p>
        </w:tc>
        <w:tc>
          <w:tcPr>
            <w:tcW w:w="512" w:type="pct"/>
            <w:vAlign w:val="center"/>
          </w:tcPr>
          <w:p w14:paraId="011FE169"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241.67</w:t>
            </w:r>
          </w:p>
        </w:tc>
        <w:tc>
          <w:tcPr>
            <w:tcW w:w="904" w:type="pct"/>
            <w:vAlign w:val="center"/>
          </w:tcPr>
          <w:p w14:paraId="3F17395C"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多个项目</w:t>
            </w:r>
          </w:p>
        </w:tc>
      </w:tr>
      <w:tr w:rsidR="00C02929" w14:paraId="11A2B911" w14:textId="77777777">
        <w:trPr>
          <w:trHeight w:val="397"/>
        </w:trPr>
        <w:tc>
          <w:tcPr>
            <w:tcW w:w="1893" w:type="pct"/>
            <w:shd w:val="clear" w:color="auto" w:fill="auto"/>
            <w:vAlign w:val="center"/>
          </w:tcPr>
          <w:p w14:paraId="1B5B5598" w14:textId="77777777" w:rsidR="00C02929" w:rsidRDefault="006116D1">
            <w:pPr>
              <w:rPr>
                <w:rFonts w:ascii="Times New Roman" w:hAnsi="Times New Roman" w:cs="Times New Roman"/>
                <w:color w:val="000000"/>
                <w:sz w:val="21"/>
                <w:szCs w:val="21"/>
              </w:rPr>
            </w:pPr>
            <w:bookmarkStart w:id="68" w:name="OLE_LINK41"/>
            <w:bookmarkStart w:id="69" w:name="OLE_LINK40"/>
            <w:r>
              <w:rPr>
                <w:rFonts w:ascii="Times New Roman" w:hAnsi="Times New Roman" w:cs="Times New Roman" w:hint="eastAsia"/>
                <w:color w:val="000000"/>
                <w:sz w:val="21"/>
                <w:szCs w:val="21"/>
              </w:rPr>
              <w:t>青岛海尔</w:t>
            </w:r>
            <w:bookmarkEnd w:id="68"/>
            <w:bookmarkEnd w:id="69"/>
            <w:r>
              <w:rPr>
                <w:rFonts w:ascii="Times New Roman" w:hAnsi="Times New Roman" w:cs="Times New Roman" w:hint="eastAsia"/>
                <w:color w:val="000000"/>
                <w:sz w:val="21"/>
                <w:szCs w:val="21"/>
              </w:rPr>
              <w:t>空调电子有限公司</w:t>
            </w:r>
          </w:p>
        </w:tc>
        <w:tc>
          <w:tcPr>
            <w:tcW w:w="923" w:type="pct"/>
            <w:vAlign w:val="center"/>
          </w:tcPr>
          <w:p w14:paraId="19EF616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528.00</w:t>
            </w:r>
          </w:p>
        </w:tc>
        <w:tc>
          <w:tcPr>
            <w:tcW w:w="768" w:type="pct"/>
            <w:vAlign w:val="center"/>
          </w:tcPr>
          <w:p w14:paraId="0F780383"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10.48%</w:t>
            </w:r>
          </w:p>
        </w:tc>
        <w:tc>
          <w:tcPr>
            <w:tcW w:w="512" w:type="pct"/>
            <w:vAlign w:val="center"/>
          </w:tcPr>
          <w:p w14:paraId="0A2B6553"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3DDAE57D"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12</w:t>
            </w:r>
            <w:r>
              <w:rPr>
                <w:rFonts w:ascii="Times New Roman" w:hAnsi="Times New Roman" w:cs="Times New Roman" w:hint="eastAsia"/>
                <w:color w:val="000000"/>
                <w:sz w:val="21"/>
                <w:szCs w:val="21"/>
                <w:lang w:bidi="ar"/>
              </w:rPr>
              <w:t>月</w:t>
            </w:r>
          </w:p>
        </w:tc>
      </w:tr>
      <w:tr w:rsidR="00C02929" w14:paraId="06CB2930" w14:textId="77777777">
        <w:trPr>
          <w:trHeight w:val="397"/>
        </w:trPr>
        <w:tc>
          <w:tcPr>
            <w:tcW w:w="1893" w:type="pct"/>
            <w:shd w:val="clear" w:color="auto" w:fill="auto"/>
            <w:vAlign w:val="center"/>
          </w:tcPr>
          <w:p w14:paraId="2AA26DAF" w14:textId="77777777" w:rsidR="00C02929" w:rsidRDefault="006116D1">
            <w:pPr>
              <w:rPr>
                <w:rFonts w:ascii="Times New Roman" w:hAnsi="Times New Roman" w:cs="Times New Roman"/>
                <w:color w:val="000000"/>
                <w:sz w:val="21"/>
                <w:szCs w:val="21"/>
              </w:rPr>
            </w:pPr>
            <w:bookmarkStart w:id="70" w:name="OLE_LINK38"/>
            <w:bookmarkStart w:id="71" w:name="OLE_LINK39"/>
            <w:r>
              <w:rPr>
                <w:rFonts w:ascii="Times New Roman" w:hAnsi="Times New Roman" w:cs="Times New Roman" w:hint="eastAsia"/>
                <w:color w:val="000000"/>
                <w:sz w:val="21"/>
                <w:szCs w:val="21"/>
              </w:rPr>
              <w:t>合肥海尔电冰箱有限公司</w:t>
            </w:r>
            <w:bookmarkEnd w:id="70"/>
            <w:bookmarkEnd w:id="71"/>
          </w:p>
        </w:tc>
        <w:tc>
          <w:tcPr>
            <w:tcW w:w="923" w:type="pct"/>
            <w:vAlign w:val="center"/>
          </w:tcPr>
          <w:p w14:paraId="3456A85E"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480.28</w:t>
            </w:r>
          </w:p>
        </w:tc>
        <w:tc>
          <w:tcPr>
            <w:tcW w:w="768" w:type="pct"/>
            <w:vAlign w:val="center"/>
          </w:tcPr>
          <w:p w14:paraId="7B85F729"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9.53%</w:t>
            </w:r>
          </w:p>
        </w:tc>
        <w:tc>
          <w:tcPr>
            <w:tcW w:w="512" w:type="pct"/>
            <w:vAlign w:val="center"/>
          </w:tcPr>
          <w:p w14:paraId="5D67D801"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73D67ECB"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11</w:t>
            </w:r>
            <w:r>
              <w:rPr>
                <w:rFonts w:ascii="Times New Roman" w:hAnsi="Times New Roman" w:cs="Times New Roman" w:hint="eastAsia"/>
                <w:color w:val="000000"/>
                <w:sz w:val="21"/>
                <w:szCs w:val="21"/>
                <w:lang w:bidi="ar"/>
              </w:rPr>
              <w:t>月</w:t>
            </w:r>
          </w:p>
        </w:tc>
      </w:tr>
      <w:tr w:rsidR="00C02929" w14:paraId="55D00CCB" w14:textId="77777777">
        <w:trPr>
          <w:trHeight w:val="397"/>
        </w:trPr>
        <w:tc>
          <w:tcPr>
            <w:tcW w:w="1893" w:type="pct"/>
            <w:shd w:val="clear" w:color="auto" w:fill="auto"/>
            <w:vAlign w:val="center"/>
          </w:tcPr>
          <w:p w14:paraId="3AF7B83B" w14:textId="77777777" w:rsidR="00C02929" w:rsidRDefault="006116D1">
            <w:pPr>
              <w:rPr>
                <w:rFonts w:ascii="Times New Roman" w:hAnsi="Times New Roman" w:cs="Times New Roman"/>
                <w:color w:val="000000"/>
                <w:sz w:val="21"/>
                <w:szCs w:val="21"/>
              </w:rPr>
            </w:pPr>
            <w:bookmarkStart w:id="72" w:name="_Hlk68320017"/>
            <w:r>
              <w:rPr>
                <w:rFonts w:ascii="Times New Roman" w:hAnsi="Times New Roman" w:cs="Times New Roman" w:hint="eastAsia"/>
                <w:color w:val="000000"/>
                <w:sz w:val="21"/>
                <w:szCs w:val="21"/>
              </w:rPr>
              <w:t>青岛海尔机器人有限公司</w:t>
            </w:r>
          </w:p>
        </w:tc>
        <w:tc>
          <w:tcPr>
            <w:tcW w:w="923" w:type="pct"/>
            <w:vAlign w:val="center"/>
          </w:tcPr>
          <w:p w14:paraId="4C63863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346.34</w:t>
            </w:r>
          </w:p>
        </w:tc>
        <w:tc>
          <w:tcPr>
            <w:tcW w:w="768" w:type="pct"/>
            <w:vAlign w:val="center"/>
          </w:tcPr>
          <w:p w14:paraId="21203968"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6.87%</w:t>
            </w:r>
          </w:p>
        </w:tc>
        <w:tc>
          <w:tcPr>
            <w:tcW w:w="512" w:type="pct"/>
            <w:vAlign w:val="center"/>
          </w:tcPr>
          <w:p w14:paraId="6C470D51"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109.56</w:t>
            </w:r>
          </w:p>
        </w:tc>
        <w:tc>
          <w:tcPr>
            <w:tcW w:w="904" w:type="pct"/>
            <w:vAlign w:val="center"/>
          </w:tcPr>
          <w:p w14:paraId="7CD6C1A7"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8</w:t>
            </w:r>
            <w:r>
              <w:rPr>
                <w:rFonts w:ascii="Times New Roman" w:hAnsi="Times New Roman" w:cs="Times New Roman" w:hint="eastAsia"/>
                <w:color w:val="000000"/>
                <w:sz w:val="21"/>
                <w:szCs w:val="21"/>
                <w:lang w:bidi="ar"/>
              </w:rPr>
              <w:t>月</w:t>
            </w:r>
          </w:p>
        </w:tc>
      </w:tr>
      <w:bookmarkEnd w:id="72"/>
      <w:tr w:rsidR="00C02929" w14:paraId="3495CC5C" w14:textId="77777777">
        <w:trPr>
          <w:trHeight w:val="397"/>
        </w:trPr>
        <w:tc>
          <w:tcPr>
            <w:tcW w:w="1893" w:type="pct"/>
            <w:shd w:val="clear" w:color="auto" w:fill="auto"/>
            <w:vAlign w:val="center"/>
          </w:tcPr>
          <w:p w14:paraId="29879B98"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沈阳海尔电冰箱有限公司</w:t>
            </w:r>
          </w:p>
        </w:tc>
        <w:tc>
          <w:tcPr>
            <w:tcW w:w="923" w:type="pct"/>
            <w:vAlign w:val="center"/>
          </w:tcPr>
          <w:p w14:paraId="5268D38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318.00</w:t>
            </w:r>
          </w:p>
        </w:tc>
        <w:tc>
          <w:tcPr>
            <w:tcW w:w="768" w:type="pct"/>
            <w:vAlign w:val="center"/>
          </w:tcPr>
          <w:p w14:paraId="1A871266"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6.31%</w:t>
            </w:r>
          </w:p>
        </w:tc>
        <w:tc>
          <w:tcPr>
            <w:tcW w:w="512" w:type="pct"/>
            <w:vAlign w:val="center"/>
          </w:tcPr>
          <w:p w14:paraId="4AD9834F"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238.50</w:t>
            </w:r>
          </w:p>
        </w:tc>
        <w:tc>
          <w:tcPr>
            <w:tcW w:w="904" w:type="pct"/>
            <w:vAlign w:val="center"/>
          </w:tcPr>
          <w:p w14:paraId="158F46A4"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11</w:t>
            </w:r>
            <w:r>
              <w:rPr>
                <w:rFonts w:ascii="Times New Roman" w:hAnsi="Times New Roman" w:cs="Times New Roman" w:hint="eastAsia"/>
                <w:color w:val="000000"/>
                <w:sz w:val="21"/>
                <w:szCs w:val="21"/>
                <w:lang w:bidi="ar"/>
              </w:rPr>
              <w:t>月</w:t>
            </w:r>
          </w:p>
        </w:tc>
      </w:tr>
      <w:tr w:rsidR="00C02929" w14:paraId="1E4EF08B" w14:textId="77777777">
        <w:trPr>
          <w:trHeight w:val="397"/>
        </w:trPr>
        <w:tc>
          <w:tcPr>
            <w:tcW w:w="1893" w:type="pct"/>
            <w:shd w:val="clear" w:color="auto" w:fill="auto"/>
            <w:vAlign w:val="center"/>
          </w:tcPr>
          <w:p w14:paraId="71CDA389"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佛山海尔电冰柜有限公司</w:t>
            </w:r>
          </w:p>
        </w:tc>
        <w:tc>
          <w:tcPr>
            <w:tcW w:w="923" w:type="pct"/>
            <w:vAlign w:val="center"/>
          </w:tcPr>
          <w:p w14:paraId="7907AEDC"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318.00</w:t>
            </w:r>
          </w:p>
        </w:tc>
        <w:tc>
          <w:tcPr>
            <w:tcW w:w="768" w:type="pct"/>
            <w:vAlign w:val="center"/>
          </w:tcPr>
          <w:p w14:paraId="36CC23EF"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6.31%</w:t>
            </w:r>
          </w:p>
        </w:tc>
        <w:tc>
          <w:tcPr>
            <w:tcW w:w="512" w:type="pct"/>
            <w:vAlign w:val="center"/>
          </w:tcPr>
          <w:p w14:paraId="508B64F6"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0EAD02BE"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10</w:t>
            </w:r>
            <w:r>
              <w:rPr>
                <w:rFonts w:ascii="Times New Roman" w:hAnsi="Times New Roman" w:cs="Times New Roman" w:hint="eastAsia"/>
                <w:color w:val="000000"/>
                <w:sz w:val="21"/>
                <w:szCs w:val="21"/>
                <w:lang w:bidi="ar"/>
              </w:rPr>
              <w:t>月</w:t>
            </w:r>
          </w:p>
        </w:tc>
      </w:tr>
      <w:tr w:rsidR="00C02929" w14:paraId="6A2C1F71" w14:textId="77777777">
        <w:trPr>
          <w:trHeight w:val="397"/>
        </w:trPr>
        <w:tc>
          <w:tcPr>
            <w:tcW w:w="1893" w:type="pct"/>
            <w:shd w:val="clear" w:color="auto" w:fill="auto"/>
            <w:vAlign w:val="center"/>
          </w:tcPr>
          <w:p w14:paraId="556EBCD7" w14:textId="77777777" w:rsidR="00C02929" w:rsidRDefault="006116D1">
            <w:pPr>
              <w:rPr>
                <w:rFonts w:ascii="Times New Roman" w:hAnsi="Times New Roman" w:cs="Times New Roman"/>
                <w:color w:val="000000"/>
                <w:sz w:val="21"/>
                <w:szCs w:val="21"/>
              </w:rPr>
            </w:pPr>
            <w:bookmarkStart w:id="73" w:name="OLE_LINK32"/>
            <w:bookmarkStart w:id="74" w:name="OLE_LINK50"/>
            <w:bookmarkStart w:id="75" w:name="OLE_LINK33"/>
            <w:r>
              <w:rPr>
                <w:rFonts w:ascii="Times New Roman" w:hAnsi="Times New Roman" w:cs="Times New Roman" w:hint="eastAsia"/>
                <w:color w:val="000000"/>
                <w:sz w:val="21"/>
                <w:szCs w:val="21"/>
              </w:rPr>
              <w:t>青岛海尔特种电冰箱有限公司</w:t>
            </w:r>
            <w:bookmarkEnd w:id="73"/>
            <w:bookmarkEnd w:id="74"/>
            <w:bookmarkEnd w:id="75"/>
          </w:p>
        </w:tc>
        <w:tc>
          <w:tcPr>
            <w:tcW w:w="923" w:type="pct"/>
            <w:vAlign w:val="center"/>
          </w:tcPr>
          <w:p w14:paraId="144F74BA"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315.60</w:t>
            </w:r>
          </w:p>
        </w:tc>
        <w:tc>
          <w:tcPr>
            <w:tcW w:w="768" w:type="pct"/>
            <w:vAlign w:val="center"/>
          </w:tcPr>
          <w:p w14:paraId="473DB745"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6.26%</w:t>
            </w:r>
          </w:p>
        </w:tc>
        <w:tc>
          <w:tcPr>
            <w:tcW w:w="512" w:type="pct"/>
            <w:vAlign w:val="center"/>
          </w:tcPr>
          <w:p w14:paraId="25ACB8A5"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6E345EF7"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8</w:t>
            </w:r>
            <w:r>
              <w:rPr>
                <w:rFonts w:ascii="Times New Roman" w:hAnsi="Times New Roman" w:cs="Times New Roman" w:hint="eastAsia"/>
                <w:color w:val="000000"/>
                <w:sz w:val="21"/>
                <w:szCs w:val="21"/>
                <w:lang w:bidi="ar"/>
              </w:rPr>
              <w:t>月</w:t>
            </w:r>
          </w:p>
        </w:tc>
      </w:tr>
      <w:tr w:rsidR="00C02929" w14:paraId="10B3E7C3" w14:textId="77777777">
        <w:trPr>
          <w:trHeight w:val="397"/>
        </w:trPr>
        <w:tc>
          <w:tcPr>
            <w:tcW w:w="1893" w:type="pct"/>
            <w:shd w:val="clear" w:color="auto" w:fill="auto"/>
            <w:vAlign w:val="center"/>
          </w:tcPr>
          <w:p w14:paraId="39BF19AD" w14:textId="77777777" w:rsidR="00C02929" w:rsidRDefault="006116D1">
            <w:pPr>
              <w:rPr>
                <w:rFonts w:ascii="Times New Roman" w:hAnsi="Times New Roman" w:cs="Times New Roman"/>
                <w:color w:val="000000"/>
                <w:sz w:val="21"/>
                <w:szCs w:val="21"/>
              </w:rPr>
            </w:pPr>
            <w:bookmarkStart w:id="76" w:name="OLE_LINK34"/>
            <w:bookmarkStart w:id="77" w:name="OLE_LINK35"/>
            <w:r>
              <w:rPr>
                <w:rFonts w:ascii="Times New Roman" w:hAnsi="Times New Roman" w:cs="Times New Roman" w:hint="eastAsia"/>
                <w:color w:val="000000"/>
                <w:sz w:val="21"/>
                <w:szCs w:val="21"/>
              </w:rPr>
              <w:t>青岛蓝鲸科技有限公司</w:t>
            </w:r>
            <w:bookmarkEnd w:id="76"/>
            <w:bookmarkEnd w:id="77"/>
          </w:p>
        </w:tc>
        <w:tc>
          <w:tcPr>
            <w:tcW w:w="923" w:type="pct"/>
            <w:vAlign w:val="center"/>
          </w:tcPr>
          <w:p w14:paraId="7348E3B4"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300.00</w:t>
            </w:r>
          </w:p>
        </w:tc>
        <w:tc>
          <w:tcPr>
            <w:tcW w:w="768" w:type="pct"/>
            <w:vAlign w:val="center"/>
          </w:tcPr>
          <w:p w14:paraId="4E5452C5"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5.95%</w:t>
            </w:r>
          </w:p>
        </w:tc>
        <w:tc>
          <w:tcPr>
            <w:tcW w:w="512" w:type="pct"/>
            <w:vAlign w:val="center"/>
          </w:tcPr>
          <w:p w14:paraId="13F83C71"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35336B9B"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12</w:t>
            </w:r>
            <w:r>
              <w:rPr>
                <w:rFonts w:ascii="Times New Roman" w:hAnsi="Times New Roman" w:cs="Times New Roman" w:hint="eastAsia"/>
                <w:color w:val="000000"/>
                <w:sz w:val="21"/>
                <w:szCs w:val="21"/>
                <w:lang w:bidi="ar"/>
              </w:rPr>
              <w:t>月</w:t>
            </w:r>
          </w:p>
        </w:tc>
      </w:tr>
      <w:tr w:rsidR="00C02929" w14:paraId="09636F5A" w14:textId="77777777">
        <w:trPr>
          <w:trHeight w:val="397"/>
        </w:trPr>
        <w:tc>
          <w:tcPr>
            <w:tcW w:w="1893" w:type="pct"/>
            <w:shd w:val="clear" w:color="auto" w:fill="auto"/>
            <w:vAlign w:val="center"/>
          </w:tcPr>
          <w:p w14:paraId="60CEDE22" w14:textId="77777777" w:rsidR="00C02929" w:rsidRDefault="006116D1">
            <w:pPr>
              <w:rPr>
                <w:rFonts w:ascii="Times New Roman" w:hAnsi="Times New Roman" w:cs="Times New Roman"/>
                <w:b/>
                <w:bCs/>
                <w:color w:val="000000"/>
                <w:sz w:val="21"/>
                <w:szCs w:val="21"/>
              </w:rPr>
            </w:pPr>
            <w:bookmarkStart w:id="78" w:name="OLE_LINK53"/>
            <w:bookmarkStart w:id="79" w:name="OLE_LINK37"/>
            <w:bookmarkStart w:id="80" w:name="OLE_LINK36"/>
            <w:bookmarkStart w:id="81" w:name="OLE_LINK56"/>
            <w:r>
              <w:rPr>
                <w:rFonts w:ascii="Times New Roman" w:hAnsi="Times New Roman" w:cs="Times New Roman" w:hint="eastAsia"/>
                <w:color w:val="000000"/>
                <w:sz w:val="21"/>
                <w:szCs w:val="21"/>
              </w:rPr>
              <w:t>澳柯玛股份有限公司制造分公司</w:t>
            </w:r>
            <w:bookmarkEnd w:id="78"/>
            <w:bookmarkEnd w:id="79"/>
            <w:bookmarkEnd w:id="80"/>
            <w:bookmarkEnd w:id="81"/>
          </w:p>
        </w:tc>
        <w:tc>
          <w:tcPr>
            <w:tcW w:w="923" w:type="pct"/>
            <w:vAlign w:val="center"/>
          </w:tcPr>
          <w:p w14:paraId="7B2CA45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265.85</w:t>
            </w:r>
          </w:p>
        </w:tc>
        <w:tc>
          <w:tcPr>
            <w:tcW w:w="768" w:type="pct"/>
            <w:vAlign w:val="center"/>
          </w:tcPr>
          <w:p w14:paraId="7AA90C85"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5.28%</w:t>
            </w:r>
          </w:p>
        </w:tc>
        <w:tc>
          <w:tcPr>
            <w:tcW w:w="512" w:type="pct"/>
            <w:vAlign w:val="center"/>
          </w:tcPr>
          <w:p w14:paraId="42523AA2"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67A03D7A"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color w:val="000000"/>
                <w:sz w:val="21"/>
                <w:szCs w:val="21"/>
                <w:lang w:bidi="ar"/>
              </w:rPr>
              <w:t>2020</w:t>
            </w:r>
            <w:r>
              <w:rPr>
                <w:rFonts w:ascii="Times New Roman" w:hAnsi="Times New Roman" w:cs="Times New Roman" w:hint="eastAsia"/>
                <w:color w:val="000000"/>
                <w:sz w:val="21"/>
                <w:szCs w:val="21"/>
                <w:lang w:bidi="ar"/>
              </w:rPr>
              <w:t>年</w:t>
            </w:r>
            <w:r>
              <w:rPr>
                <w:rFonts w:ascii="Times New Roman" w:hAnsi="Times New Roman" w:cs="Times New Roman"/>
                <w:color w:val="000000"/>
                <w:sz w:val="21"/>
                <w:szCs w:val="21"/>
                <w:lang w:bidi="ar"/>
              </w:rPr>
              <w:t>9</w:t>
            </w:r>
            <w:r>
              <w:rPr>
                <w:rFonts w:ascii="Times New Roman" w:hAnsi="Times New Roman" w:cs="Times New Roman" w:hint="eastAsia"/>
                <w:color w:val="000000"/>
                <w:sz w:val="21"/>
                <w:szCs w:val="21"/>
                <w:lang w:bidi="ar"/>
              </w:rPr>
              <w:t>月</w:t>
            </w:r>
          </w:p>
        </w:tc>
      </w:tr>
      <w:tr w:rsidR="00C02929" w14:paraId="2250A3BF" w14:textId="77777777">
        <w:trPr>
          <w:trHeight w:val="397"/>
        </w:trPr>
        <w:tc>
          <w:tcPr>
            <w:tcW w:w="1893" w:type="pct"/>
            <w:shd w:val="clear" w:color="auto" w:fill="auto"/>
            <w:vAlign w:val="center"/>
          </w:tcPr>
          <w:p w14:paraId="46B3971A" w14:textId="77777777" w:rsidR="00C02929" w:rsidRDefault="006116D1">
            <w:pPr>
              <w:rPr>
                <w:rFonts w:ascii="Times New Roman" w:hAnsi="Times New Roman" w:cs="Times New Roman"/>
                <w:color w:val="000000"/>
                <w:sz w:val="21"/>
                <w:szCs w:val="21"/>
              </w:rPr>
            </w:pPr>
            <w:bookmarkStart w:id="82" w:name="OLE_LINK54"/>
            <w:bookmarkStart w:id="83" w:name="OLE_LINK55"/>
            <w:bookmarkStart w:id="84" w:name="OLE_LINK57"/>
            <w:r>
              <w:rPr>
                <w:rFonts w:ascii="Times New Roman" w:hAnsi="Times New Roman" w:cs="Times New Roman" w:hint="eastAsia"/>
                <w:color w:val="000000"/>
                <w:sz w:val="21"/>
                <w:szCs w:val="21"/>
              </w:rPr>
              <w:t>青岛海尔智慧电器设备有限公司</w:t>
            </w:r>
            <w:bookmarkEnd w:id="82"/>
            <w:bookmarkEnd w:id="83"/>
            <w:bookmarkEnd w:id="84"/>
          </w:p>
        </w:tc>
        <w:tc>
          <w:tcPr>
            <w:tcW w:w="923" w:type="pct"/>
            <w:vAlign w:val="center"/>
          </w:tcPr>
          <w:p w14:paraId="72B89E41"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243.83</w:t>
            </w:r>
          </w:p>
        </w:tc>
        <w:tc>
          <w:tcPr>
            <w:tcW w:w="768" w:type="pct"/>
            <w:vAlign w:val="center"/>
          </w:tcPr>
          <w:p w14:paraId="2F9C0D57" w14:textId="77777777" w:rsidR="00C02929" w:rsidRDefault="006116D1">
            <w:pPr>
              <w:jc w:val="right"/>
              <w:rPr>
                <w:rFonts w:ascii="Times New Roman" w:hAnsi="Times New Roman" w:cs="Times New Roman"/>
                <w:sz w:val="21"/>
                <w:szCs w:val="21"/>
              </w:rPr>
            </w:pPr>
            <w:r>
              <w:rPr>
                <w:rFonts w:ascii="Times New Roman" w:eastAsia="等线" w:hAnsi="Times New Roman" w:cs="Times New Roman"/>
                <w:color w:val="000000"/>
                <w:sz w:val="21"/>
                <w:szCs w:val="21"/>
              </w:rPr>
              <w:t>4.84%</w:t>
            </w:r>
          </w:p>
        </w:tc>
        <w:tc>
          <w:tcPr>
            <w:tcW w:w="512" w:type="pct"/>
            <w:vAlign w:val="center"/>
          </w:tcPr>
          <w:p w14:paraId="10B88179" w14:textId="77777777" w:rsidR="00C02929" w:rsidRDefault="006116D1">
            <w:pPr>
              <w:jc w:val="right"/>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c>
          <w:tcPr>
            <w:tcW w:w="904" w:type="pct"/>
            <w:vAlign w:val="center"/>
          </w:tcPr>
          <w:p w14:paraId="114BC1A5"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多个项目</w:t>
            </w:r>
          </w:p>
        </w:tc>
      </w:tr>
      <w:tr w:rsidR="00C02929" w14:paraId="252430E7" w14:textId="77777777">
        <w:trPr>
          <w:trHeight w:val="397"/>
        </w:trPr>
        <w:tc>
          <w:tcPr>
            <w:tcW w:w="1893" w:type="pct"/>
            <w:shd w:val="clear" w:color="auto" w:fill="auto"/>
            <w:vAlign w:val="center"/>
          </w:tcPr>
          <w:p w14:paraId="0AA690D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923" w:type="pct"/>
            <w:vAlign w:val="center"/>
          </w:tcPr>
          <w:p w14:paraId="330F08EE" w14:textId="77777777" w:rsidR="00C02929" w:rsidRDefault="006116D1">
            <w:pPr>
              <w:jc w:val="right"/>
              <w:rPr>
                <w:rFonts w:ascii="Times New Roman" w:hAnsi="Times New Roman" w:cs="Times New Roman"/>
                <w:b/>
                <w:bCs/>
                <w:color w:val="000000"/>
                <w:sz w:val="21"/>
                <w:szCs w:val="21"/>
              </w:rPr>
            </w:pPr>
            <w:bookmarkStart w:id="85" w:name="OLE_LINK30"/>
            <w:bookmarkStart w:id="86" w:name="OLE_LINK29"/>
            <w:r>
              <w:rPr>
                <w:rFonts w:ascii="Times New Roman" w:hAnsi="Times New Roman" w:cs="Times New Roman"/>
                <w:b/>
                <w:bCs/>
                <w:color w:val="000000"/>
                <w:sz w:val="21"/>
                <w:szCs w:val="21"/>
              </w:rPr>
              <w:t>3,986.82</w:t>
            </w:r>
            <w:bookmarkEnd w:id="85"/>
            <w:bookmarkEnd w:id="86"/>
          </w:p>
        </w:tc>
        <w:tc>
          <w:tcPr>
            <w:tcW w:w="768" w:type="pct"/>
            <w:vAlign w:val="center"/>
          </w:tcPr>
          <w:p w14:paraId="62D66C39" w14:textId="77777777" w:rsidR="00C02929" w:rsidRDefault="006116D1">
            <w:pPr>
              <w:jc w:val="right"/>
              <w:rPr>
                <w:rFonts w:ascii="Times New Roman" w:hAnsi="Times New Roman" w:cs="Times New Roman"/>
                <w:b/>
                <w:bCs/>
                <w:sz w:val="21"/>
                <w:szCs w:val="21"/>
              </w:rPr>
            </w:pPr>
            <w:r>
              <w:rPr>
                <w:rFonts w:ascii="Times New Roman" w:eastAsia="等线" w:hAnsi="Times New Roman" w:cs="Times New Roman"/>
                <w:b/>
                <w:bCs/>
                <w:color w:val="000000"/>
                <w:sz w:val="21"/>
                <w:szCs w:val="21"/>
              </w:rPr>
              <w:t>79.12%</w:t>
            </w:r>
          </w:p>
        </w:tc>
        <w:tc>
          <w:tcPr>
            <w:tcW w:w="512" w:type="pct"/>
            <w:vAlign w:val="center"/>
          </w:tcPr>
          <w:p w14:paraId="5702B7C6" w14:textId="77777777" w:rsidR="00C02929" w:rsidRDefault="006116D1">
            <w:pPr>
              <w:jc w:val="right"/>
              <w:textAlignment w:val="center"/>
              <w:rPr>
                <w:rFonts w:ascii="Times New Roman" w:hAnsi="Times New Roman" w:cs="Times New Roman"/>
                <w:b/>
                <w:bCs/>
                <w:color w:val="000000"/>
                <w:sz w:val="21"/>
                <w:szCs w:val="21"/>
              </w:rPr>
            </w:pPr>
            <w:r>
              <w:rPr>
                <w:rFonts w:ascii="Times New Roman" w:hAnsi="Times New Roman" w:cs="Times New Roman"/>
                <w:b/>
                <w:bCs/>
                <w:color w:val="000000"/>
                <w:sz w:val="21"/>
                <w:szCs w:val="21"/>
                <w:lang w:bidi="ar"/>
              </w:rPr>
              <w:t>589.73</w:t>
            </w:r>
          </w:p>
        </w:tc>
        <w:tc>
          <w:tcPr>
            <w:tcW w:w="904" w:type="pct"/>
            <w:vAlign w:val="center"/>
          </w:tcPr>
          <w:p w14:paraId="1E510471" w14:textId="77777777" w:rsidR="00C02929" w:rsidRDefault="006116D1">
            <w:pPr>
              <w:jc w:val="center"/>
              <w:textAlignment w:val="center"/>
              <w:rPr>
                <w:rFonts w:ascii="Times New Roman" w:hAnsi="Times New Roman" w:cs="Times New Roman"/>
                <w:color w:val="000000"/>
                <w:sz w:val="21"/>
                <w:szCs w:val="21"/>
              </w:rPr>
            </w:pPr>
            <w:r>
              <w:rPr>
                <w:rFonts w:ascii="Times New Roman" w:hAnsi="Times New Roman" w:cs="Times New Roman" w:hint="eastAsia"/>
                <w:color w:val="000000"/>
                <w:sz w:val="21"/>
                <w:szCs w:val="21"/>
                <w:lang w:bidi="ar"/>
              </w:rPr>
              <w:t>-</w:t>
            </w:r>
          </w:p>
        </w:tc>
      </w:tr>
    </w:tbl>
    <w:bookmarkEnd w:id="66"/>
    <w:bookmarkEnd w:id="67"/>
    <w:p w14:paraId="7874DD3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日，标的公司前十大应收账款客户金额合计</w:t>
      </w:r>
      <w:r>
        <w:rPr>
          <w:rFonts w:ascii="Times New Roman" w:hAnsi="Times New Roman" w:cs="Times New Roman"/>
        </w:rPr>
        <w:t>3,986.82</w:t>
      </w:r>
      <w:r>
        <w:rPr>
          <w:rFonts w:ascii="Times New Roman" w:hAnsi="Times New Roman" w:cs="Times New Roman" w:hint="eastAsia"/>
        </w:rPr>
        <w:t>万元，截至本核查意见出具日回款金额合计为</w:t>
      </w:r>
      <w:r>
        <w:rPr>
          <w:rFonts w:ascii="Times New Roman" w:hAnsi="Times New Roman" w:cs="Times New Roman"/>
        </w:rPr>
        <w:t>589.73</w:t>
      </w:r>
      <w:r>
        <w:rPr>
          <w:rFonts w:ascii="Times New Roman" w:hAnsi="Times New Roman" w:cs="Times New Roman" w:hint="eastAsia"/>
        </w:rPr>
        <w:t>万元。由上表可见，标的公司大部分应收账款客户完成验收并确认收入的时间段在</w:t>
      </w:r>
      <w:r>
        <w:rPr>
          <w:rFonts w:ascii="Times New Roman" w:hAnsi="Times New Roman" w:cs="Times New Roman"/>
        </w:rPr>
        <w:t>2020</w:t>
      </w:r>
      <w:r>
        <w:rPr>
          <w:rFonts w:ascii="Times New Roman" w:hAnsi="Times New Roman" w:cs="Times New Roman" w:hint="eastAsia"/>
        </w:rPr>
        <w:t>年三、四季度，账龄均为</w:t>
      </w:r>
      <w:r>
        <w:rPr>
          <w:rFonts w:ascii="Times New Roman" w:hAnsi="Times New Roman" w:cs="Times New Roman"/>
        </w:rPr>
        <w:t>6</w:t>
      </w:r>
      <w:r>
        <w:rPr>
          <w:rFonts w:ascii="Times New Roman" w:hAnsi="Times New Roman" w:cs="Times New Roman" w:hint="eastAsia"/>
        </w:rPr>
        <w:t>个月以内；青岛胶南海尔洗衣机有限公司应收账款由多个项目构成，已于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w:t>
      </w:r>
      <w:r>
        <w:rPr>
          <w:rFonts w:ascii="Times New Roman" w:hAnsi="Times New Roman" w:cs="Times New Roman" w:hint="eastAsia"/>
        </w:rPr>
        <w:t>月回款</w:t>
      </w:r>
      <w:r>
        <w:rPr>
          <w:rFonts w:ascii="Times New Roman" w:hAnsi="Times New Roman" w:cs="Times New Roman"/>
        </w:rPr>
        <w:t>241.67</w:t>
      </w:r>
      <w:r>
        <w:rPr>
          <w:rFonts w:ascii="Times New Roman" w:hAnsi="Times New Roman" w:cs="Times New Roman" w:hint="eastAsia"/>
        </w:rPr>
        <w:t>万元，预计将于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6</w:t>
      </w:r>
      <w:r>
        <w:rPr>
          <w:rFonts w:ascii="Times New Roman" w:hAnsi="Times New Roman" w:cs="Times New Roman" w:hint="eastAsia"/>
        </w:rPr>
        <w:t>月增加回款</w:t>
      </w:r>
      <w:r>
        <w:rPr>
          <w:rFonts w:ascii="Times New Roman" w:hAnsi="Times New Roman" w:cs="Times New Roman"/>
        </w:rPr>
        <w:t>87.6</w:t>
      </w:r>
      <w:r>
        <w:rPr>
          <w:rFonts w:ascii="Times New Roman" w:hAnsi="Times New Roman" w:cs="Times New Roman" w:hint="eastAsia"/>
        </w:rPr>
        <w:t>万元，其余款项将在</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10</w:t>
      </w:r>
      <w:r>
        <w:rPr>
          <w:rFonts w:ascii="Times New Roman" w:hAnsi="Times New Roman" w:cs="Times New Roman" w:hint="eastAsia"/>
        </w:rPr>
        <w:t>月前回款完毕；除项目验收款外，由于青岛海尔机器人有限公司、澳柯玛股份有限公司制造分公司、青岛海尔智慧电器设备有限公司与北洋天青就多个项目进行合作，针对这些客户的应收账款中还包含部分其他项目的质保金。</w:t>
      </w:r>
    </w:p>
    <w:p w14:paraId="3656816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综上所述，北洋天青截至本核查意见出具日回款状况良好，暂无较大金额的逾期应收账款。</w:t>
      </w:r>
    </w:p>
    <w:p w14:paraId="2FAE6BB0"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四、北洋天青应收账款水平较高的原因</w:t>
      </w:r>
    </w:p>
    <w:p w14:paraId="516605AB"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报告期各期末，标的公司的应收账款余额分别为</w:t>
      </w:r>
      <w:r>
        <w:rPr>
          <w:rFonts w:ascii="Times New Roman" w:hAnsi="Times New Roman" w:cs="Times New Roman"/>
          <w:color w:val="000000"/>
          <w:lang w:val="en-GB"/>
        </w:rPr>
        <w:t>1,422.65</w:t>
      </w:r>
      <w:r>
        <w:rPr>
          <w:rFonts w:ascii="Times New Roman" w:hAnsi="Times New Roman" w:cs="Times New Roman" w:hint="eastAsia"/>
          <w:color w:val="000000"/>
          <w:lang w:val="en-GB"/>
        </w:rPr>
        <w:t>万元、</w:t>
      </w:r>
      <w:r>
        <w:rPr>
          <w:rFonts w:ascii="Times New Roman" w:hAnsi="Times New Roman" w:cs="Times New Roman"/>
          <w:color w:val="000000"/>
          <w:lang w:val="en-GB"/>
        </w:rPr>
        <w:t>3,126.26</w:t>
      </w:r>
      <w:r>
        <w:rPr>
          <w:rFonts w:ascii="Times New Roman" w:hAnsi="Times New Roman" w:cs="Times New Roman" w:hint="eastAsia"/>
          <w:color w:val="000000"/>
          <w:lang w:val="en-GB"/>
        </w:rPr>
        <w:t>万元和</w:t>
      </w:r>
      <w:r>
        <w:rPr>
          <w:rFonts w:ascii="Times New Roman" w:hAnsi="Times New Roman" w:cs="Times New Roman"/>
          <w:color w:val="000000"/>
          <w:lang w:val="en-GB"/>
        </w:rPr>
        <w:t>4,</w:t>
      </w:r>
      <w:r>
        <w:rPr>
          <w:rFonts w:ascii="Times New Roman" w:hAnsi="Times New Roman" w:cs="Times New Roman"/>
          <w:color w:val="000000"/>
        </w:rPr>
        <w:t>745.91</w:t>
      </w:r>
      <w:r>
        <w:rPr>
          <w:rFonts w:ascii="Times New Roman" w:hAnsi="Times New Roman" w:cs="Times New Roman" w:hint="eastAsia"/>
          <w:color w:val="000000"/>
          <w:lang w:val="en-GB"/>
        </w:rPr>
        <w:t>万元，占总资产的比例分别为</w:t>
      </w:r>
      <w:r>
        <w:rPr>
          <w:rFonts w:ascii="Times New Roman" w:hAnsi="Times New Roman" w:cs="Times New Roman"/>
          <w:color w:val="000000"/>
          <w:lang w:val="en-GB"/>
        </w:rPr>
        <w:t>18.14%</w:t>
      </w:r>
      <w:r>
        <w:rPr>
          <w:rFonts w:ascii="Times New Roman" w:hAnsi="Times New Roman" w:cs="Times New Roman" w:hint="eastAsia"/>
          <w:color w:val="000000"/>
          <w:lang w:val="en-GB"/>
        </w:rPr>
        <w:t>、</w:t>
      </w:r>
      <w:r>
        <w:rPr>
          <w:rFonts w:ascii="Times New Roman" w:hAnsi="Times New Roman" w:cs="Times New Roman"/>
          <w:color w:val="000000"/>
          <w:lang w:val="en-GB"/>
        </w:rPr>
        <w:t>32.79%</w:t>
      </w:r>
      <w:r>
        <w:rPr>
          <w:rFonts w:ascii="Times New Roman" w:hAnsi="Times New Roman" w:cs="Times New Roman" w:hint="eastAsia"/>
          <w:color w:val="000000"/>
          <w:lang w:val="en-GB"/>
        </w:rPr>
        <w:t>和</w:t>
      </w:r>
      <w:r>
        <w:rPr>
          <w:rFonts w:ascii="Times New Roman" w:hAnsi="Times New Roman" w:cs="Times New Roman"/>
          <w:color w:val="000000"/>
          <w:lang w:val="en-GB"/>
        </w:rPr>
        <w:t>17.49%</w:t>
      </w:r>
      <w:r>
        <w:rPr>
          <w:rFonts w:ascii="Times New Roman" w:hAnsi="Times New Roman" w:cs="Times New Roman" w:hint="eastAsia"/>
          <w:color w:val="000000"/>
          <w:lang w:val="en-GB"/>
        </w:rPr>
        <w:t>。</w:t>
      </w:r>
      <w:r>
        <w:rPr>
          <w:rFonts w:ascii="Times New Roman" w:hAnsi="Times New Roman" w:cs="Times New Roman"/>
          <w:color w:val="000000"/>
          <w:lang w:val="en-GB"/>
        </w:rPr>
        <w:t>2019</w:t>
      </w:r>
      <w:r>
        <w:rPr>
          <w:rFonts w:ascii="Times New Roman" w:hAnsi="Times New Roman" w:cs="Times New Roman" w:hint="eastAsia"/>
          <w:color w:val="000000"/>
          <w:lang w:val="en-GB"/>
        </w:rPr>
        <w:t>年标的公司应收账款相较于</w:t>
      </w:r>
      <w:r>
        <w:rPr>
          <w:rFonts w:ascii="Times New Roman" w:hAnsi="Times New Roman" w:cs="Times New Roman"/>
          <w:color w:val="000000"/>
          <w:lang w:val="en-GB"/>
        </w:rPr>
        <w:t>2018</w:t>
      </w:r>
      <w:r>
        <w:rPr>
          <w:rFonts w:ascii="Times New Roman" w:hAnsi="Times New Roman" w:cs="Times New Roman" w:hint="eastAsia"/>
          <w:color w:val="000000"/>
          <w:lang w:val="en-GB"/>
        </w:rPr>
        <w:t>年大幅增加</w:t>
      </w:r>
      <w:r>
        <w:rPr>
          <w:rFonts w:ascii="Times New Roman" w:hAnsi="Times New Roman" w:cs="Times New Roman"/>
          <w:color w:val="000000"/>
          <w:lang w:val="en-GB"/>
        </w:rPr>
        <w:t>119.75%</w:t>
      </w:r>
      <w:r>
        <w:rPr>
          <w:rFonts w:ascii="Times New Roman" w:hAnsi="Times New Roman" w:cs="Times New Roman" w:hint="eastAsia"/>
          <w:color w:val="000000"/>
          <w:lang w:val="en-GB"/>
        </w:rPr>
        <w:t>，主要系标的公司经营状况良好，业务规模持续扩大，营业收入持续上升，从而导致应收账款规模相应增</w:t>
      </w:r>
      <w:r>
        <w:rPr>
          <w:rFonts w:ascii="Times New Roman" w:hAnsi="Times New Roman" w:cs="Times New Roman" w:hint="eastAsia"/>
          <w:color w:val="000000"/>
          <w:lang w:val="en-GB"/>
        </w:rPr>
        <w:lastRenderedPageBreak/>
        <w:t>长所致。</w:t>
      </w:r>
      <w:r>
        <w:rPr>
          <w:rFonts w:ascii="Times New Roman" w:hAnsi="Times New Roman" w:cs="Times New Roman"/>
          <w:color w:val="000000"/>
          <w:lang w:val="en-GB"/>
        </w:rPr>
        <w:t>2020</w:t>
      </w:r>
      <w:r>
        <w:rPr>
          <w:rFonts w:ascii="Times New Roman" w:hAnsi="Times New Roman" w:cs="Times New Roman" w:hint="eastAsia"/>
          <w:color w:val="000000"/>
          <w:lang w:val="en-GB"/>
        </w:rPr>
        <w:t>年末，标的公司应收账款相较于</w:t>
      </w:r>
      <w:r>
        <w:rPr>
          <w:rFonts w:ascii="Times New Roman" w:hAnsi="Times New Roman" w:cs="Times New Roman"/>
          <w:color w:val="000000"/>
          <w:lang w:val="en-GB"/>
        </w:rPr>
        <w:t>2019</w:t>
      </w:r>
      <w:r>
        <w:rPr>
          <w:rFonts w:ascii="Times New Roman" w:hAnsi="Times New Roman" w:cs="Times New Roman" w:hint="eastAsia"/>
          <w:color w:val="000000"/>
          <w:lang w:val="en-GB"/>
        </w:rPr>
        <w:t>年末增加</w:t>
      </w:r>
      <w:r>
        <w:rPr>
          <w:rFonts w:ascii="Times New Roman" w:hAnsi="Times New Roman" w:cs="Times New Roman"/>
          <w:color w:val="000000"/>
          <w:lang w:val="en-GB"/>
        </w:rPr>
        <w:t>5</w:t>
      </w:r>
      <w:r>
        <w:rPr>
          <w:rFonts w:ascii="Times New Roman" w:hAnsi="Times New Roman" w:cs="Times New Roman"/>
          <w:color w:val="000000"/>
        </w:rPr>
        <w:t>1.81</w:t>
      </w:r>
      <w:r>
        <w:rPr>
          <w:rFonts w:ascii="Times New Roman" w:hAnsi="Times New Roman" w:cs="Times New Roman"/>
          <w:color w:val="000000"/>
          <w:lang w:val="en-GB"/>
        </w:rPr>
        <w:t>%</w:t>
      </w:r>
      <w:r>
        <w:rPr>
          <w:rFonts w:ascii="Times New Roman" w:hAnsi="Times New Roman" w:cs="Times New Roman" w:hint="eastAsia"/>
          <w:color w:val="000000"/>
          <w:lang w:val="en-GB"/>
        </w:rPr>
        <w:t>，主要系受疫情影响，客户回款较慢所致。</w:t>
      </w:r>
    </w:p>
    <w:p w14:paraId="51F45CF1"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各期末，标的公司无单项金额重大并单项计提坏账准备的应收账款，无单项金额不重大但单项计提坏账准备的应收账款，应收账款全部为按账龄分析组合计提坏账准备的应收账款，标的公司的应收账款余额分类情况如下所示：</w:t>
      </w:r>
    </w:p>
    <w:p w14:paraId="269E7201"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987"/>
        <w:gridCol w:w="1018"/>
        <w:gridCol w:w="1134"/>
        <w:gridCol w:w="1276"/>
        <w:gridCol w:w="1659"/>
        <w:gridCol w:w="1288"/>
      </w:tblGrid>
      <w:tr w:rsidR="00C02929" w14:paraId="73786417" w14:textId="77777777">
        <w:trPr>
          <w:cantSplit/>
          <w:trHeight w:val="397"/>
          <w:tblHeader/>
        </w:trPr>
        <w:tc>
          <w:tcPr>
            <w:tcW w:w="1188" w:type="pct"/>
            <w:vMerge w:val="restart"/>
            <w:tcMar>
              <w:left w:w="28" w:type="dxa"/>
              <w:right w:w="28" w:type="dxa"/>
            </w:tcMar>
            <w:vAlign w:val="center"/>
          </w:tcPr>
          <w:p w14:paraId="27884BC9" w14:textId="77777777" w:rsidR="00C02929" w:rsidRDefault="006116D1">
            <w:pPr>
              <w:spacing w:line="360" w:lineRule="exact"/>
              <w:jc w:val="center"/>
              <w:rPr>
                <w:rFonts w:ascii="Times New Roman" w:hAnsi="Times New Roman" w:cs="Times New Roman"/>
                <w:b/>
                <w:sz w:val="21"/>
                <w:szCs w:val="21"/>
              </w:rPr>
            </w:pPr>
            <w:bookmarkStart w:id="87" w:name="OLE_LINK1"/>
            <w:r>
              <w:rPr>
                <w:rFonts w:ascii="Times New Roman" w:hAnsi="Times New Roman" w:cs="Times New Roman" w:hint="eastAsia"/>
                <w:b/>
                <w:sz w:val="21"/>
                <w:szCs w:val="21"/>
              </w:rPr>
              <w:t>类别</w:t>
            </w:r>
          </w:p>
        </w:tc>
        <w:tc>
          <w:tcPr>
            <w:tcW w:w="3812" w:type="pct"/>
            <w:gridSpan w:val="5"/>
            <w:tcMar>
              <w:left w:w="28" w:type="dxa"/>
              <w:right w:w="28" w:type="dxa"/>
            </w:tcMar>
            <w:vAlign w:val="center"/>
          </w:tcPr>
          <w:p w14:paraId="32D01312"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color w:val="000000"/>
                <w:sz w:val="21"/>
                <w:szCs w:val="21"/>
              </w:rPr>
              <w:t>2020</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r>
      <w:tr w:rsidR="00C02929" w14:paraId="08E9BB31" w14:textId="77777777">
        <w:trPr>
          <w:cantSplit/>
          <w:trHeight w:val="397"/>
          <w:tblHeader/>
        </w:trPr>
        <w:tc>
          <w:tcPr>
            <w:tcW w:w="1188" w:type="pct"/>
            <w:vMerge/>
            <w:tcMar>
              <w:left w:w="28" w:type="dxa"/>
              <w:right w:w="28" w:type="dxa"/>
            </w:tcMar>
            <w:vAlign w:val="center"/>
          </w:tcPr>
          <w:p w14:paraId="6CA4BC4A" w14:textId="77777777" w:rsidR="00C02929" w:rsidRDefault="00C02929">
            <w:pPr>
              <w:spacing w:line="360" w:lineRule="exact"/>
              <w:jc w:val="center"/>
              <w:rPr>
                <w:rFonts w:ascii="Times New Roman" w:hAnsi="Times New Roman" w:cs="Times New Roman"/>
                <w:b/>
                <w:sz w:val="21"/>
                <w:szCs w:val="21"/>
              </w:rPr>
            </w:pPr>
          </w:p>
        </w:tc>
        <w:tc>
          <w:tcPr>
            <w:tcW w:w="1287" w:type="pct"/>
            <w:gridSpan w:val="2"/>
            <w:tcMar>
              <w:left w:w="28" w:type="dxa"/>
              <w:right w:w="28" w:type="dxa"/>
            </w:tcMar>
            <w:vAlign w:val="center"/>
          </w:tcPr>
          <w:p w14:paraId="06D85F7E"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1755" w:type="pct"/>
            <w:gridSpan w:val="2"/>
            <w:tcMar>
              <w:left w:w="28" w:type="dxa"/>
              <w:right w:w="28" w:type="dxa"/>
            </w:tcMar>
            <w:vAlign w:val="center"/>
          </w:tcPr>
          <w:p w14:paraId="35D41AF3"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770" w:type="pct"/>
            <w:vMerge w:val="restart"/>
            <w:tcMar>
              <w:left w:w="28" w:type="dxa"/>
              <w:right w:w="28" w:type="dxa"/>
            </w:tcMar>
            <w:vAlign w:val="center"/>
          </w:tcPr>
          <w:p w14:paraId="251A9C45"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账面价值</w:t>
            </w:r>
          </w:p>
        </w:tc>
      </w:tr>
      <w:tr w:rsidR="00C02929" w14:paraId="71558D72" w14:textId="77777777">
        <w:trPr>
          <w:cantSplit/>
          <w:trHeight w:val="397"/>
          <w:tblHeader/>
        </w:trPr>
        <w:tc>
          <w:tcPr>
            <w:tcW w:w="1188" w:type="pct"/>
            <w:vMerge/>
            <w:tcMar>
              <w:left w:w="28" w:type="dxa"/>
              <w:right w:w="28" w:type="dxa"/>
            </w:tcMar>
            <w:vAlign w:val="center"/>
          </w:tcPr>
          <w:p w14:paraId="09BEFC27" w14:textId="77777777" w:rsidR="00C02929" w:rsidRDefault="00C02929">
            <w:pPr>
              <w:spacing w:line="360" w:lineRule="exact"/>
              <w:jc w:val="center"/>
              <w:rPr>
                <w:rFonts w:ascii="Times New Roman" w:hAnsi="Times New Roman" w:cs="Times New Roman"/>
                <w:b/>
                <w:sz w:val="21"/>
                <w:szCs w:val="21"/>
              </w:rPr>
            </w:pPr>
          </w:p>
        </w:tc>
        <w:tc>
          <w:tcPr>
            <w:tcW w:w="609" w:type="pct"/>
            <w:tcMar>
              <w:left w:w="28" w:type="dxa"/>
              <w:right w:w="28" w:type="dxa"/>
            </w:tcMar>
            <w:vAlign w:val="center"/>
          </w:tcPr>
          <w:p w14:paraId="7EDC243A"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金额</w:t>
            </w:r>
          </w:p>
        </w:tc>
        <w:tc>
          <w:tcPr>
            <w:tcW w:w="678" w:type="pct"/>
            <w:tcMar>
              <w:left w:w="28" w:type="dxa"/>
              <w:right w:w="28" w:type="dxa"/>
            </w:tcMar>
            <w:vAlign w:val="center"/>
          </w:tcPr>
          <w:p w14:paraId="5E66D0E3"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比例（</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63" w:type="pct"/>
            <w:tcMar>
              <w:left w:w="28" w:type="dxa"/>
              <w:right w:w="28" w:type="dxa"/>
            </w:tcMar>
            <w:vAlign w:val="center"/>
          </w:tcPr>
          <w:p w14:paraId="29686C35"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金额</w:t>
            </w:r>
          </w:p>
        </w:tc>
        <w:tc>
          <w:tcPr>
            <w:tcW w:w="992" w:type="pct"/>
            <w:tcMar>
              <w:left w:w="28" w:type="dxa"/>
              <w:right w:w="28" w:type="dxa"/>
            </w:tcMar>
            <w:vAlign w:val="center"/>
          </w:tcPr>
          <w:p w14:paraId="260BFBA1"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计提比例（</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70" w:type="pct"/>
            <w:vMerge/>
            <w:tcMar>
              <w:left w:w="28" w:type="dxa"/>
              <w:right w:w="28" w:type="dxa"/>
            </w:tcMar>
            <w:vAlign w:val="center"/>
          </w:tcPr>
          <w:p w14:paraId="34C1292E" w14:textId="77777777" w:rsidR="00C02929" w:rsidRDefault="00C02929">
            <w:pPr>
              <w:spacing w:line="360" w:lineRule="exact"/>
              <w:jc w:val="center"/>
              <w:rPr>
                <w:rFonts w:ascii="Times New Roman" w:hAnsi="Times New Roman" w:cs="Times New Roman"/>
                <w:b/>
                <w:sz w:val="21"/>
                <w:szCs w:val="21"/>
              </w:rPr>
            </w:pPr>
          </w:p>
        </w:tc>
      </w:tr>
      <w:tr w:rsidR="00C02929" w14:paraId="3EE5F0EF" w14:textId="77777777">
        <w:trPr>
          <w:cantSplit/>
          <w:trHeight w:val="397"/>
        </w:trPr>
        <w:tc>
          <w:tcPr>
            <w:tcW w:w="1188" w:type="pct"/>
            <w:tcMar>
              <w:left w:w="28" w:type="dxa"/>
              <w:right w:w="28" w:type="dxa"/>
            </w:tcMar>
            <w:vAlign w:val="center"/>
          </w:tcPr>
          <w:p w14:paraId="7A20300B" w14:textId="77777777" w:rsidR="00C02929" w:rsidRDefault="006116D1">
            <w:pPr>
              <w:spacing w:line="360" w:lineRule="exact"/>
              <w:rPr>
                <w:rFonts w:ascii="Times New Roman" w:hAnsi="Times New Roman" w:cs="Times New Roman"/>
                <w:b/>
                <w:sz w:val="21"/>
                <w:szCs w:val="21"/>
              </w:rPr>
            </w:pPr>
            <w:r>
              <w:rPr>
                <w:rFonts w:ascii="Times New Roman" w:hAnsi="Times New Roman" w:cs="Times New Roman" w:hint="eastAsia"/>
                <w:sz w:val="21"/>
                <w:szCs w:val="21"/>
              </w:rPr>
              <w:t>按组合计提坏账准备</w:t>
            </w:r>
          </w:p>
        </w:tc>
        <w:tc>
          <w:tcPr>
            <w:tcW w:w="609" w:type="pct"/>
            <w:tcMar>
              <w:left w:w="28" w:type="dxa"/>
              <w:right w:w="28" w:type="dxa"/>
            </w:tcMar>
            <w:vAlign w:val="center"/>
          </w:tcPr>
          <w:p w14:paraId="3FE009E9" w14:textId="77777777" w:rsidR="00C02929" w:rsidRDefault="006116D1">
            <w:pPr>
              <w:spacing w:line="360" w:lineRule="exact"/>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5,039.19</w:t>
            </w:r>
          </w:p>
        </w:tc>
        <w:tc>
          <w:tcPr>
            <w:tcW w:w="678" w:type="pct"/>
            <w:tcMar>
              <w:left w:w="28" w:type="dxa"/>
              <w:right w:w="28" w:type="dxa"/>
            </w:tcMar>
            <w:vAlign w:val="center"/>
          </w:tcPr>
          <w:p w14:paraId="10E9097D" w14:textId="77777777" w:rsidR="00C02929" w:rsidRDefault="006116D1">
            <w:pPr>
              <w:spacing w:line="360" w:lineRule="exact"/>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100.00</w:t>
            </w:r>
          </w:p>
        </w:tc>
        <w:tc>
          <w:tcPr>
            <w:tcW w:w="763" w:type="pct"/>
            <w:tcMar>
              <w:left w:w="28" w:type="dxa"/>
              <w:right w:w="28" w:type="dxa"/>
            </w:tcMar>
            <w:vAlign w:val="center"/>
          </w:tcPr>
          <w:p w14:paraId="571DABB8" w14:textId="77777777" w:rsidR="00C02929" w:rsidRDefault="006116D1">
            <w:pPr>
              <w:spacing w:line="360" w:lineRule="exact"/>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293.28</w:t>
            </w:r>
          </w:p>
        </w:tc>
        <w:tc>
          <w:tcPr>
            <w:tcW w:w="992" w:type="pct"/>
            <w:tcMar>
              <w:left w:w="28" w:type="dxa"/>
              <w:right w:w="28" w:type="dxa"/>
            </w:tcMar>
            <w:vAlign w:val="center"/>
          </w:tcPr>
          <w:p w14:paraId="28518B3C" w14:textId="77777777" w:rsidR="00C02929" w:rsidRDefault="006116D1">
            <w:pPr>
              <w:spacing w:line="360" w:lineRule="exact"/>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5.82</w:t>
            </w:r>
          </w:p>
        </w:tc>
        <w:tc>
          <w:tcPr>
            <w:tcW w:w="770" w:type="pct"/>
            <w:tcMar>
              <w:left w:w="28" w:type="dxa"/>
              <w:right w:w="28" w:type="dxa"/>
            </w:tcMar>
            <w:vAlign w:val="center"/>
          </w:tcPr>
          <w:p w14:paraId="5B574B05" w14:textId="77777777" w:rsidR="00C02929" w:rsidRDefault="006116D1">
            <w:pPr>
              <w:spacing w:line="360" w:lineRule="exact"/>
              <w:jc w:val="right"/>
              <w:rPr>
                <w:rFonts w:ascii="Times New Roman" w:eastAsia="等线" w:hAnsi="Times New Roman" w:cs="Times New Roman"/>
                <w:color w:val="000000"/>
                <w:spacing w:val="-10"/>
                <w:sz w:val="21"/>
                <w:szCs w:val="21"/>
              </w:rPr>
            </w:pPr>
            <w:r>
              <w:rPr>
                <w:rFonts w:ascii="Times New Roman" w:eastAsia="等线" w:hAnsi="Times New Roman" w:cs="Times New Roman"/>
                <w:color w:val="000000"/>
                <w:sz w:val="21"/>
                <w:szCs w:val="21"/>
              </w:rPr>
              <w:t>4,745.91</w:t>
            </w:r>
          </w:p>
        </w:tc>
      </w:tr>
      <w:bookmarkEnd w:id="87"/>
      <w:tr w:rsidR="00C02929" w14:paraId="40FB3894" w14:textId="77777777">
        <w:trPr>
          <w:cantSplit/>
          <w:trHeight w:val="397"/>
          <w:tblHeader/>
        </w:trPr>
        <w:tc>
          <w:tcPr>
            <w:tcW w:w="1188" w:type="pct"/>
            <w:vMerge w:val="restart"/>
            <w:tcMar>
              <w:left w:w="28" w:type="dxa"/>
              <w:right w:w="28" w:type="dxa"/>
            </w:tcMar>
            <w:vAlign w:val="center"/>
          </w:tcPr>
          <w:p w14:paraId="1658CCCE"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类别</w:t>
            </w:r>
          </w:p>
        </w:tc>
        <w:tc>
          <w:tcPr>
            <w:tcW w:w="3812" w:type="pct"/>
            <w:gridSpan w:val="5"/>
            <w:tcMar>
              <w:left w:w="28" w:type="dxa"/>
              <w:right w:w="28" w:type="dxa"/>
            </w:tcMar>
          </w:tcPr>
          <w:p w14:paraId="67B5B55A"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2019</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r>
      <w:tr w:rsidR="00C02929" w14:paraId="6D1E2887" w14:textId="77777777">
        <w:trPr>
          <w:cantSplit/>
          <w:trHeight w:val="397"/>
          <w:tblHeader/>
        </w:trPr>
        <w:tc>
          <w:tcPr>
            <w:tcW w:w="1188" w:type="pct"/>
            <w:vMerge/>
            <w:tcMar>
              <w:left w:w="28" w:type="dxa"/>
              <w:right w:w="28" w:type="dxa"/>
            </w:tcMar>
            <w:vAlign w:val="center"/>
          </w:tcPr>
          <w:p w14:paraId="00B65B6A" w14:textId="77777777" w:rsidR="00C02929" w:rsidRDefault="00C02929">
            <w:pPr>
              <w:spacing w:line="360" w:lineRule="exact"/>
              <w:jc w:val="center"/>
              <w:rPr>
                <w:rFonts w:ascii="Times New Roman" w:hAnsi="Times New Roman" w:cs="Times New Roman"/>
                <w:b/>
                <w:sz w:val="21"/>
                <w:szCs w:val="21"/>
              </w:rPr>
            </w:pPr>
          </w:p>
        </w:tc>
        <w:tc>
          <w:tcPr>
            <w:tcW w:w="1287" w:type="pct"/>
            <w:gridSpan w:val="2"/>
            <w:tcMar>
              <w:left w:w="28" w:type="dxa"/>
              <w:right w:w="28" w:type="dxa"/>
            </w:tcMar>
          </w:tcPr>
          <w:p w14:paraId="6EDD9638"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账面余额</w:t>
            </w:r>
          </w:p>
        </w:tc>
        <w:tc>
          <w:tcPr>
            <w:tcW w:w="1755" w:type="pct"/>
            <w:gridSpan w:val="2"/>
            <w:tcMar>
              <w:left w:w="28" w:type="dxa"/>
              <w:right w:w="28" w:type="dxa"/>
            </w:tcMar>
          </w:tcPr>
          <w:p w14:paraId="45D8E2B2"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坏账准备</w:t>
            </w:r>
          </w:p>
        </w:tc>
        <w:tc>
          <w:tcPr>
            <w:tcW w:w="770" w:type="pct"/>
            <w:vMerge w:val="restart"/>
            <w:tcMar>
              <w:left w:w="28" w:type="dxa"/>
              <w:right w:w="28" w:type="dxa"/>
            </w:tcMar>
            <w:vAlign w:val="center"/>
          </w:tcPr>
          <w:p w14:paraId="2C7DB1E3"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账面价值</w:t>
            </w:r>
          </w:p>
        </w:tc>
      </w:tr>
      <w:tr w:rsidR="00C02929" w14:paraId="30E9118F" w14:textId="77777777">
        <w:trPr>
          <w:cantSplit/>
          <w:trHeight w:val="397"/>
          <w:tblHeader/>
        </w:trPr>
        <w:tc>
          <w:tcPr>
            <w:tcW w:w="1188" w:type="pct"/>
            <w:vMerge/>
            <w:tcMar>
              <w:left w:w="28" w:type="dxa"/>
              <w:right w:w="28" w:type="dxa"/>
            </w:tcMar>
            <w:vAlign w:val="center"/>
          </w:tcPr>
          <w:p w14:paraId="3905C5CB" w14:textId="77777777" w:rsidR="00C02929" w:rsidRDefault="00C02929">
            <w:pPr>
              <w:spacing w:line="360" w:lineRule="exact"/>
              <w:jc w:val="center"/>
              <w:rPr>
                <w:rFonts w:ascii="Times New Roman" w:hAnsi="Times New Roman" w:cs="Times New Roman"/>
                <w:b/>
                <w:sz w:val="21"/>
                <w:szCs w:val="21"/>
              </w:rPr>
            </w:pPr>
          </w:p>
        </w:tc>
        <w:tc>
          <w:tcPr>
            <w:tcW w:w="609" w:type="pct"/>
            <w:tcMar>
              <w:left w:w="28" w:type="dxa"/>
              <w:right w:w="28" w:type="dxa"/>
            </w:tcMar>
            <w:vAlign w:val="center"/>
          </w:tcPr>
          <w:p w14:paraId="2D81D53D"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金额</w:t>
            </w:r>
          </w:p>
        </w:tc>
        <w:tc>
          <w:tcPr>
            <w:tcW w:w="678" w:type="pct"/>
            <w:tcMar>
              <w:left w:w="28" w:type="dxa"/>
              <w:right w:w="28" w:type="dxa"/>
            </w:tcMar>
            <w:vAlign w:val="center"/>
          </w:tcPr>
          <w:p w14:paraId="68DE4C7D"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比例</w:t>
            </w:r>
            <w:r>
              <w:rPr>
                <w:rFonts w:ascii="Times New Roman" w:hAnsi="Times New Roman" w:cs="Times New Roman" w:hint="eastAsia"/>
                <w:b/>
                <w:sz w:val="21"/>
                <w:szCs w:val="21"/>
              </w:rPr>
              <w:t>（</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63" w:type="pct"/>
            <w:tcMar>
              <w:left w:w="28" w:type="dxa"/>
              <w:right w:w="28" w:type="dxa"/>
            </w:tcMar>
            <w:vAlign w:val="center"/>
          </w:tcPr>
          <w:p w14:paraId="3329549E"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金额</w:t>
            </w:r>
          </w:p>
        </w:tc>
        <w:tc>
          <w:tcPr>
            <w:tcW w:w="992" w:type="pct"/>
            <w:tcMar>
              <w:left w:w="28" w:type="dxa"/>
              <w:right w:w="28" w:type="dxa"/>
            </w:tcMar>
            <w:vAlign w:val="center"/>
          </w:tcPr>
          <w:p w14:paraId="539FF8E1" w14:textId="77777777" w:rsidR="00C02929" w:rsidRDefault="006116D1">
            <w:pPr>
              <w:spacing w:line="360" w:lineRule="exact"/>
              <w:jc w:val="center"/>
              <w:rPr>
                <w:rFonts w:ascii="Times New Roman" w:hAnsi="Times New Roman" w:cs="Times New Roman"/>
                <w:b/>
                <w:color w:val="000000"/>
                <w:sz w:val="21"/>
                <w:szCs w:val="21"/>
              </w:rPr>
            </w:pPr>
            <w:r>
              <w:rPr>
                <w:rFonts w:ascii="Times New Roman" w:hAnsi="Times New Roman" w:cs="Times New Roman" w:hint="eastAsia"/>
                <w:b/>
                <w:color w:val="000000"/>
                <w:sz w:val="21"/>
                <w:szCs w:val="21"/>
              </w:rPr>
              <w:t>计提比例</w:t>
            </w:r>
            <w:r>
              <w:rPr>
                <w:rFonts w:ascii="Times New Roman" w:hAnsi="Times New Roman" w:cs="Times New Roman" w:hint="eastAsia"/>
                <w:b/>
                <w:sz w:val="21"/>
                <w:szCs w:val="21"/>
              </w:rPr>
              <w:t>（</w:t>
            </w:r>
            <w:r>
              <w:rPr>
                <w:rFonts w:ascii="Times New Roman" w:hAnsi="Times New Roman" w:cs="Times New Roman" w:hint="eastAsia"/>
                <w:b/>
                <w:sz w:val="21"/>
                <w:szCs w:val="21"/>
              </w:rPr>
              <w:t>%</w:t>
            </w:r>
            <w:r>
              <w:rPr>
                <w:rFonts w:ascii="Times New Roman" w:hAnsi="Times New Roman" w:cs="Times New Roman" w:hint="eastAsia"/>
                <w:b/>
                <w:sz w:val="21"/>
                <w:szCs w:val="21"/>
              </w:rPr>
              <w:t>）</w:t>
            </w:r>
          </w:p>
        </w:tc>
        <w:tc>
          <w:tcPr>
            <w:tcW w:w="770" w:type="pct"/>
            <w:vMerge/>
            <w:tcMar>
              <w:left w:w="28" w:type="dxa"/>
              <w:right w:w="28" w:type="dxa"/>
            </w:tcMar>
          </w:tcPr>
          <w:p w14:paraId="3B1BB484" w14:textId="77777777" w:rsidR="00C02929" w:rsidRDefault="00C02929">
            <w:pPr>
              <w:spacing w:line="360" w:lineRule="exact"/>
              <w:jc w:val="center"/>
              <w:rPr>
                <w:rFonts w:ascii="Times New Roman" w:hAnsi="Times New Roman" w:cs="Times New Roman"/>
                <w:b/>
                <w:color w:val="000000"/>
                <w:sz w:val="21"/>
                <w:szCs w:val="21"/>
              </w:rPr>
            </w:pPr>
          </w:p>
        </w:tc>
      </w:tr>
      <w:tr w:rsidR="00C02929" w14:paraId="443607B9" w14:textId="77777777">
        <w:trPr>
          <w:cantSplit/>
          <w:trHeight w:val="397"/>
        </w:trPr>
        <w:tc>
          <w:tcPr>
            <w:tcW w:w="1188" w:type="pct"/>
            <w:tcMar>
              <w:left w:w="28" w:type="dxa"/>
              <w:right w:w="28" w:type="dxa"/>
            </w:tcMar>
            <w:vAlign w:val="center"/>
          </w:tcPr>
          <w:p w14:paraId="78535A1C" w14:textId="77777777" w:rsidR="00C02929" w:rsidRDefault="006116D1">
            <w:pPr>
              <w:spacing w:line="360" w:lineRule="exact"/>
              <w:rPr>
                <w:rFonts w:ascii="Times New Roman" w:hAnsi="Times New Roman" w:cs="Times New Roman"/>
                <w:b/>
                <w:sz w:val="21"/>
                <w:szCs w:val="21"/>
              </w:rPr>
            </w:pPr>
            <w:r>
              <w:rPr>
                <w:rFonts w:ascii="Times New Roman" w:hAnsi="Times New Roman" w:cs="Times New Roman" w:hint="eastAsia"/>
                <w:sz w:val="21"/>
                <w:szCs w:val="21"/>
              </w:rPr>
              <w:t>按组合计提坏账准备</w:t>
            </w:r>
          </w:p>
        </w:tc>
        <w:tc>
          <w:tcPr>
            <w:tcW w:w="609" w:type="pct"/>
            <w:tcMar>
              <w:left w:w="28" w:type="dxa"/>
              <w:right w:w="28" w:type="dxa"/>
            </w:tcMar>
            <w:vAlign w:val="center"/>
          </w:tcPr>
          <w:p w14:paraId="30B4E919" w14:textId="77777777" w:rsidR="00C02929" w:rsidRDefault="006116D1">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3,219.58</w:t>
            </w:r>
          </w:p>
        </w:tc>
        <w:tc>
          <w:tcPr>
            <w:tcW w:w="678" w:type="pct"/>
            <w:tcMar>
              <w:left w:w="28" w:type="dxa"/>
              <w:right w:w="28" w:type="dxa"/>
            </w:tcMar>
            <w:vAlign w:val="center"/>
          </w:tcPr>
          <w:p w14:paraId="275F208D" w14:textId="77777777" w:rsidR="00C02929" w:rsidRDefault="006116D1">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100.00</w:t>
            </w:r>
          </w:p>
        </w:tc>
        <w:tc>
          <w:tcPr>
            <w:tcW w:w="763" w:type="pct"/>
            <w:tcMar>
              <w:left w:w="28" w:type="dxa"/>
              <w:right w:w="28" w:type="dxa"/>
            </w:tcMar>
            <w:vAlign w:val="center"/>
          </w:tcPr>
          <w:p w14:paraId="07708B1B" w14:textId="77777777" w:rsidR="00C02929" w:rsidRDefault="006116D1">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93.31</w:t>
            </w:r>
          </w:p>
        </w:tc>
        <w:tc>
          <w:tcPr>
            <w:tcW w:w="992" w:type="pct"/>
            <w:tcMar>
              <w:left w:w="28" w:type="dxa"/>
              <w:right w:w="28" w:type="dxa"/>
            </w:tcMar>
            <w:vAlign w:val="center"/>
          </w:tcPr>
          <w:p w14:paraId="03954209" w14:textId="77777777" w:rsidR="00C02929" w:rsidRDefault="006116D1">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2.90</w:t>
            </w:r>
          </w:p>
        </w:tc>
        <w:tc>
          <w:tcPr>
            <w:tcW w:w="770" w:type="pct"/>
            <w:tcMar>
              <w:left w:w="28" w:type="dxa"/>
              <w:right w:w="28" w:type="dxa"/>
            </w:tcMar>
            <w:vAlign w:val="center"/>
          </w:tcPr>
          <w:p w14:paraId="101301BA" w14:textId="77777777" w:rsidR="00C02929" w:rsidRDefault="006116D1">
            <w:pPr>
              <w:spacing w:line="360" w:lineRule="exact"/>
              <w:jc w:val="right"/>
              <w:rPr>
                <w:rFonts w:ascii="Times New Roman" w:hAnsi="Times New Roman" w:cs="Times New Roman"/>
                <w:b/>
                <w:color w:val="000000"/>
                <w:sz w:val="21"/>
                <w:szCs w:val="21"/>
              </w:rPr>
            </w:pPr>
            <w:r>
              <w:rPr>
                <w:rFonts w:ascii="Times New Roman" w:eastAsia="等线" w:hAnsi="Times New Roman" w:cs="Times New Roman"/>
                <w:sz w:val="21"/>
                <w:szCs w:val="21"/>
              </w:rPr>
              <w:t>3,126.26</w:t>
            </w:r>
          </w:p>
        </w:tc>
      </w:tr>
      <w:tr w:rsidR="00C02929" w14:paraId="4ADB4BE9" w14:textId="77777777">
        <w:trPr>
          <w:cantSplit/>
          <w:trHeight w:val="397"/>
          <w:tblHeader/>
        </w:trPr>
        <w:tc>
          <w:tcPr>
            <w:tcW w:w="1188" w:type="pct"/>
            <w:vMerge w:val="restart"/>
            <w:tcMar>
              <w:left w:w="28" w:type="dxa"/>
              <w:right w:w="28" w:type="dxa"/>
            </w:tcMar>
            <w:vAlign w:val="center"/>
          </w:tcPr>
          <w:p w14:paraId="67D3252A"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类别</w:t>
            </w:r>
          </w:p>
        </w:tc>
        <w:tc>
          <w:tcPr>
            <w:tcW w:w="3812" w:type="pct"/>
            <w:gridSpan w:val="5"/>
            <w:tcMar>
              <w:left w:w="28" w:type="dxa"/>
              <w:right w:w="28" w:type="dxa"/>
            </w:tcMar>
            <w:vAlign w:val="center"/>
          </w:tcPr>
          <w:p w14:paraId="2A4597BF"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color w:val="000000"/>
                <w:sz w:val="21"/>
                <w:szCs w:val="21"/>
              </w:rPr>
              <w:t>2018</w:t>
            </w:r>
            <w:r>
              <w:rPr>
                <w:rFonts w:ascii="Times New Roman" w:hAnsi="Times New Roman" w:cs="Times New Roman" w:hint="eastAsia"/>
                <w:b/>
                <w:color w:val="000000"/>
                <w:sz w:val="21"/>
                <w:szCs w:val="21"/>
              </w:rPr>
              <w:t>年</w:t>
            </w:r>
            <w:r>
              <w:rPr>
                <w:rFonts w:ascii="Times New Roman" w:hAnsi="Times New Roman" w:cs="Times New Roman" w:hint="eastAsia"/>
                <w:b/>
                <w:color w:val="000000"/>
                <w:sz w:val="21"/>
                <w:szCs w:val="21"/>
              </w:rPr>
              <w:t>12</w:t>
            </w:r>
            <w:r>
              <w:rPr>
                <w:rFonts w:ascii="Times New Roman" w:hAnsi="Times New Roman" w:cs="Times New Roman" w:hint="eastAsia"/>
                <w:b/>
                <w:color w:val="000000"/>
                <w:sz w:val="21"/>
                <w:szCs w:val="21"/>
              </w:rPr>
              <w:t>月</w:t>
            </w:r>
            <w:r>
              <w:rPr>
                <w:rFonts w:ascii="Times New Roman" w:hAnsi="Times New Roman" w:cs="Times New Roman" w:hint="eastAsia"/>
                <w:b/>
                <w:color w:val="000000"/>
                <w:sz w:val="21"/>
                <w:szCs w:val="21"/>
              </w:rPr>
              <w:t>31</w:t>
            </w:r>
            <w:r>
              <w:rPr>
                <w:rFonts w:ascii="Times New Roman" w:hAnsi="Times New Roman" w:cs="Times New Roman" w:hint="eastAsia"/>
                <w:b/>
                <w:color w:val="000000"/>
                <w:sz w:val="21"/>
                <w:szCs w:val="21"/>
              </w:rPr>
              <w:t>日</w:t>
            </w:r>
          </w:p>
        </w:tc>
      </w:tr>
      <w:tr w:rsidR="00C02929" w14:paraId="51588416" w14:textId="77777777">
        <w:trPr>
          <w:cantSplit/>
          <w:trHeight w:val="397"/>
          <w:tblHeader/>
        </w:trPr>
        <w:tc>
          <w:tcPr>
            <w:tcW w:w="1188" w:type="pct"/>
            <w:vMerge/>
            <w:tcMar>
              <w:left w:w="28" w:type="dxa"/>
              <w:right w:w="28" w:type="dxa"/>
            </w:tcMar>
            <w:vAlign w:val="center"/>
          </w:tcPr>
          <w:p w14:paraId="59FBF519" w14:textId="77777777" w:rsidR="00C02929" w:rsidRDefault="00C02929">
            <w:pPr>
              <w:spacing w:line="360" w:lineRule="exact"/>
              <w:jc w:val="center"/>
              <w:rPr>
                <w:rFonts w:ascii="Times New Roman" w:hAnsi="Times New Roman" w:cs="Times New Roman"/>
                <w:b/>
                <w:sz w:val="21"/>
                <w:szCs w:val="21"/>
              </w:rPr>
            </w:pPr>
          </w:p>
        </w:tc>
        <w:tc>
          <w:tcPr>
            <w:tcW w:w="1287" w:type="pct"/>
            <w:gridSpan w:val="2"/>
            <w:tcMar>
              <w:left w:w="28" w:type="dxa"/>
              <w:right w:w="28" w:type="dxa"/>
            </w:tcMar>
            <w:vAlign w:val="center"/>
          </w:tcPr>
          <w:p w14:paraId="31F6968D"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1755" w:type="pct"/>
            <w:gridSpan w:val="2"/>
            <w:tcMar>
              <w:left w:w="28" w:type="dxa"/>
              <w:right w:w="28" w:type="dxa"/>
            </w:tcMar>
            <w:vAlign w:val="center"/>
          </w:tcPr>
          <w:p w14:paraId="5BFA6A39"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770" w:type="pct"/>
            <w:tcMar>
              <w:left w:w="28" w:type="dxa"/>
              <w:right w:w="28" w:type="dxa"/>
            </w:tcMar>
            <w:vAlign w:val="center"/>
          </w:tcPr>
          <w:p w14:paraId="30CA0618" w14:textId="77777777" w:rsidR="00C02929" w:rsidRDefault="006116D1">
            <w:pPr>
              <w:spacing w:line="360" w:lineRule="exact"/>
              <w:jc w:val="center"/>
              <w:rPr>
                <w:rFonts w:ascii="Times New Roman" w:hAnsi="Times New Roman" w:cs="Times New Roman"/>
                <w:b/>
                <w:sz w:val="21"/>
                <w:szCs w:val="21"/>
              </w:rPr>
            </w:pPr>
            <w:r>
              <w:rPr>
                <w:rFonts w:ascii="Times New Roman" w:hAnsi="Times New Roman" w:cs="Times New Roman" w:hint="eastAsia"/>
                <w:b/>
                <w:sz w:val="21"/>
                <w:szCs w:val="21"/>
              </w:rPr>
              <w:t>账面价值</w:t>
            </w:r>
          </w:p>
        </w:tc>
      </w:tr>
      <w:tr w:rsidR="00C02929" w14:paraId="22FCCB5C" w14:textId="77777777">
        <w:trPr>
          <w:cantSplit/>
          <w:trHeight w:val="397"/>
        </w:trPr>
        <w:tc>
          <w:tcPr>
            <w:tcW w:w="1188" w:type="pct"/>
            <w:tcMar>
              <w:left w:w="28" w:type="dxa"/>
              <w:right w:w="28" w:type="dxa"/>
            </w:tcMar>
            <w:vAlign w:val="center"/>
          </w:tcPr>
          <w:p w14:paraId="4BD010C4" w14:textId="77777777" w:rsidR="00C02929" w:rsidRDefault="006116D1">
            <w:pPr>
              <w:spacing w:line="360" w:lineRule="exact"/>
              <w:rPr>
                <w:rFonts w:ascii="Times New Roman" w:hAnsi="Times New Roman" w:cs="Times New Roman"/>
                <w:b/>
                <w:sz w:val="21"/>
                <w:szCs w:val="21"/>
              </w:rPr>
            </w:pPr>
            <w:r>
              <w:rPr>
                <w:rFonts w:ascii="Times New Roman" w:hAnsi="Times New Roman" w:cs="Times New Roman" w:hint="eastAsia"/>
                <w:sz w:val="21"/>
                <w:szCs w:val="21"/>
              </w:rPr>
              <w:t>按组合计提坏账准备</w:t>
            </w:r>
          </w:p>
        </w:tc>
        <w:tc>
          <w:tcPr>
            <w:tcW w:w="609" w:type="pct"/>
            <w:tcMar>
              <w:left w:w="28" w:type="dxa"/>
              <w:right w:w="28" w:type="dxa"/>
            </w:tcMar>
            <w:vAlign w:val="center"/>
          </w:tcPr>
          <w:p w14:paraId="082001B4" w14:textId="77777777" w:rsidR="00C02929" w:rsidRDefault="006116D1">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1,443.10</w:t>
            </w:r>
          </w:p>
        </w:tc>
        <w:tc>
          <w:tcPr>
            <w:tcW w:w="678" w:type="pct"/>
            <w:tcMar>
              <w:left w:w="28" w:type="dxa"/>
              <w:right w:w="28" w:type="dxa"/>
            </w:tcMar>
            <w:vAlign w:val="center"/>
          </w:tcPr>
          <w:p w14:paraId="4EEE0957" w14:textId="77777777" w:rsidR="00C02929" w:rsidRDefault="006116D1">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100.00</w:t>
            </w:r>
          </w:p>
        </w:tc>
        <w:tc>
          <w:tcPr>
            <w:tcW w:w="763" w:type="pct"/>
            <w:tcMar>
              <w:left w:w="28" w:type="dxa"/>
              <w:right w:w="28" w:type="dxa"/>
            </w:tcMar>
            <w:vAlign w:val="center"/>
          </w:tcPr>
          <w:p w14:paraId="1CE93C3A" w14:textId="77777777" w:rsidR="00C02929" w:rsidRDefault="006116D1">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20.44</w:t>
            </w:r>
          </w:p>
        </w:tc>
        <w:tc>
          <w:tcPr>
            <w:tcW w:w="992" w:type="pct"/>
            <w:tcMar>
              <w:left w:w="28" w:type="dxa"/>
              <w:right w:w="28" w:type="dxa"/>
            </w:tcMar>
            <w:vAlign w:val="center"/>
          </w:tcPr>
          <w:p w14:paraId="3AB84CF2" w14:textId="77777777" w:rsidR="00C02929" w:rsidRDefault="006116D1">
            <w:pPr>
              <w:spacing w:line="360" w:lineRule="exact"/>
              <w:jc w:val="right"/>
              <w:rPr>
                <w:rFonts w:ascii="Times New Roman" w:hAnsi="Times New Roman" w:cs="Times New Roman"/>
                <w:color w:val="000000"/>
                <w:sz w:val="21"/>
                <w:szCs w:val="21"/>
              </w:rPr>
            </w:pPr>
            <w:r>
              <w:rPr>
                <w:rFonts w:ascii="Times New Roman" w:eastAsia="等线" w:hAnsi="Times New Roman" w:cs="Times New Roman"/>
                <w:sz w:val="21"/>
                <w:szCs w:val="21"/>
              </w:rPr>
              <w:t>1.42</w:t>
            </w:r>
          </w:p>
        </w:tc>
        <w:tc>
          <w:tcPr>
            <w:tcW w:w="770" w:type="pct"/>
            <w:tcMar>
              <w:left w:w="28" w:type="dxa"/>
              <w:right w:w="28" w:type="dxa"/>
            </w:tcMar>
            <w:vAlign w:val="center"/>
          </w:tcPr>
          <w:p w14:paraId="4B6CAB84" w14:textId="77777777" w:rsidR="00C02929" w:rsidRDefault="006116D1">
            <w:pPr>
              <w:spacing w:line="360" w:lineRule="exact"/>
              <w:jc w:val="right"/>
              <w:rPr>
                <w:rFonts w:ascii="Times New Roman" w:hAnsi="Times New Roman" w:cs="Times New Roman"/>
                <w:color w:val="000000"/>
                <w:spacing w:val="-10"/>
                <w:sz w:val="21"/>
                <w:szCs w:val="21"/>
              </w:rPr>
            </w:pPr>
            <w:r>
              <w:rPr>
                <w:rFonts w:ascii="Times New Roman" w:eastAsia="等线" w:hAnsi="Times New Roman" w:cs="Times New Roman"/>
                <w:sz w:val="21"/>
                <w:szCs w:val="21"/>
              </w:rPr>
              <w:t>1,422.65</w:t>
            </w:r>
          </w:p>
        </w:tc>
      </w:tr>
    </w:tbl>
    <w:p w14:paraId="57124B2F"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五、坏账准备计提的充分性</w:t>
      </w:r>
    </w:p>
    <w:p w14:paraId="73DB1DD7"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报告期各期末，标的公司按组合计提的坏账准备情况如下：</w:t>
      </w:r>
    </w:p>
    <w:p w14:paraId="3814C428"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62"/>
        <w:gridCol w:w="2141"/>
        <w:gridCol w:w="2141"/>
        <w:gridCol w:w="2178"/>
      </w:tblGrid>
      <w:tr w:rsidR="00C02929" w14:paraId="19520BBE" w14:textId="77777777">
        <w:trPr>
          <w:trHeight w:val="397"/>
        </w:trPr>
        <w:tc>
          <w:tcPr>
            <w:tcW w:w="1210" w:type="pct"/>
            <w:vMerge w:val="restart"/>
            <w:shd w:val="clear" w:color="auto" w:fill="auto"/>
            <w:vAlign w:val="center"/>
          </w:tcPr>
          <w:p w14:paraId="0FB6008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账龄</w:t>
            </w:r>
          </w:p>
        </w:tc>
        <w:tc>
          <w:tcPr>
            <w:tcW w:w="3790" w:type="pct"/>
            <w:gridSpan w:val="3"/>
            <w:shd w:val="clear" w:color="auto" w:fill="auto"/>
            <w:vAlign w:val="center"/>
          </w:tcPr>
          <w:p w14:paraId="543F3E9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r>
              <w:rPr>
                <w:rFonts w:ascii="Times New Roman" w:hAnsi="Times New Roman" w:cs="Times New Roman"/>
                <w:b/>
                <w:bCs/>
                <w:color w:val="000000"/>
                <w:sz w:val="21"/>
                <w:szCs w:val="21"/>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w:t>
            </w:r>
            <w:r>
              <w:rPr>
                <w:rFonts w:ascii="Times New Roman" w:hAnsi="Times New Roman" w:cs="Times New Roman"/>
                <w:b/>
                <w:bCs/>
                <w:color w:val="000000"/>
                <w:sz w:val="21"/>
                <w:szCs w:val="21"/>
              </w:rPr>
              <w:t>1</w:t>
            </w:r>
            <w:r>
              <w:rPr>
                <w:rFonts w:ascii="Times New Roman" w:hAnsi="Times New Roman" w:cs="Times New Roman" w:hint="eastAsia"/>
                <w:b/>
                <w:bCs/>
                <w:color w:val="000000"/>
                <w:sz w:val="21"/>
                <w:szCs w:val="21"/>
                <w:lang w:val="en-GB"/>
              </w:rPr>
              <w:t>日</w:t>
            </w:r>
          </w:p>
        </w:tc>
      </w:tr>
      <w:tr w:rsidR="00C02929" w14:paraId="4936B4FD" w14:textId="77777777">
        <w:trPr>
          <w:trHeight w:val="397"/>
        </w:trPr>
        <w:tc>
          <w:tcPr>
            <w:tcW w:w="1210" w:type="pct"/>
            <w:vMerge/>
            <w:shd w:val="clear" w:color="auto" w:fill="auto"/>
            <w:vAlign w:val="center"/>
          </w:tcPr>
          <w:p w14:paraId="7B99316A" w14:textId="77777777" w:rsidR="00C02929" w:rsidRDefault="00C02929">
            <w:pPr>
              <w:jc w:val="center"/>
              <w:rPr>
                <w:rFonts w:ascii="Times New Roman" w:hAnsi="Times New Roman" w:cs="Times New Roman"/>
                <w:b/>
                <w:bCs/>
                <w:color w:val="000000"/>
                <w:sz w:val="21"/>
                <w:szCs w:val="21"/>
              </w:rPr>
            </w:pPr>
          </w:p>
        </w:tc>
        <w:tc>
          <w:tcPr>
            <w:tcW w:w="2512" w:type="pct"/>
            <w:gridSpan w:val="2"/>
            <w:shd w:val="clear" w:color="auto" w:fill="auto"/>
            <w:vAlign w:val="center"/>
          </w:tcPr>
          <w:p w14:paraId="3F09B4F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账面余额</w:t>
            </w:r>
          </w:p>
        </w:tc>
        <w:tc>
          <w:tcPr>
            <w:tcW w:w="1278" w:type="pct"/>
            <w:vMerge w:val="restart"/>
            <w:shd w:val="clear" w:color="auto" w:fill="auto"/>
            <w:vAlign w:val="center"/>
          </w:tcPr>
          <w:p w14:paraId="726FE1CF"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坏账准备</w:t>
            </w:r>
          </w:p>
        </w:tc>
      </w:tr>
      <w:tr w:rsidR="00C02929" w14:paraId="0552CA1C" w14:textId="77777777">
        <w:trPr>
          <w:trHeight w:val="397"/>
        </w:trPr>
        <w:tc>
          <w:tcPr>
            <w:tcW w:w="1210" w:type="pct"/>
            <w:vMerge/>
            <w:shd w:val="clear" w:color="auto" w:fill="auto"/>
            <w:vAlign w:val="center"/>
          </w:tcPr>
          <w:p w14:paraId="52CA323D" w14:textId="77777777" w:rsidR="00C02929" w:rsidRDefault="00C02929">
            <w:pPr>
              <w:jc w:val="center"/>
              <w:rPr>
                <w:rFonts w:ascii="Times New Roman" w:hAnsi="Times New Roman" w:cs="Times New Roman"/>
                <w:b/>
                <w:bCs/>
                <w:color w:val="000000"/>
                <w:sz w:val="21"/>
                <w:szCs w:val="21"/>
              </w:rPr>
            </w:pPr>
          </w:p>
        </w:tc>
        <w:tc>
          <w:tcPr>
            <w:tcW w:w="1256" w:type="pct"/>
            <w:shd w:val="clear" w:color="auto" w:fill="auto"/>
            <w:vAlign w:val="center"/>
          </w:tcPr>
          <w:p w14:paraId="31F6305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256" w:type="pct"/>
            <w:shd w:val="clear" w:color="auto" w:fill="auto"/>
            <w:vAlign w:val="center"/>
          </w:tcPr>
          <w:p w14:paraId="4CA86B5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278" w:type="pct"/>
            <w:vMerge/>
            <w:shd w:val="clear" w:color="auto" w:fill="auto"/>
            <w:vAlign w:val="center"/>
          </w:tcPr>
          <w:p w14:paraId="7429DEBC" w14:textId="77777777" w:rsidR="00C02929" w:rsidRDefault="00C02929">
            <w:pPr>
              <w:rPr>
                <w:rFonts w:ascii="Times New Roman" w:hAnsi="Times New Roman" w:cs="Times New Roman"/>
                <w:b/>
                <w:bCs/>
                <w:color w:val="000000"/>
                <w:sz w:val="21"/>
                <w:szCs w:val="21"/>
              </w:rPr>
            </w:pPr>
          </w:p>
        </w:tc>
      </w:tr>
      <w:tr w:rsidR="00C02929" w14:paraId="0A85473A" w14:textId="77777777">
        <w:trPr>
          <w:trHeight w:val="397"/>
        </w:trPr>
        <w:tc>
          <w:tcPr>
            <w:tcW w:w="1210" w:type="pct"/>
            <w:shd w:val="clear" w:color="auto" w:fill="auto"/>
            <w:vAlign w:val="center"/>
          </w:tcPr>
          <w:p w14:paraId="542058BB"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w:t>
            </w:r>
          </w:p>
        </w:tc>
        <w:tc>
          <w:tcPr>
            <w:tcW w:w="1256" w:type="pct"/>
            <w:shd w:val="clear" w:color="auto" w:fill="auto"/>
            <w:vAlign w:val="center"/>
          </w:tcPr>
          <w:p w14:paraId="77F8DF7D"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3,790.89</w:t>
            </w:r>
          </w:p>
        </w:tc>
        <w:tc>
          <w:tcPr>
            <w:tcW w:w="1256" w:type="pct"/>
            <w:shd w:val="clear" w:color="auto" w:fill="auto"/>
            <w:vAlign w:val="center"/>
          </w:tcPr>
          <w:p w14:paraId="21A2AB48"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75.23</w:t>
            </w:r>
          </w:p>
        </w:tc>
        <w:tc>
          <w:tcPr>
            <w:tcW w:w="1278" w:type="pct"/>
            <w:shd w:val="clear" w:color="auto" w:fill="auto"/>
            <w:vAlign w:val="center"/>
          </w:tcPr>
          <w:p w14:paraId="7891C025"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61.03</w:t>
            </w:r>
          </w:p>
        </w:tc>
      </w:tr>
      <w:tr w:rsidR="00C02929" w14:paraId="1DE4BD48" w14:textId="77777777">
        <w:trPr>
          <w:trHeight w:val="397"/>
        </w:trPr>
        <w:tc>
          <w:tcPr>
            <w:tcW w:w="1210" w:type="pct"/>
            <w:shd w:val="clear" w:color="auto" w:fill="auto"/>
            <w:vAlign w:val="center"/>
          </w:tcPr>
          <w:p w14:paraId="360A323F"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40365AE0"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1,178.83</w:t>
            </w:r>
          </w:p>
        </w:tc>
        <w:tc>
          <w:tcPr>
            <w:tcW w:w="1256" w:type="pct"/>
            <w:shd w:val="clear" w:color="auto" w:fill="auto"/>
            <w:vAlign w:val="center"/>
          </w:tcPr>
          <w:p w14:paraId="004921DD"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23.39</w:t>
            </w:r>
          </w:p>
        </w:tc>
        <w:tc>
          <w:tcPr>
            <w:tcW w:w="1278" w:type="pct"/>
            <w:shd w:val="clear" w:color="auto" w:fill="auto"/>
            <w:vAlign w:val="center"/>
          </w:tcPr>
          <w:p w14:paraId="10A4D0A3"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211.18</w:t>
            </w:r>
          </w:p>
        </w:tc>
      </w:tr>
      <w:tr w:rsidR="00C02929" w14:paraId="3C98A5FD" w14:textId="77777777">
        <w:trPr>
          <w:trHeight w:val="397"/>
        </w:trPr>
        <w:tc>
          <w:tcPr>
            <w:tcW w:w="1210" w:type="pct"/>
            <w:shd w:val="clear" w:color="auto" w:fill="auto"/>
            <w:vAlign w:val="center"/>
          </w:tcPr>
          <w:p w14:paraId="6B3E409C"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2-3</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4E41A1B3"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69.48</w:t>
            </w:r>
          </w:p>
        </w:tc>
        <w:tc>
          <w:tcPr>
            <w:tcW w:w="1256" w:type="pct"/>
            <w:shd w:val="clear" w:color="auto" w:fill="auto"/>
            <w:vAlign w:val="center"/>
          </w:tcPr>
          <w:p w14:paraId="46E521C6"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1.38</w:t>
            </w:r>
          </w:p>
        </w:tc>
        <w:tc>
          <w:tcPr>
            <w:tcW w:w="1278" w:type="pct"/>
            <w:shd w:val="clear" w:color="auto" w:fill="auto"/>
            <w:vAlign w:val="center"/>
          </w:tcPr>
          <w:p w14:paraId="5F4D8949"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21.07</w:t>
            </w:r>
          </w:p>
        </w:tc>
      </w:tr>
      <w:tr w:rsidR="00C02929" w14:paraId="350B2AEC" w14:textId="77777777">
        <w:trPr>
          <w:trHeight w:val="397"/>
        </w:trPr>
        <w:tc>
          <w:tcPr>
            <w:tcW w:w="1210" w:type="pct"/>
            <w:shd w:val="clear" w:color="auto" w:fill="auto"/>
            <w:vAlign w:val="center"/>
          </w:tcPr>
          <w:p w14:paraId="4724A70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6" w:type="pct"/>
            <w:shd w:val="clear" w:color="auto" w:fill="auto"/>
            <w:vAlign w:val="center"/>
          </w:tcPr>
          <w:p w14:paraId="6428F316"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b/>
                <w:bCs/>
                <w:color w:val="000000"/>
                <w:sz w:val="21"/>
                <w:szCs w:val="21"/>
              </w:rPr>
              <w:t>5,039.19</w:t>
            </w:r>
          </w:p>
        </w:tc>
        <w:tc>
          <w:tcPr>
            <w:tcW w:w="1256" w:type="pct"/>
            <w:shd w:val="clear" w:color="auto" w:fill="auto"/>
            <w:vAlign w:val="center"/>
          </w:tcPr>
          <w:p w14:paraId="120285A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b/>
                <w:bCs/>
                <w:color w:val="000000"/>
                <w:sz w:val="21"/>
                <w:szCs w:val="21"/>
              </w:rPr>
              <w:t>100.00</w:t>
            </w:r>
          </w:p>
        </w:tc>
        <w:tc>
          <w:tcPr>
            <w:tcW w:w="1278" w:type="pct"/>
            <w:shd w:val="clear" w:color="auto" w:fill="auto"/>
            <w:vAlign w:val="center"/>
          </w:tcPr>
          <w:p w14:paraId="05CD6E3F" w14:textId="77777777" w:rsidR="00C02929" w:rsidRDefault="006116D1">
            <w:pPr>
              <w:jc w:val="right"/>
              <w:rPr>
                <w:rFonts w:ascii="Times New Roman" w:eastAsia="等线" w:hAnsi="Times New Roman" w:cs="Times New Roman"/>
                <w:color w:val="000000"/>
                <w:sz w:val="21"/>
                <w:szCs w:val="21"/>
              </w:rPr>
            </w:pPr>
            <w:r>
              <w:rPr>
                <w:rFonts w:ascii="Times New Roman" w:eastAsia="等线" w:hAnsi="Times New Roman" w:cs="Times New Roman"/>
                <w:b/>
                <w:bCs/>
                <w:color w:val="000000"/>
                <w:sz w:val="21"/>
                <w:szCs w:val="21"/>
              </w:rPr>
              <w:t>293.28</w:t>
            </w:r>
          </w:p>
        </w:tc>
      </w:tr>
      <w:tr w:rsidR="00C02929" w14:paraId="7B85A43A" w14:textId="77777777">
        <w:trPr>
          <w:trHeight w:val="397"/>
        </w:trPr>
        <w:tc>
          <w:tcPr>
            <w:tcW w:w="1210" w:type="pct"/>
            <w:vMerge w:val="restart"/>
            <w:shd w:val="clear" w:color="auto" w:fill="auto"/>
            <w:vAlign w:val="center"/>
          </w:tcPr>
          <w:p w14:paraId="087A76E1"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账龄</w:t>
            </w:r>
          </w:p>
        </w:tc>
        <w:tc>
          <w:tcPr>
            <w:tcW w:w="3790" w:type="pct"/>
            <w:gridSpan w:val="3"/>
            <w:shd w:val="clear" w:color="auto" w:fill="auto"/>
            <w:vAlign w:val="center"/>
          </w:tcPr>
          <w:p w14:paraId="5D2F52BA"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C02929" w14:paraId="0104520B" w14:textId="77777777">
        <w:trPr>
          <w:trHeight w:val="397"/>
        </w:trPr>
        <w:tc>
          <w:tcPr>
            <w:tcW w:w="1210" w:type="pct"/>
            <w:vMerge/>
            <w:shd w:val="clear" w:color="auto" w:fill="auto"/>
            <w:vAlign w:val="center"/>
          </w:tcPr>
          <w:p w14:paraId="50FA2C2C" w14:textId="77777777" w:rsidR="00C02929" w:rsidRDefault="00C02929">
            <w:pPr>
              <w:keepNext/>
              <w:jc w:val="center"/>
              <w:rPr>
                <w:rFonts w:ascii="Times New Roman" w:hAnsi="Times New Roman" w:cs="Times New Roman"/>
                <w:b/>
                <w:bCs/>
                <w:color w:val="000000"/>
                <w:sz w:val="21"/>
                <w:szCs w:val="21"/>
              </w:rPr>
            </w:pPr>
          </w:p>
        </w:tc>
        <w:tc>
          <w:tcPr>
            <w:tcW w:w="2512" w:type="pct"/>
            <w:gridSpan w:val="2"/>
            <w:shd w:val="clear" w:color="auto" w:fill="auto"/>
            <w:vAlign w:val="center"/>
          </w:tcPr>
          <w:p w14:paraId="287D6B6D"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账面余额</w:t>
            </w:r>
          </w:p>
        </w:tc>
        <w:tc>
          <w:tcPr>
            <w:tcW w:w="1278" w:type="pct"/>
            <w:vMerge w:val="restart"/>
            <w:shd w:val="clear" w:color="auto" w:fill="auto"/>
            <w:vAlign w:val="center"/>
          </w:tcPr>
          <w:p w14:paraId="6E8F0D76"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坏账准备</w:t>
            </w:r>
          </w:p>
        </w:tc>
      </w:tr>
      <w:tr w:rsidR="00C02929" w14:paraId="598374B2" w14:textId="77777777">
        <w:trPr>
          <w:trHeight w:val="397"/>
        </w:trPr>
        <w:tc>
          <w:tcPr>
            <w:tcW w:w="1210" w:type="pct"/>
            <w:vMerge/>
            <w:shd w:val="clear" w:color="auto" w:fill="auto"/>
            <w:vAlign w:val="center"/>
          </w:tcPr>
          <w:p w14:paraId="1DCC324F" w14:textId="77777777" w:rsidR="00C02929" w:rsidRDefault="00C02929">
            <w:pPr>
              <w:keepNext/>
              <w:jc w:val="center"/>
              <w:rPr>
                <w:rFonts w:ascii="Times New Roman" w:hAnsi="Times New Roman" w:cs="Times New Roman"/>
                <w:b/>
                <w:bCs/>
                <w:color w:val="000000"/>
                <w:sz w:val="21"/>
                <w:szCs w:val="21"/>
              </w:rPr>
            </w:pPr>
          </w:p>
        </w:tc>
        <w:tc>
          <w:tcPr>
            <w:tcW w:w="1256" w:type="pct"/>
            <w:shd w:val="clear" w:color="auto" w:fill="auto"/>
            <w:vAlign w:val="center"/>
          </w:tcPr>
          <w:p w14:paraId="3DB2D106"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256" w:type="pct"/>
            <w:shd w:val="clear" w:color="auto" w:fill="auto"/>
            <w:vAlign w:val="center"/>
          </w:tcPr>
          <w:p w14:paraId="1009ADBC" w14:textId="77777777" w:rsidR="00C02929" w:rsidRDefault="006116D1">
            <w:pPr>
              <w:keepNext/>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278" w:type="pct"/>
            <w:vMerge/>
            <w:shd w:val="clear" w:color="auto" w:fill="auto"/>
            <w:vAlign w:val="center"/>
          </w:tcPr>
          <w:p w14:paraId="5E5AB94C" w14:textId="77777777" w:rsidR="00C02929" w:rsidRDefault="00C02929">
            <w:pPr>
              <w:keepNext/>
              <w:rPr>
                <w:rFonts w:ascii="Times New Roman" w:hAnsi="Times New Roman" w:cs="Times New Roman"/>
                <w:b/>
                <w:bCs/>
                <w:color w:val="000000"/>
                <w:sz w:val="21"/>
                <w:szCs w:val="21"/>
              </w:rPr>
            </w:pPr>
          </w:p>
        </w:tc>
      </w:tr>
      <w:tr w:rsidR="00C02929" w14:paraId="3D3F34AA" w14:textId="77777777">
        <w:trPr>
          <w:trHeight w:val="397"/>
        </w:trPr>
        <w:tc>
          <w:tcPr>
            <w:tcW w:w="1210" w:type="pct"/>
            <w:shd w:val="clear" w:color="auto" w:fill="auto"/>
            <w:vAlign w:val="center"/>
          </w:tcPr>
          <w:p w14:paraId="2320B392"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w:t>
            </w:r>
          </w:p>
        </w:tc>
        <w:tc>
          <w:tcPr>
            <w:tcW w:w="1256" w:type="pct"/>
            <w:shd w:val="clear" w:color="auto" w:fill="auto"/>
            <w:vAlign w:val="center"/>
          </w:tcPr>
          <w:p w14:paraId="3895B8E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2,976.18</w:t>
            </w:r>
          </w:p>
        </w:tc>
        <w:tc>
          <w:tcPr>
            <w:tcW w:w="1256" w:type="pct"/>
            <w:shd w:val="clear" w:color="auto" w:fill="auto"/>
            <w:vAlign w:val="center"/>
          </w:tcPr>
          <w:p w14:paraId="62E2B5E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92.44</w:t>
            </w:r>
          </w:p>
        </w:tc>
        <w:tc>
          <w:tcPr>
            <w:tcW w:w="1278" w:type="pct"/>
            <w:shd w:val="clear" w:color="auto" w:fill="auto"/>
            <w:vAlign w:val="center"/>
          </w:tcPr>
          <w:p w14:paraId="2E6A40A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47.91</w:t>
            </w:r>
          </w:p>
        </w:tc>
      </w:tr>
      <w:tr w:rsidR="00C02929" w14:paraId="1A7CD331" w14:textId="77777777">
        <w:trPr>
          <w:trHeight w:val="397"/>
        </w:trPr>
        <w:tc>
          <w:tcPr>
            <w:tcW w:w="1210" w:type="pct"/>
            <w:shd w:val="clear" w:color="auto" w:fill="auto"/>
            <w:vAlign w:val="center"/>
          </w:tcPr>
          <w:p w14:paraId="3CD42A1C"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3260518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228.90</w:t>
            </w:r>
          </w:p>
        </w:tc>
        <w:tc>
          <w:tcPr>
            <w:tcW w:w="1256" w:type="pct"/>
            <w:shd w:val="clear" w:color="auto" w:fill="auto"/>
            <w:vAlign w:val="center"/>
          </w:tcPr>
          <w:p w14:paraId="3424B4A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7.11</w:t>
            </w:r>
          </w:p>
        </w:tc>
        <w:tc>
          <w:tcPr>
            <w:tcW w:w="1278" w:type="pct"/>
            <w:shd w:val="clear" w:color="auto" w:fill="auto"/>
            <w:vAlign w:val="center"/>
          </w:tcPr>
          <w:p w14:paraId="7F34751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41.01</w:t>
            </w:r>
          </w:p>
        </w:tc>
      </w:tr>
      <w:tr w:rsidR="00C02929" w14:paraId="5A28642D" w14:textId="77777777">
        <w:trPr>
          <w:trHeight w:val="397"/>
        </w:trPr>
        <w:tc>
          <w:tcPr>
            <w:tcW w:w="1210" w:type="pct"/>
            <w:shd w:val="clear" w:color="auto" w:fill="auto"/>
            <w:vAlign w:val="center"/>
          </w:tcPr>
          <w:p w14:paraId="41BEBE91"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lastRenderedPageBreak/>
              <w:t>2-3</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4DA18A4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14.50</w:t>
            </w:r>
          </w:p>
        </w:tc>
        <w:tc>
          <w:tcPr>
            <w:tcW w:w="1256" w:type="pct"/>
            <w:shd w:val="clear" w:color="auto" w:fill="auto"/>
            <w:vAlign w:val="center"/>
          </w:tcPr>
          <w:p w14:paraId="4941C7B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0.45</w:t>
            </w:r>
          </w:p>
        </w:tc>
        <w:tc>
          <w:tcPr>
            <w:tcW w:w="1278" w:type="pct"/>
            <w:shd w:val="clear" w:color="auto" w:fill="auto"/>
            <w:vAlign w:val="center"/>
          </w:tcPr>
          <w:p w14:paraId="7B96903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lang w:val="en-GB"/>
              </w:rPr>
              <w:t>4.40</w:t>
            </w:r>
          </w:p>
        </w:tc>
      </w:tr>
      <w:tr w:rsidR="00C02929" w14:paraId="2ED25EAE" w14:textId="77777777">
        <w:trPr>
          <w:trHeight w:val="397"/>
        </w:trPr>
        <w:tc>
          <w:tcPr>
            <w:tcW w:w="1210" w:type="pct"/>
            <w:shd w:val="clear" w:color="auto" w:fill="auto"/>
            <w:vAlign w:val="center"/>
          </w:tcPr>
          <w:p w14:paraId="5A98017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6" w:type="pct"/>
            <w:shd w:val="clear" w:color="auto" w:fill="auto"/>
            <w:vAlign w:val="center"/>
          </w:tcPr>
          <w:p w14:paraId="147D1A62"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3,219.58</w:t>
            </w:r>
          </w:p>
        </w:tc>
        <w:tc>
          <w:tcPr>
            <w:tcW w:w="1256" w:type="pct"/>
            <w:shd w:val="clear" w:color="auto" w:fill="auto"/>
            <w:vAlign w:val="center"/>
          </w:tcPr>
          <w:p w14:paraId="1E69E783"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100.00</w:t>
            </w:r>
          </w:p>
        </w:tc>
        <w:tc>
          <w:tcPr>
            <w:tcW w:w="1278" w:type="pct"/>
            <w:shd w:val="clear" w:color="auto" w:fill="auto"/>
            <w:vAlign w:val="center"/>
          </w:tcPr>
          <w:p w14:paraId="5FE3521F"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93.31</w:t>
            </w:r>
          </w:p>
        </w:tc>
      </w:tr>
      <w:tr w:rsidR="00C02929" w14:paraId="37AD3381" w14:textId="77777777">
        <w:trPr>
          <w:trHeight w:val="397"/>
        </w:trPr>
        <w:tc>
          <w:tcPr>
            <w:tcW w:w="1210" w:type="pct"/>
            <w:vMerge w:val="restart"/>
            <w:shd w:val="clear" w:color="auto" w:fill="auto"/>
            <w:vAlign w:val="center"/>
          </w:tcPr>
          <w:p w14:paraId="578716DF"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账龄</w:t>
            </w:r>
          </w:p>
        </w:tc>
        <w:tc>
          <w:tcPr>
            <w:tcW w:w="3790" w:type="pct"/>
            <w:gridSpan w:val="3"/>
            <w:shd w:val="clear" w:color="auto" w:fill="auto"/>
            <w:vAlign w:val="center"/>
          </w:tcPr>
          <w:p w14:paraId="748544CC"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w:t>
            </w:r>
            <w:r>
              <w:rPr>
                <w:rFonts w:ascii="Times New Roman" w:hAnsi="Times New Roman" w:cs="Times New Roman" w:hint="eastAsia"/>
                <w:b/>
                <w:bCs/>
                <w:color w:val="000000"/>
                <w:sz w:val="21"/>
                <w:szCs w:val="21"/>
                <w:lang w:val="en-GB"/>
              </w:rPr>
              <w:t>12</w:t>
            </w:r>
            <w:r>
              <w:rPr>
                <w:rFonts w:ascii="Times New Roman" w:hAnsi="Times New Roman" w:cs="Times New Roman" w:hint="eastAsia"/>
                <w:b/>
                <w:bCs/>
                <w:color w:val="000000"/>
                <w:sz w:val="21"/>
                <w:szCs w:val="21"/>
                <w:lang w:val="en-GB"/>
              </w:rPr>
              <w:t>月</w:t>
            </w:r>
            <w:r>
              <w:rPr>
                <w:rFonts w:ascii="Times New Roman" w:hAnsi="Times New Roman" w:cs="Times New Roman" w:hint="eastAsia"/>
                <w:b/>
                <w:bCs/>
                <w:color w:val="000000"/>
                <w:sz w:val="21"/>
                <w:szCs w:val="21"/>
                <w:lang w:val="en-GB"/>
              </w:rPr>
              <w:t>31</w:t>
            </w:r>
            <w:r>
              <w:rPr>
                <w:rFonts w:ascii="Times New Roman" w:hAnsi="Times New Roman" w:cs="Times New Roman" w:hint="eastAsia"/>
                <w:b/>
                <w:bCs/>
                <w:color w:val="000000"/>
                <w:sz w:val="21"/>
                <w:szCs w:val="21"/>
                <w:lang w:val="en-GB"/>
              </w:rPr>
              <w:t>日</w:t>
            </w:r>
          </w:p>
        </w:tc>
      </w:tr>
      <w:tr w:rsidR="00C02929" w14:paraId="3E61BC65" w14:textId="77777777">
        <w:trPr>
          <w:trHeight w:val="397"/>
        </w:trPr>
        <w:tc>
          <w:tcPr>
            <w:tcW w:w="1210" w:type="pct"/>
            <w:vMerge/>
            <w:shd w:val="clear" w:color="auto" w:fill="auto"/>
            <w:vAlign w:val="center"/>
          </w:tcPr>
          <w:p w14:paraId="0A9DBD33" w14:textId="77777777" w:rsidR="00C02929" w:rsidRDefault="00C02929">
            <w:pPr>
              <w:jc w:val="center"/>
              <w:rPr>
                <w:rFonts w:ascii="Times New Roman" w:hAnsi="Times New Roman" w:cs="Times New Roman"/>
                <w:b/>
                <w:bCs/>
                <w:color w:val="000000"/>
                <w:sz w:val="21"/>
                <w:szCs w:val="21"/>
              </w:rPr>
            </w:pPr>
          </w:p>
        </w:tc>
        <w:tc>
          <w:tcPr>
            <w:tcW w:w="2512" w:type="pct"/>
            <w:gridSpan w:val="2"/>
            <w:shd w:val="clear" w:color="auto" w:fill="auto"/>
            <w:vAlign w:val="center"/>
          </w:tcPr>
          <w:p w14:paraId="606FFF2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账面余额</w:t>
            </w:r>
          </w:p>
        </w:tc>
        <w:tc>
          <w:tcPr>
            <w:tcW w:w="1278" w:type="pct"/>
            <w:vMerge w:val="restart"/>
            <w:shd w:val="clear" w:color="auto" w:fill="auto"/>
            <w:vAlign w:val="center"/>
          </w:tcPr>
          <w:p w14:paraId="439B784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坏账准备</w:t>
            </w:r>
          </w:p>
        </w:tc>
      </w:tr>
      <w:tr w:rsidR="00C02929" w14:paraId="286A8E48" w14:textId="77777777">
        <w:trPr>
          <w:trHeight w:val="397"/>
        </w:trPr>
        <w:tc>
          <w:tcPr>
            <w:tcW w:w="1210" w:type="pct"/>
            <w:vMerge/>
            <w:shd w:val="clear" w:color="auto" w:fill="auto"/>
            <w:vAlign w:val="center"/>
          </w:tcPr>
          <w:p w14:paraId="4685338D" w14:textId="77777777" w:rsidR="00C02929" w:rsidRDefault="00C02929">
            <w:pPr>
              <w:jc w:val="center"/>
              <w:rPr>
                <w:rFonts w:ascii="Times New Roman" w:hAnsi="Times New Roman" w:cs="Times New Roman"/>
                <w:b/>
                <w:bCs/>
                <w:color w:val="000000"/>
                <w:sz w:val="21"/>
                <w:szCs w:val="21"/>
              </w:rPr>
            </w:pPr>
          </w:p>
        </w:tc>
        <w:tc>
          <w:tcPr>
            <w:tcW w:w="1256" w:type="pct"/>
            <w:shd w:val="clear" w:color="auto" w:fill="auto"/>
            <w:vAlign w:val="center"/>
          </w:tcPr>
          <w:p w14:paraId="7F177F4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金额</w:t>
            </w:r>
          </w:p>
        </w:tc>
        <w:tc>
          <w:tcPr>
            <w:tcW w:w="1256" w:type="pct"/>
            <w:shd w:val="clear" w:color="auto" w:fill="auto"/>
            <w:vAlign w:val="center"/>
          </w:tcPr>
          <w:p w14:paraId="437B1645"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比例（</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w:t>
            </w:r>
          </w:p>
        </w:tc>
        <w:tc>
          <w:tcPr>
            <w:tcW w:w="1278" w:type="pct"/>
            <w:vMerge/>
            <w:shd w:val="clear" w:color="auto" w:fill="auto"/>
            <w:vAlign w:val="center"/>
          </w:tcPr>
          <w:p w14:paraId="64122D8E" w14:textId="77777777" w:rsidR="00C02929" w:rsidRDefault="00C02929">
            <w:pPr>
              <w:rPr>
                <w:rFonts w:ascii="Times New Roman" w:hAnsi="Times New Roman" w:cs="Times New Roman"/>
                <w:b/>
                <w:bCs/>
                <w:color w:val="000000"/>
                <w:sz w:val="21"/>
                <w:szCs w:val="21"/>
              </w:rPr>
            </w:pPr>
          </w:p>
        </w:tc>
      </w:tr>
      <w:tr w:rsidR="00C02929" w14:paraId="4EC89A1F" w14:textId="77777777">
        <w:trPr>
          <w:trHeight w:val="397"/>
        </w:trPr>
        <w:tc>
          <w:tcPr>
            <w:tcW w:w="1210" w:type="pct"/>
            <w:shd w:val="clear" w:color="auto" w:fill="auto"/>
            <w:vAlign w:val="center"/>
          </w:tcPr>
          <w:p w14:paraId="1AE13700"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w:t>
            </w:r>
          </w:p>
        </w:tc>
        <w:tc>
          <w:tcPr>
            <w:tcW w:w="1256" w:type="pct"/>
            <w:shd w:val="clear" w:color="auto" w:fill="auto"/>
            <w:vAlign w:val="center"/>
          </w:tcPr>
          <w:p w14:paraId="4D07C27B"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1,340.40</w:t>
            </w:r>
          </w:p>
        </w:tc>
        <w:tc>
          <w:tcPr>
            <w:tcW w:w="1256" w:type="pct"/>
            <w:shd w:val="clear" w:color="auto" w:fill="auto"/>
            <w:vAlign w:val="center"/>
          </w:tcPr>
          <w:p w14:paraId="3DBCCD76"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92.88</w:t>
            </w:r>
          </w:p>
        </w:tc>
        <w:tc>
          <w:tcPr>
            <w:tcW w:w="1278" w:type="pct"/>
            <w:shd w:val="clear" w:color="auto" w:fill="auto"/>
            <w:vAlign w:val="center"/>
          </w:tcPr>
          <w:p w14:paraId="0F230D79"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12.49</w:t>
            </w:r>
          </w:p>
        </w:tc>
      </w:tr>
      <w:tr w:rsidR="00C02929" w14:paraId="341BE763" w14:textId="77777777">
        <w:trPr>
          <w:trHeight w:val="397"/>
        </w:trPr>
        <w:tc>
          <w:tcPr>
            <w:tcW w:w="1210" w:type="pct"/>
            <w:shd w:val="clear" w:color="auto" w:fill="auto"/>
            <w:vAlign w:val="center"/>
          </w:tcPr>
          <w:p w14:paraId="00CD75D3"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652DDBF8"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102.70</w:t>
            </w:r>
          </w:p>
        </w:tc>
        <w:tc>
          <w:tcPr>
            <w:tcW w:w="1256" w:type="pct"/>
            <w:shd w:val="clear" w:color="auto" w:fill="auto"/>
            <w:vAlign w:val="center"/>
          </w:tcPr>
          <w:p w14:paraId="2B5C9B67"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7.12</w:t>
            </w:r>
          </w:p>
        </w:tc>
        <w:tc>
          <w:tcPr>
            <w:tcW w:w="1278" w:type="pct"/>
            <w:shd w:val="clear" w:color="auto" w:fill="auto"/>
            <w:vAlign w:val="center"/>
          </w:tcPr>
          <w:p w14:paraId="1AC28959"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7.95</w:t>
            </w:r>
          </w:p>
        </w:tc>
      </w:tr>
      <w:tr w:rsidR="00C02929" w14:paraId="69B22807" w14:textId="77777777">
        <w:trPr>
          <w:trHeight w:val="397"/>
        </w:trPr>
        <w:tc>
          <w:tcPr>
            <w:tcW w:w="1210" w:type="pct"/>
            <w:shd w:val="clear" w:color="auto" w:fill="auto"/>
            <w:vAlign w:val="center"/>
          </w:tcPr>
          <w:p w14:paraId="2D888274"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2-3</w:t>
            </w:r>
            <w:r>
              <w:rPr>
                <w:rFonts w:ascii="Times New Roman" w:hAnsi="Times New Roman" w:cs="Times New Roman" w:hint="eastAsia"/>
                <w:color w:val="000000"/>
                <w:sz w:val="21"/>
                <w:szCs w:val="21"/>
                <w:lang w:val="en-GB"/>
              </w:rPr>
              <w:t>年</w:t>
            </w:r>
          </w:p>
        </w:tc>
        <w:tc>
          <w:tcPr>
            <w:tcW w:w="1256" w:type="pct"/>
            <w:shd w:val="clear" w:color="auto" w:fill="auto"/>
            <w:vAlign w:val="center"/>
          </w:tcPr>
          <w:p w14:paraId="69016C89"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w:t>
            </w:r>
          </w:p>
        </w:tc>
        <w:tc>
          <w:tcPr>
            <w:tcW w:w="1256" w:type="pct"/>
            <w:shd w:val="clear" w:color="auto" w:fill="auto"/>
            <w:vAlign w:val="center"/>
          </w:tcPr>
          <w:p w14:paraId="76ADC026"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w:t>
            </w:r>
          </w:p>
        </w:tc>
        <w:tc>
          <w:tcPr>
            <w:tcW w:w="1278" w:type="pct"/>
            <w:shd w:val="clear" w:color="auto" w:fill="auto"/>
            <w:vAlign w:val="center"/>
          </w:tcPr>
          <w:p w14:paraId="02B15FBB"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color w:val="000000"/>
                <w:sz w:val="21"/>
                <w:szCs w:val="21"/>
                <w:lang w:val="en-GB"/>
              </w:rPr>
              <w:t>-</w:t>
            </w:r>
          </w:p>
        </w:tc>
      </w:tr>
      <w:tr w:rsidR="00C02929" w14:paraId="5BF615E8" w14:textId="77777777">
        <w:trPr>
          <w:trHeight w:val="397"/>
        </w:trPr>
        <w:tc>
          <w:tcPr>
            <w:tcW w:w="1210" w:type="pct"/>
            <w:shd w:val="clear" w:color="auto" w:fill="auto"/>
            <w:vAlign w:val="center"/>
          </w:tcPr>
          <w:p w14:paraId="72B67CF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合计</w:t>
            </w:r>
          </w:p>
        </w:tc>
        <w:tc>
          <w:tcPr>
            <w:tcW w:w="1256" w:type="pct"/>
            <w:shd w:val="clear" w:color="auto" w:fill="auto"/>
            <w:vAlign w:val="center"/>
          </w:tcPr>
          <w:p w14:paraId="5DE6150E"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1,443.10</w:t>
            </w:r>
          </w:p>
        </w:tc>
        <w:tc>
          <w:tcPr>
            <w:tcW w:w="1256" w:type="pct"/>
            <w:shd w:val="clear" w:color="auto" w:fill="auto"/>
            <w:vAlign w:val="center"/>
          </w:tcPr>
          <w:p w14:paraId="5EC2B2CB"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100.00</w:t>
            </w:r>
          </w:p>
        </w:tc>
        <w:tc>
          <w:tcPr>
            <w:tcW w:w="1278" w:type="pct"/>
            <w:shd w:val="clear" w:color="auto" w:fill="auto"/>
            <w:vAlign w:val="center"/>
          </w:tcPr>
          <w:p w14:paraId="6E52077C"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lang w:val="en-GB"/>
              </w:rPr>
              <w:t>20.44</w:t>
            </w:r>
          </w:p>
        </w:tc>
      </w:tr>
    </w:tbl>
    <w:p w14:paraId="0AB35AD9"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lang w:val="en-GB"/>
        </w:rPr>
        <w:t>报告期各期末，标的公司应收账款中</w:t>
      </w:r>
      <w:r>
        <w:rPr>
          <w:rFonts w:ascii="Times New Roman" w:hAnsi="Times New Roman" w:cs="Times New Roman"/>
          <w:color w:val="000000"/>
          <w:lang w:val="en-GB"/>
        </w:rPr>
        <w:t>1</w:t>
      </w:r>
      <w:r>
        <w:rPr>
          <w:rFonts w:ascii="Times New Roman" w:hAnsi="Times New Roman" w:cs="Times New Roman" w:hint="eastAsia"/>
          <w:color w:val="000000"/>
          <w:lang w:val="en-GB"/>
        </w:rPr>
        <w:t>年内到期（含</w:t>
      </w:r>
      <w:r>
        <w:rPr>
          <w:rFonts w:ascii="Times New Roman" w:hAnsi="Times New Roman" w:cs="Times New Roman"/>
          <w:color w:val="000000"/>
          <w:lang w:val="en-GB"/>
        </w:rPr>
        <w:t>1</w:t>
      </w:r>
      <w:r>
        <w:rPr>
          <w:rFonts w:ascii="Times New Roman" w:hAnsi="Times New Roman" w:cs="Times New Roman" w:hint="eastAsia"/>
          <w:color w:val="000000"/>
          <w:lang w:val="en-GB"/>
        </w:rPr>
        <w:t>年）的占比分别为</w:t>
      </w:r>
      <w:r>
        <w:rPr>
          <w:rFonts w:ascii="Times New Roman" w:hAnsi="Times New Roman" w:cs="Times New Roman"/>
          <w:color w:val="000000"/>
          <w:lang w:val="en-GB"/>
        </w:rPr>
        <w:t>92.88%</w:t>
      </w:r>
      <w:r>
        <w:rPr>
          <w:rFonts w:ascii="Times New Roman" w:hAnsi="Times New Roman" w:cs="Times New Roman" w:hint="eastAsia"/>
          <w:color w:val="000000"/>
          <w:lang w:val="en-GB"/>
        </w:rPr>
        <w:t>、</w:t>
      </w:r>
      <w:r>
        <w:rPr>
          <w:rFonts w:ascii="Times New Roman" w:hAnsi="Times New Roman" w:cs="Times New Roman"/>
          <w:color w:val="000000"/>
          <w:lang w:val="en-GB"/>
        </w:rPr>
        <w:t>92.44%</w:t>
      </w:r>
      <w:r>
        <w:rPr>
          <w:rFonts w:ascii="Times New Roman" w:hAnsi="Times New Roman" w:cs="Times New Roman" w:hint="eastAsia"/>
          <w:color w:val="000000"/>
          <w:lang w:val="en-GB"/>
        </w:rPr>
        <w:t>和</w:t>
      </w:r>
      <w:r>
        <w:rPr>
          <w:rFonts w:ascii="Times New Roman" w:hAnsi="Times New Roman" w:cs="Times New Roman"/>
          <w:color w:val="000000"/>
          <w:lang w:val="en-GB"/>
        </w:rPr>
        <w:t>7</w:t>
      </w:r>
      <w:r>
        <w:rPr>
          <w:rFonts w:ascii="Times New Roman" w:hAnsi="Times New Roman" w:cs="Times New Roman"/>
          <w:color w:val="000000"/>
        </w:rPr>
        <w:t>5.23</w:t>
      </w:r>
      <w:r>
        <w:rPr>
          <w:rFonts w:ascii="Times New Roman" w:hAnsi="Times New Roman" w:cs="Times New Roman"/>
          <w:color w:val="000000"/>
          <w:lang w:val="en-GB"/>
        </w:rPr>
        <w:t>%</w:t>
      </w:r>
      <w:r>
        <w:rPr>
          <w:rFonts w:ascii="Times New Roman" w:hAnsi="Times New Roman" w:cs="Times New Roman" w:hint="eastAsia"/>
          <w:color w:val="000000"/>
          <w:lang w:val="en-GB"/>
        </w:rPr>
        <w:t>，应收账款账龄大部分集中在</w:t>
      </w:r>
      <w:r>
        <w:rPr>
          <w:rFonts w:ascii="Times New Roman" w:hAnsi="Times New Roman" w:cs="Times New Roman"/>
          <w:color w:val="000000"/>
          <w:lang w:val="en-GB"/>
        </w:rPr>
        <w:t>1</w:t>
      </w:r>
      <w:r>
        <w:rPr>
          <w:rFonts w:ascii="Times New Roman" w:hAnsi="Times New Roman" w:cs="Times New Roman" w:hint="eastAsia"/>
          <w:color w:val="000000"/>
          <w:lang w:val="en-GB"/>
        </w:rPr>
        <w:t>年以内，应收账款总体质量较好。报告期内，标的公司均严格按照坏账准备计提政策进行应收账款的坏账准备计提，应收账款坏账准备计提充分。</w:t>
      </w:r>
    </w:p>
    <w:p w14:paraId="1DB0EA16"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北洋天青与同行业上市公司的坏账政策，对</w:t>
      </w:r>
      <w:r>
        <w:rPr>
          <w:rFonts w:ascii="Times New Roman" w:hAnsi="Times New Roman" w:cs="Times New Roman"/>
        </w:rPr>
        <w:t>1</w:t>
      </w:r>
      <w:r>
        <w:rPr>
          <w:rFonts w:ascii="Times New Roman" w:hAnsi="Times New Roman" w:cs="Times New Roman" w:hint="eastAsia"/>
        </w:rPr>
        <w:t>年以内坏账计提比例较小，</w:t>
      </w:r>
      <w:r>
        <w:rPr>
          <w:rFonts w:ascii="Times New Roman" w:hAnsi="Times New Roman" w:cs="Times New Roman"/>
        </w:rPr>
        <w:t>1</w:t>
      </w:r>
      <w:r>
        <w:rPr>
          <w:rFonts w:ascii="Times New Roman" w:hAnsi="Times New Roman" w:cs="Times New Roman" w:hint="eastAsia"/>
        </w:rPr>
        <w:t>年以上坏账计提比例提高，不存在重大差异。具体情况如下：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08"/>
        <w:gridCol w:w="971"/>
        <w:gridCol w:w="1679"/>
        <w:gridCol w:w="1106"/>
        <w:gridCol w:w="1108"/>
        <w:gridCol w:w="969"/>
        <w:gridCol w:w="1081"/>
      </w:tblGrid>
      <w:tr w:rsidR="00C02929" w14:paraId="1D6116B8" w14:textId="77777777">
        <w:trPr>
          <w:trHeight w:val="397"/>
          <w:tblHeader/>
        </w:trPr>
        <w:tc>
          <w:tcPr>
            <w:tcW w:w="944" w:type="pct"/>
            <w:shd w:val="clear" w:color="auto" w:fill="auto"/>
            <w:vAlign w:val="center"/>
          </w:tcPr>
          <w:p w14:paraId="27110AC3"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账龄</w:t>
            </w:r>
          </w:p>
        </w:tc>
        <w:tc>
          <w:tcPr>
            <w:tcW w:w="570" w:type="pct"/>
            <w:vAlign w:val="center"/>
          </w:tcPr>
          <w:p w14:paraId="53D69A3A"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埃斯顿</w:t>
            </w:r>
          </w:p>
        </w:tc>
        <w:tc>
          <w:tcPr>
            <w:tcW w:w="985" w:type="pct"/>
            <w:vAlign w:val="center"/>
          </w:tcPr>
          <w:p w14:paraId="6AE79688"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拓斯达</w:t>
            </w:r>
          </w:p>
        </w:tc>
        <w:tc>
          <w:tcPr>
            <w:tcW w:w="649" w:type="pct"/>
            <w:vAlign w:val="center"/>
          </w:tcPr>
          <w:p w14:paraId="5186DC16"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永创智能</w:t>
            </w:r>
          </w:p>
        </w:tc>
        <w:tc>
          <w:tcPr>
            <w:tcW w:w="650" w:type="pct"/>
            <w:vAlign w:val="center"/>
          </w:tcPr>
          <w:p w14:paraId="3DB61B6C"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快克股份</w:t>
            </w:r>
          </w:p>
        </w:tc>
        <w:tc>
          <w:tcPr>
            <w:tcW w:w="568" w:type="pct"/>
            <w:vAlign w:val="center"/>
          </w:tcPr>
          <w:p w14:paraId="0E46D980"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机器人</w:t>
            </w:r>
          </w:p>
        </w:tc>
        <w:tc>
          <w:tcPr>
            <w:tcW w:w="634" w:type="pct"/>
            <w:vAlign w:val="center"/>
          </w:tcPr>
          <w:p w14:paraId="4F12C01E" w14:textId="77777777" w:rsidR="00C02929" w:rsidRDefault="006116D1">
            <w:pPr>
              <w:jc w:val="center"/>
              <w:rPr>
                <w:rFonts w:ascii="Times New Roman" w:hAnsi="Times New Roman" w:cs="Times New Roman"/>
                <w:b/>
                <w:bCs/>
                <w:snapToGrid w:val="0"/>
                <w:sz w:val="21"/>
                <w:szCs w:val="21"/>
                <w:lang w:val="en-GB"/>
              </w:rPr>
            </w:pPr>
            <w:r>
              <w:rPr>
                <w:rFonts w:ascii="Times New Roman" w:hAnsi="Times New Roman" w:cs="Times New Roman" w:hint="eastAsia"/>
                <w:b/>
                <w:bCs/>
                <w:snapToGrid w:val="0"/>
                <w:sz w:val="21"/>
                <w:szCs w:val="21"/>
                <w:lang w:val="en-GB"/>
              </w:rPr>
              <w:t>北洋天青</w:t>
            </w:r>
          </w:p>
        </w:tc>
      </w:tr>
      <w:tr w:rsidR="00C02929" w14:paraId="3FE38EBF" w14:textId="77777777">
        <w:trPr>
          <w:trHeight w:val="397"/>
        </w:trPr>
        <w:tc>
          <w:tcPr>
            <w:tcW w:w="944" w:type="pct"/>
            <w:shd w:val="clear" w:color="auto" w:fill="auto"/>
            <w:vAlign w:val="center"/>
          </w:tcPr>
          <w:p w14:paraId="30B13FD3" w14:textId="77777777" w:rsidR="00C02929" w:rsidRDefault="006116D1">
            <w:pPr>
              <w:rPr>
                <w:rFonts w:ascii="Times New Roman" w:hAnsi="Times New Roman" w:cs="Times New Roman"/>
                <w:color w:val="000000"/>
                <w:sz w:val="21"/>
                <w:szCs w:val="21"/>
                <w:lang w:val="en-GB"/>
              </w:rPr>
            </w:pP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年以内（含</w:t>
            </w:r>
            <w:r>
              <w:rPr>
                <w:rFonts w:ascii="Times New Roman" w:hAnsi="Times New Roman" w:cs="Times New Roman" w:hint="eastAsia"/>
                <w:color w:val="000000"/>
                <w:sz w:val="21"/>
                <w:szCs w:val="21"/>
                <w:lang w:val="en-GB"/>
              </w:rPr>
              <w:t>1</w:t>
            </w:r>
            <w:r>
              <w:rPr>
                <w:rFonts w:ascii="Times New Roman" w:hAnsi="Times New Roman" w:cs="Times New Roman" w:hint="eastAsia"/>
                <w:color w:val="000000"/>
                <w:sz w:val="21"/>
                <w:szCs w:val="21"/>
                <w:lang w:val="en-GB"/>
              </w:rPr>
              <w:t>年）</w:t>
            </w:r>
          </w:p>
        </w:tc>
        <w:tc>
          <w:tcPr>
            <w:tcW w:w="570" w:type="pct"/>
            <w:vAlign w:val="center"/>
          </w:tcPr>
          <w:p w14:paraId="1AEA573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2.00%</w:t>
            </w:r>
          </w:p>
        </w:tc>
        <w:tc>
          <w:tcPr>
            <w:tcW w:w="985" w:type="pct"/>
            <w:vAlign w:val="center"/>
          </w:tcPr>
          <w:p w14:paraId="2B20E9D2"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个月为</w:t>
            </w:r>
            <w:r>
              <w:rPr>
                <w:rFonts w:ascii="Times New Roman" w:hAnsi="Times New Roman" w:cs="Times New Roman" w:hint="eastAsia"/>
                <w:color w:val="000000"/>
                <w:sz w:val="21"/>
                <w:szCs w:val="21"/>
              </w:rPr>
              <w:t>1%</w:t>
            </w: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7-12</w:t>
            </w:r>
            <w:r>
              <w:rPr>
                <w:rFonts w:ascii="Times New Roman" w:hAnsi="Times New Roman" w:cs="Times New Roman" w:hint="eastAsia"/>
                <w:color w:val="000000"/>
                <w:sz w:val="21"/>
                <w:szCs w:val="21"/>
              </w:rPr>
              <w:t>个月为</w:t>
            </w:r>
            <w:r>
              <w:rPr>
                <w:rFonts w:ascii="Times New Roman" w:hAnsi="Times New Roman" w:cs="Times New Roman" w:hint="eastAsia"/>
                <w:color w:val="000000"/>
                <w:sz w:val="21"/>
                <w:szCs w:val="21"/>
              </w:rPr>
              <w:t>5%</w:t>
            </w:r>
          </w:p>
        </w:tc>
        <w:tc>
          <w:tcPr>
            <w:tcW w:w="649" w:type="pct"/>
            <w:vAlign w:val="center"/>
          </w:tcPr>
          <w:p w14:paraId="28B6D50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5.00%</w:t>
            </w:r>
          </w:p>
        </w:tc>
        <w:tc>
          <w:tcPr>
            <w:tcW w:w="650" w:type="pct"/>
            <w:vAlign w:val="center"/>
          </w:tcPr>
          <w:p w14:paraId="0917998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5.00%</w:t>
            </w:r>
          </w:p>
        </w:tc>
        <w:tc>
          <w:tcPr>
            <w:tcW w:w="568" w:type="pct"/>
            <w:vAlign w:val="center"/>
          </w:tcPr>
          <w:p w14:paraId="6968BE8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5.36%</w:t>
            </w:r>
          </w:p>
        </w:tc>
        <w:tc>
          <w:tcPr>
            <w:tcW w:w="634" w:type="pct"/>
            <w:vAlign w:val="center"/>
          </w:tcPr>
          <w:p w14:paraId="72624AF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1.61</w:t>
            </w:r>
            <w:r>
              <w:rPr>
                <w:rFonts w:ascii="Times New Roman" w:hAnsi="Times New Roman" w:cs="Times New Roman" w:hint="eastAsia"/>
                <w:color w:val="000000"/>
                <w:sz w:val="21"/>
                <w:szCs w:val="21"/>
              </w:rPr>
              <w:t>%</w:t>
            </w:r>
          </w:p>
        </w:tc>
      </w:tr>
      <w:tr w:rsidR="00C02929" w14:paraId="58686E3D" w14:textId="77777777">
        <w:trPr>
          <w:trHeight w:val="397"/>
        </w:trPr>
        <w:tc>
          <w:tcPr>
            <w:tcW w:w="944" w:type="pct"/>
            <w:shd w:val="clear" w:color="auto" w:fill="auto"/>
            <w:vAlign w:val="center"/>
          </w:tcPr>
          <w:p w14:paraId="17E81021"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lang w:val="en-GB"/>
              </w:rPr>
              <w:t>1-2</w:t>
            </w:r>
            <w:r>
              <w:rPr>
                <w:rFonts w:ascii="Times New Roman" w:hAnsi="Times New Roman" w:cs="Times New Roman" w:hint="eastAsia"/>
                <w:color w:val="000000"/>
                <w:sz w:val="21"/>
                <w:szCs w:val="21"/>
                <w:lang w:val="en-GB"/>
              </w:rPr>
              <w:t>年</w:t>
            </w:r>
          </w:p>
        </w:tc>
        <w:tc>
          <w:tcPr>
            <w:tcW w:w="570" w:type="pct"/>
            <w:vAlign w:val="center"/>
          </w:tcPr>
          <w:p w14:paraId="3CBF743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985" w:type="pct"/>
            <w:vAlign w:val="center"/>
          </w:tcPr>
          <w:p w14:paraId="17D94A1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649" w:type="pct"/>
            <w:vAlign w:val="center"/>
          </w:tcPr>
          <w:p w14:paraId="05FC9A2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650" w:type="pct"/>
            <w:vAlign w:val="center"/>
          </w:tcPr>
          <w:p w14:paraId="46B32B7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w:t>
            </w:r>
          </w:p>
        </w:tc>
        <w:tc>
          <w:tcPr>
            <w:tcW w:w="568" w:type="pct"/>
            <w:vAlign w:val="center"/>
          </w:tcPr>
          <w:p w14:paraId="6297C8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13.74%</w:t>
            </w:r>
          </w:p>
        </w:tc>
        <w:tc>
          <w:tcPr>
            <w:tcW w:w="634" w:type="pct"/>
            <w:vAlign w:val="center"/>
          </w:tcPr>
          <w:p w14:paraId="73F6A6C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17.91</w:t>
            </w:r>
            <w:r>
              <w:rPr>
                <w:rFonts w:ascii="Times New Roman" w:hAnsi="Times New Roman" w:cs="Times New Roman" w:hint="eastAsia"/>
                <w:color w:val="000000"/>
                <w:sz w:val="21"/>
                <w:szCs w:val="21"/>
              </w:rPr>
              <w:t>%</w:t>
            </w:r>
          </w:p>
        </w:tc>
      </w:tr>
      <w:tr w:rsidR="00C02929" w14:paraId="01749B02" w14:textId="77777777">
        <w:trPr>
          <w:trHeight w:val="397"/>
        </w:trPr>
        <w:tc>
          <w:tcPr>
            <w:tcW w:w="944" w:type="pct"/>
            <w:shd w:val="clear" w:color="auto" w:fill="auto"/>
            <w:vAlign w:val="center"/>
          </w:tcPr>
          <w:p w14:paraId="395A0D7A"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2-3</w:t>
            </w:r>
            <w:r>
              <w:rPr>
                <w:rFonts w:ascii="Times New Roman" w:hAnsi="Times New Roman" w:cs="Times New Roman" w:hint="eastAsia"/>
                <w:color w:val="000000"/>
                <w:sz w:val="21"/>
                <w:szCs w:val="21"/>
              </w:rPr>
              <w:t>年</w:t>
            </w:r>
          </w:p>
        </w:tc>
        <w:tc>
          <w:tcPr>
            <w:tcW w:w="570" w:type="pct"/>
            <w:vAlign w:val="center"/>
          </w:tcPr>
          <w:p w14:paraId="4EC3C9B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30.00%</w:t>
            </w:r>
          </w:p>
        </w:tc>
        <w:tc>
          <w:tcPr>
            <w:tcW w:w="985" w:type="pct"/>
            <w:vAlign w:val="center"/>
          </w:tcPr>
          <w:p w14:paraId="481DC3B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20.00%</w:t>
            </w:r>
          </w:p>
        </w:tc>
        <w:tc>
          <w:tcPr>
            <w:tcW w:w="649" w:type="pct"/>
            <w:vAlign w:val="center"/>
          </w:tcPr>
          <w:p w14:paraId="38E9848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650" w:type="pct"/>
            <w:vAlign w:val="center"/>
          </w:tcPr>
          <w:p w14:paraId="718E8C2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30.00%</w:t>
            </w:r>
          </w:p>
        </w:tc>
        <w:tc>
          <w:tcPr>
            <w:tcW w:w="568" w:type="pct"/>
            <w:vAlign w:val="center"/>
          </w:tcPr>
          <w:p w14:paraId="04A3B53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23.06%</w:t>
            </w:r>
          </w:p>
        </w:tc>
        <w:tc>
          <w:tcPr>
            <w:tcW w:w="634" w:type="pct"/>
            <w:vAlign w:val="center"/>
          </w:tcPr>
          <w:p w14:paraId="176B10E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30.33</w:t>
            </w:r>
            <w:r>
              <w:rPr>
                <w:rFonts w:ascii="Times New Roman" w:hAnsi="Times New Roman" w:cs="Times New Roman" w:hint="eastAsia"/>
                <w:color w:val="000000"/>
                <w:sz w:val="21"/>
                <w:szCs w:val="21"/>
              </w:rPr>
              <w:t>%</w:t>
            </w:r>
          </w:p>
        </w:tc>
      </w:tr>
      <w:tr w:rsidR="00C02929" w14:paraId="2DD71E6A" w14:textId="77777777">
        <w:trPr>
          <w:trHeight w:val="397"/>
        </w:trPr>
        <w:tc>
          <w:tcPr>
            <w:tcW w:w="944" w:type="pct"/>
            <w:shd w:val="clear" w:color="auto" w:fill="auto"/>
            <w:vAlign w:val="center"/>
          </w:tcPr>
          <w:p w14:paraId="716B3F77"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3-4</w:t>
            </w:r>
            <w:r>
              <w:rPr>
                <w:rFonts w:ascii="Times New Roman" w:hAnsi="Times New Roman" w:cs="Times New Roman" w:hint="eastAsia"/>
                <w:color w:val="000000"/>
                <w:sz w:val="21"/>
                <w:szCs w:val="21"/>
              </w:rPr>
              <w:t>年</w:t>
            </w:r>
          </w:p>
        </w:tc>
        <w:tc>
          <w:tcPr>
            <w:tcW w:w="570" w:type="pct"/>
            <w:vAlign w:val="center"/>
          </w:tcPr>
          <w:p w14:paraId="3A6EAAB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985" w:type="pct"/>
            <w:vAlign w:val="center"/>
          </w:tcPr>
          <w:p w14:paraId="42984F3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50.00%</w:t>
            </w:r>
          </w:p>
        </w:tc>
        <w:tc>
          <w:tcPr>
            <w:tcW w:w="649" w:type="pct"/>
            <w:vAlign w:val="center"/>
          </w:tcPr>
          <w:p w14:paraId="6823491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50" w:type="pct"/>
            <w:vAlign w:val="center"/>
          </w:tcPr>
          <w:p w14:paraId="2CB8EBD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60.00%</w:t>
            </w:r>
          </w:p>
        </w:tc>
        <w:tc>
          <w:tcPr>
            <w:tcW w:w="568" w:type="pct"/>
            <w:vAlign w:val="center"/>
          </w:tcPr>
          <w:p w14:paraId="4D3BD50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31.76%</w:t>
            </w:r>
          </w:p>
        </w:tc>
        <w:tc>
          <w:tcPr>
            <w:tcW w:w="634" w:type="pct"/>
            <w:vAlign w:val="center"/>
          </w:tcPr>
          <w:p w14:paraId="0B67F2B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59.07</w:t>
            </w:r>
            <w:r>
              <w:rPr>
                <w:rFonts w:ascii="Times New Roman" w:hAnsi="Times New Roman" w:cs="Times New Roman" w:hint="eastAsia"/>
                <w:color w:val="000000"/>
                <w:sz w:val="21"/>
                <w:szCs w:val="21"/>
              </w:rPr>
              <w:t>%</w:t>
            </w:r>
          </w:p>
        </w:tc>
      </w:tr>
      <w:tr w:rsidR="00C02929" w14:paraId="4EECCE50" w14:textId="77777777">
        <w:trPr>
          <w:trHeight w:val="397"/>
        </w:trPr>
        <w:tc>
          <w:tcPr>
            <w:tcW w:w="944" w:type="pct"/>
            <w:shd w:val="clear" w:color="auto" w:fill="auto"/>
            <w:vAlign w:val="center"/>
          </w:tcPr>
          <w:p w14:paraId="30B68A5F"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4-5</w:t>
            </w:r>
            <w:r>
              <w:rPr>
                <w:rFonts w:ascii="Times New Roman" w:hAnsi="Times New Roman" w:cs="Times New Roman" w:hint="eastAsia"/>
                <w:color w:val="000000"/>
                <w:sz w:val="21"/>
                <w:szCs w:val="21"/>
              </w:rPr>
              <w:t>年</w:t>
            </w:r>
          </w:p>
        </w:tc>
        <w:tc>
          <w:tcPr>
            <w:tcW w:w="570" w:type="pct"/>
            <w:vAlign w:val="center"/>
          </w:tcPr>
          <w:p w14:paraId="65E72B6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70.00%</w:t>
            </w:r>
          </w:p>
        </w:tc>
        <w:tc>
          <w:tcPr>
            <w:tcW w:w="985" w:type="pct"/>
            <w:vAlign w:val="center"/>
          </w:tcPr>
          <w:p w14:paraId="70785CB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80.00%</w:t>
            </w:r>
          </w:p>
        </w:tc>
        <w:tc>
          <w:tcPr>
            <w:tcW w:w="649" w:type="pct"/>
            <w:vAlign w:val="center"/>
          </w:tcPr>
          <w:p w14:paraId="548AAE7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50" w:type="pct"/>
            <w:vAlign w:val="center"/>
          </w:tcPr>
          <w:p w14:paraId="6753724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568" w:type="pct"/>
            <w:vAlign w:val="center"/>
          </w:tcPr>
          <w:p w14:paraId="0753FB5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63.70%</w:t>
            </w:r>
          </w:p>
        </w:tc>
        <w:tc>
          <w:tcPr>
            <w:tcW w:w="634" w:type="pct"/>
            <w:vAlign w:val="center"/>
          </w:tcPr>
          <w:p w14:paraId="3BDE018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82.96</w:t>
            </w:r>
            <w:r>
              <w:rPr>
                <w:rFonts w:ascii="Times New Roman" w:hAnsi="Times New Roman" w:cs="Times New Roman" w:hint="eastAsia"/>
                <w:color w:val="000000"/>
                <w:sz w:val="21"/>
                <w:szCs w:val="21"/>
              </w:rPr>
              <w:t>%</w:t>
            </w:r>
          </w:p>
        </w:tc>
      </w:tr>
      <w:tr w:rsidR="00C02929" w14:paraId="1DEF729A" w14:textId="77777777">
        <w:trPr>
          <w:trHeight w:val="397"/>
        </w:trPr>
        <w:tc>
          <w:tcPr>
            <w:tcW w:w="944" w:type="pct"/>
            <w:shd w:val="clear" w:color="auto" w:fill="auto"/>
            <w:vAlign w:val="center"/>
          </w:tcPr>
          <w:p w14:paraId="6DB3B717"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5</w:t>
            </w:r>
            <w:r>
              <w:rPr>
                <w:rFonts w:ascii="Times New Roman" w:hAnsi="Times New Roman" w:cs="Times New Roman" w:hint="eastAsia"/>
                <w:color w:val="000000"/>
                <w:sz w:val="21"/>
                <w:szCs w:val="21"/>
              </w:rPr>
              <w:t>年以上</w:t>
            </w:r>
          </w:p>
        </w:tc>
        <w:tc>
          <w:tcPr>
            <w:tcW w:w="570" w:type="pct"/>
            <w:vAlign w:val="center"/>
          </w:tcPr>
          <w:p w14:paraId="2283DA0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985" w:type="pct"/>
            <w:vAlign w:val="center"/>
          </w:tcPr>
          <w:p w14:paraId="374F1A8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49" w:type="pct"/>
            <w:vAlign w:val="center"/>
          </w:tcPr>
          <w:p w14:paraId="70B96F6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50" w:type="pct"/>
            <w:vAlign w:val="center"/>
          </w:tcPr>
          <w:p w14:paraId="14F4A64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568" w:type="pct"/>
            <w:vAlign w:val="center"/>
          </w:tcPr>
          <w:p w14:paraId="089AD69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p>
        </w:tc>
        <w:tc>
          <w:tcPr>
            <w:tcW w:w="634" w:type="pct"/>
            <w:vAlign w:val="center"/>
          </w:tcPr>
          <w:p w14:paraId="37283E6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100.00</w:t>
            </w:r>
            <w:r>
              <w:rPr>
                <w:rFonts w:ascii="Times New Roman" w:hAnsi="Times New Roman" w:cs="Times New Roman" w:hint="eastAsia"/>
                <w:color w:val="000000"/>
                <w:sz w:val="21"/>
                <w:szCs w:val="21"/>
              </w:rPr>
              <w:t>%</w:t>
            </w:r>
          </w:p>
        </w:tc>
      </w:tr>
    </w:tbl>
    <w:p w14:paraId="060C4EB9"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2134BB58" w14:textId="77777777" w:rsidR="00C02929" w:rsidRDefault="006116D1">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综上所述，北洋天青公司</w:t>
      </w:r>
      <w:r>
        <w:rPr>
          <w:rFonts w:ascii="Times New Roman" w:hAnsi="Times New Roman" w:cs="Times New Roman"/>
        </w:rPr>
        <w:t>1</w:t>
      </w:r>
      <w:r>
        <w:rPr>
          <w:rFonts w:ascii="Times New Roman" w:hAnsi="Times New Roman" w:cs="Times New Roman" w:hint="eastAsia"/>
        </w:rPr>
        <w:t>年以内的应收账款坏账计提比例虽低于同行业可比公司，但应收账款坏账准备计提政策总体上与同行业可比公司不存在显著差异，报告期内标的公司账龄结构合理，对应收账款的坏账准备计提充分、合理。</w:t>
      </w:r>
    </w:p>
    <w:p w14:paraId="7F03D1EB" w14:textId="77777777"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六、补充披露情况</w:t>
      </w:r>
    </w:p>
    <w:p w14:paraId="509911FE"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管理层讨论与分析”之“三、标的公司报告期财务状况和经营成果的讨论分析”之“（一）财务情况分析”进行了补充披露。</w:t>
      </w:r>
    </w:p>
    <w:p w14:paraId="1B540D39" w14:textId="1FE3E48B" w:rsidR="00C02929" w:rsidRDefault="006116D1">
      <w:pPr>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七、</w:t>
      </w:r>
      <w:r w:rsidR="00AA3DAA" w:rsidRP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028C1648" w14:textId="77777777" w:rsidR="00C02929" w:rsidRDefault="006116D1">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经核查，独立财务顾问认为：标的公司</w:t>
      </w:r>
      <w:r>
        <w:rPr>
          <w:rFonts w:ascii="Times New Roman" w:hAnsi="Times New Roman" w:cs="Times New Roman"/>
        </w:rPr>
        <w:t>2019</w:t>
      </w:r>
      <w:r>
        <w:rPr>
          <w:rFonts w:ascii="Times New Roman" w:hAnsi="Times New Roman" w:cs="Times New Roman" w:hint="eastAsia"/>
        </w:rPr>
        <w:t>年末标的公司应收账款相较于</w:t>
      </w:r>
      <w:r>
        <w:rPr>
          <w:rFonts w:ascii="Times New Roman" w:hAnsi="Times New Roman" w:cs="Times New Roman"/>
        </w:rPr>
        <w:t>2018</w:t>
      </w:r>
      <w:r>
        <w:rPr>
          <w:rFonts w:ascii="Times New Roman" w:hAnsi="Times New Roman" w:cs="Times New Roman" w:hint="eastAsia"/>
        </w:rPr>
        <w:t>年大幅增加</w:t>
      </w:r>
      <w:r>
        <w:rPr>
          <w:rFonts w:ascii="Times New Roman" w:hAnsi="Times New Roman" w:cs="Times New Roman"/>
        </w:rPr>
        <w:t>119.75%</w:t>
      </w:r>
      <w:r>
        <w:rPr>
          <w:rFonts w:ascii="Times New Roman" w:hAnsi="Times New Roman" w:cs="Times New Roman" w:hint="eastAsia"/>
        </w:rPr>
        <w:t>，主要系标的公司经营状况良好，业务规模持续扩大，营业收入持续上升，从而导致应收账款规模相应增长所致。</w:t>
      </w:r>
      <w:r>
        <w:rPr>
          <w:rFonts w:ascii="Times New Roman" w:hAnsi="Times New Roman" w:cs="Times New Roman"/>
        </w:rPr>
        <w:t>2020</w:t>
      </w:r>
      <w:r>
        <w:rPr>
          <w:rFonts w:ascii="Times New Roman" w:hAnsi="Times New Roman" w:cs="Times New Roman" w:hint="eastAsia"/>
        </w:rPr>
        <w:t>年末，标的公司应收账款相较于</w:t>
      </w:r>
      <w:r>
        <w:rPr>
          <w:rFonts w:ascii="Times New Roman" w:hAnsi="Times New Roman" w:cs="Times New Roman"/>
        </w:rPr>
        <w:t>2019</w:t>
      </w:r>
      <w:r>
        <w:rPr>
          <w:rFonts w:ascii="Times New Roman" w:hAnsi="Times New Roman" w:cs="Times New Roman" w:hint="eastAsia"/>
        </w:rPr>
        <w:t>年末增加</w:t>
      </w:r>
      <w:r>
        <w:rPr>
          <w:rFonts w:ascii="Times New Roman" w:hAnsi="Times New Roman" w:cs="Times New Roman"/>
        </w:rPr>
        <w:t>51.81%</w:t>
      </w:r>
      <w:r>
        <w:rPr>
          <w:rFonts w:ascii="Times New Roman" w:hAnsi="Times New Roman" w:cs="Times New Roman" w:hint="eastAsia"/>
        </w:rPr>
        <w:t>，主要系受疫情影响，客户回款较慢所致。报告期内标的公司账龄结构合理，对应收账款的坏账准备计提充分、合理。</w:t>
      </w:r>
    </w:p>
    <w:p w14:paraId="533F8213"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）补充披露客户回款的及时性、对北洋天青现金流的影响</w:t>
      </w:r>
    </w:p>
    <w:p w14:paraId="466DFC67"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一、客户回款的及时性、对北洋天青现金流的影响</w:t>
      </w:r>
    </w:p>
    <w:p w14:paraId="0478E2AC" w14:textId="77777777" w:rsidR="00C02929" w:rsidRDefault="006116D1">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北洋天青于</w:t>
      </w:r>
      <w:r>
        <w:rPr>
          <w:rFonts w:ascii="Times New Roman" w:hAnsi="Times New Roman" w:cs="Times New Roman"/>
        </w:rPr>
        <w:t>2018</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日的应收账款账面余额为</w:t>
      </w:r>
      <w:r>
        <w:rPr>
          <w:rFonts w:ascii="Times New Roman" w:hAnsi="Times New Roman" w:cs="Times New Roman"/>
        </w:rPr>
        <w:t>1,443.10</w:t>
      </w:r>
      <w:r>
        <w:rPr>
          <w:rFonts w:ascii="Times New Roman" w:hAnsi="Times New Roman" w:cs="Times New Roman" w:hint="eastAsia"/>
        </w:rPr>
        <w:t>万元，该应收账款于</w:t>
      </w:r>
      <w:r>
        <w:rPr>
          <w:rFonts w:ascii="Times New Roman" w:hAnsi="Times New Roman" w:cs="Times New Roman"/>
        </w:rPr>
        <w:t>2019</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日前已收回</w:t>
      </w:r>
      <w:r>
        <w:rPr>
          <w:rFonts w:ascii="Times New Roman" w:hAnsi="Times New Roman" w:cs="Times New Roman"/>
        </w:rPr>
        <w:t>1,360.30</w:t>
      </w:r>
      <w:r>
        <w:rPr>
          <w:rFonts w:ascii="Times New Roman" w:hAnsi="Times New Roman" w:cs="Times New Roman" w:hint="eastAsia"/>
        </w:rPr>
        <w:t>万元，已回款金额占应收账款账面余额的比例为</w:t>
      </w:r>
      <w:r>
        <w:rPr>
          <w:rFonts w:ascii="Times New Roman" w:hAnsi="Times New Roman" w:cs="Times New Roman"/>
        </w:rPr>
        <w:t>94.26%</w:t>
      </w:r>
      <w:r>
        <w:rPr>
          <w:rFonts w:ascii="Times New Roman" w:hAnsi="Times New Roman" w:cs="Times New Roman" w:hint="eastAsia"/>
        </w:rPr>
        <w:t>。北洋天青于</w:t>
      </w:r>
      <w:r>
        <w:rPr>
          <w:rFonts w:ascii="Times New Roman" w:hAnsi="Times New Roman" w:cs="Times New Roman"/>
        </w:rPr>
        <w:t>2019</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日的应收账款账面余额为</w:t>
      </w:r>
      <w:r>
        <w:rPr>
          <w:rFonts w:ascii="Times New Roman" w:hAnsi="Times New Roman" w:cs="Times New Roman"/>
        </w:rPr>
        <w:t>3,219.58</w:t>
      </w:r>
      <w:r>
        <w:rPr>
          <w:rFonts w:ascii="Times New Roman" w:hAnsi="Times New Roman" w:cs="Times New Roman" w:hint="eastAsia"/>
        </w:rPr>
        <w:t>万元，该应收账款于</w:t>
      </w: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日前已收回</w:t>
      </w:r>
      <w:r>
        <w:rPr>
          <w:rFonts w:ascii="Times New Roman" w:hAnsi="Times New Roman" w:cs="Times New Roman"/>
        </w:rPr>
        <w:t>1,954.13</w:t>
      </w:r>
      <w:r>
        <w:rPr>
          <w:rFonts w:ascii="Times New Roman" w:hAnsi="Times New Roman" w:cs="Times New Roman" w:hint="eastAsia"/>
        </w:rPr>
        <w:t>万元，已回款金额占应收账款账面余额的比例为</w:t>
      </w:r>
      <w:r>
        <w:rPr>
          <w:rFonts w:ascii="Times New Roman" w:hAnsi="Times New Roman" w:cs="Times New Roman"/>
        </w:rPr>
        <w:t>60.70%,</w:t>
      </w:r>
      <w:r>
        <w:rPr>
          <w:rFonts w:ascii="Times New Roman" w:hAnsi="Times New Roman" w:cs="Times New Roman" w:hint="eastAsia"/>
        </w:rPr>
        <w:t>主要未回款客户为青岛胶南海尔洗衣机有限公司，该客户于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w:t>
      </w:r>
      <w:r>
        <w:rPr>
          <w:rFonts w:ascii="Times New Roman" w:hAnsi="Times New Roman" w:cs="Times New Roman" w:hint="eastAsia"/>
        </w:rPr>
        <w:t>月回款</w:t>
      </w:r>
      <w:r>
        <w:rPr>
          <w:rFonts w:ascii="Times New Roman" w:hAnsi="Times New Roman" w:cs="Times New Roman"/>
        </w:rPr>
        <w:t>241.67</w:t>
      </w:r>
      <w:r>
        <w:rPr>
          <w:rFonts w:ascii="Times New Roman" w:hAnsi="Times New Roman" w:cs="Times New Roman" w:hint="eastAsia"/>
        </w:rPr>
        <w:t>万元，预计将于</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6</w:t>
      </w:r>
      <w:r>
        <w:rPr>
          <w:rFonts w:ascii="Times New Roman" w:hAnsi="Times New Roman" w:cs="Times New Roman" w:hint="eastAsia"/>
        </w:rPr>
        <w:t>月增加回款</w:t>
      </w:r>
      <w:r>
        <w:rPr>
          <w:rFonts w:ascii="Times New Roman" w:hAnsi="Times New Roman" w:cs="Times New Roman"/>
        </w:rPr>
        <w:t>87.6</w:t>
      </w:r>
      <w:r>
        <w:rPr>
          <w:rFonts w:ascii="Times New Roman" w:hAnsi="Times New Roman" w:cs="Times New Roman" w:hint="eastAsia"/>
        </w:rPr>
        <w:t>万元，其余款项将在</w:t>
      </w:r>
      <w:r>
        <w:rPr>
          <w:rFonts w:ascii="Times New Roman" w:hAnsi="Times New Roman" w:cs="Times New Roman"/>
        </w:rPr>
        <w:t>2021</w:t>
      </w:r>
      <w:r>
        <w:rPr>
          <w:rFonts w:ascii="Times New Roman" w:hAnsi="Times New Roman" w:cs="Times New Roman" w:hint="eastAsia"/>
        </w:rPr>
        <w:t>年</w:t>
      </w:r>
      <w:r>
        <w:rPr>
          <w:rFonts w:ascii="Times New Roman" w:hAnsi="Times New Roman" w:cs="Times New Roman"/>
        </w:rPr>
        <w:t>10</w:t>
      </w:r>
      <w:r>
        <w:rPr>
          <w:rFonts w:ascii="Times New Roman" w:hAnsi="Times New Roman" w:cs="Times New Roman" w:hint="eastAsia"/>
        </w:rPr>
        <w:t>月前回款完毕。北洋天青于</w:t>
      </w: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日的应收账款账面余额为</w:t>
      </w:r>
      <w:r>
        <w:rPr>
          <w:rFonts w:ascii="Times New Roman" w:hAnsi="Times New Roman" w:cs="Times New Roman"/>
        </w:rPr>
        <w:t>5,039.19</w:t>
      </w:r>
      <w:r>
        <w:rPr>
          <w:rFonts w:ascii="Times New Roman" w:hAnsi="Times New Roman" w:cs="Times New Roman" w:hint="eastAsia"/>
        </w:rPr>
        <w:t>万元，截至本核查意见出具日，该应收账款已收回</w:t>
      </w:r>
      <w:r>
        <w:rPr>
          <w:rFonts w:ascii="Times New Roman" w:hAnsi="Times New Roman" w:cs="Times New Roman"/>
        </w:rPr>
        <w:t>1,340.87</w:t>
      </w:r>
      <w:r>
        <w:rPr>
          <w:rFonts w:ascii="Times New Roman" w:hAnsi="Times New Roman" w:cs="Times New Roman" w:hint="eastAsia"/>
        </w:rPr>
        <w:t>万元，已回款金额占应收账款账面余额的比例为</w:t>
      </w:r>
      <w:r>
        <w:rPr>
          <w:rFonts w:ascii="Times New Roman" w:hAnsi="Times New Roman" w:cs="Times New Roman"/>
        </w:rPr>
        <w:t>26.61%</w:t>
      </w:r>
      <w:r>
        <w:rPr>
          <w:rFonts w:ascii="Times New Roman" w:hAnsi="Times New Roman" w:cs="Times New Roman" w:hint="eastAsia"/>
        </w:rPr>
        <w:t>。</w:t>
      </w:r>
    </w:p>
    <w:p w14:paraId="2C9C9F80" w14:textId="77777777" w:rsidR="00C02929" w:rsidRDefault="006116D1">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w:t>
      </w:r>
      <w:r>
        <w:rPr>
          <w:rFonts w:ascii="Times New Roman" w:hAnsi="Times New Roman" w:cs="Times New Roman"/>
        </w:rPr>
        <w:t>2018</w:t>
      </w:r>
      <w:r>
        <w:rPr>
          <w:rFonts w:ascii="Times New Roman" w:hAnsi="Times New Roman" w:cs="Times New Roman" w:hint="eastAsia"/>
        </w:rPr>
        <w:t>年、</w:t>
      </w:r>
      <w:r>
        <w:rPr>
          <w:rFonts w:ascii="Times New Roman" w:hAnsi="Times New Roman" w:cs="Times New Roman"/>
        </w:rPr>
        <w:t>2019</w:t>
      </w:r>
      <w:r>
        <w:rPr>
          <w:rFonts w:ascii="Times New Roman" w:hAnsi="Times New Roman" w:cs="Times New Roman" w:hint="eastAsia"/>
        </w:rPr>
        <w:t>年、</w:t>
      </w:r>
      <w:r>
        <w:rPr>
          <w:rFonts w:ascii="Times New Roman" w:hAnsi="Times New Roman" w:cs="Times New Roman"/>
        </w:rPr>
        <w:t>2020</w:t>
      </w:r>
      <w:r>
        <w:rPr>
          <w:rFonts w:ascii="Times New Roman" w:hAnsi="Times New Roman" w:cs="Times New Roman" w:hint="eastAsia"/>
        </w:rPr>
        <w:t>年</w:t>
      </w:r>
      <w:bookmarkStart w:id="88" w:name="_Hlk69763181"/>
      <w:r>
        <w:rPr>
          <w:rFonts w:ascii="Times New Roman" w:hAnsi="Times New Roman" w:cs="Times New Roman" w:hint="eastAsia"/>
        </w:rPr>
        <w:t>经营活动产生的现金流量净额</w:t>
      </w:r>
      <w:bookmarkEnd w:id="88"/>
      <w:r>
        <w:rPr>
          <w:rFonts w:ascii="Times New Roman" w:hAnsi="Times New Roman" w:cs="Times New Roman" w:hint="eastAsia"/>
        </w:rPr>
        <w:t>分别为</w:t>
      </w:r>
      <w:r>
        <w:rPr>
          <w:rFonts w:ascii="Times New Roman" w:hAnsi="Times New Roman" w:cs="Times New Roman"/>
        </w:rPr>
        <w:t>1,595.26</w:t>
      </w:r>
      <w:r>
        <w:rPr>
          <w:rFonts w:ascii="Times New Roman" w:hAnsi="Times New Roman" w:cs="Times New Roman" w:hint="eastAsia"/>
        </w:rPr>
        <w:t>万元、</w:t>
      </w:r>
      <w:r>
        <w:rPr>
          <w:rFonts w:ascii="Times New Roman" w:hAnsi="Times New Roman" w:cs="Times New Roman"/>
        </w:rPr>
        <w:t>-702.30</w:t>
      </w:r>
      <w:r>
        <w:rPr>
          <w:rFonts w:ascii="Times New Roman" w:hAnsi="Times New Roman" w:cs="Times New Roman" w:hint="eastAsia"/>
        </w:rPr>
        <w:t>万元、</w:t>
      </w:r>
      <w:r>
        <w:rPr>
          <w:rFonts w:ascii="Times New Roman" w:hAnsi="Times New Roman" w:cs="Times New Roman"/>
        </w:rPr>
        <w:t>4,059.30</w:t>
      </w:r>
      <w:r>
        <w:rPr>
          <w:rFonts w:ascii="Times New Roman" w:hAnsi="Times New Roman" w:cs="Times New Roman" w:hint="eastAsia"/>
        </w:rPr>
        <w:t>万元，现金及现金等价物净增加额</w:t>
      </w:r>
      <w:r>
        <w:rPr>
          <w:rFonts w:ascii="Times New Roman" w:hAnsi="Times New Roman" w:cs="Times New Roman"/>
        </w:rPr>
        <w:t>736.42</w:t>
      </w:r>
      <w:r>
        <w:rPr>
          <w:rFonts w:ascii="Times New Roman" w:hAnsi="Times New Roman" w:cs="Times New Roman" w:hint="eastAsia"/>
        </w:rPr>
        <w:t>万元、</w:t>
      </w:r>
      <w:r>
        <w:rPr>
          <w:rFonts w:ascii="Times New Roman" w:hAnsi="Times New Roman" w:cs="Times New Roman"/>
        </w:rPr>
        <w:t>473.45</w:t>
      </w:r>
      <w:r>
        <w:rPr>
          <w:rFonts w:ascii="Times New Roman" w:hAnsi="Times New Roman" w:cs="Times New Roman" w:hint="eastAsia"/>
        </w:rPr>
        <w:t>万元、</w:t>
      </w:r>
      <w:r>
        <w:rPr>
          <w:rFonts w:ascii="Times New Roman" w:hAnsi="Times New Roman" w:cs="Times New Roman"/>
        </w:rPr>
        <w:t>4,766.36</w:t>
      </w:r>
      <w:r>
        <w:rPr>
          <w:rFonts w:ascii="Times New Roman" w:hAnsi="Times New Roman" w:cs="Times New Roman" w:hint="eastAsia"/>
        </w:rPr>
        <w:t>万元，报告期内除</w:t>
      </w:r>
      <w:r>
        <w:rPr>
          <w:rFonts w:ascii="Times New Roman" w:hAnsi="Times New Roman" w:cs="Times New Roman"/>
        </w:rPr>
        <w:t>2019</w:t>
      </w:r>
      <w:r>
        <w:rPr>
          <w:rFonts w:ascii="Times New Roman" w:hAnsi="Times New Roman" w:cs="Times New Roman" w:hint="eastAsia"/>
        </w:rPr>
        <w:t>年经营活动产生的现金流量净额为负以外，其余年度经营活动产生的现金流量净额均为正，且各年度现金及现金等价物净增加额均为正值。此外，截至</w:t>
      </w:r>
      <w:r>
        <w:rPr>
          <w:rFonts w:ascii="Times New Roman" w:hAnsi="Times New Roman" w:cs="Times New Roman"/>
        </w:rPr>
        <w:t>2020</w:t>
      </w:r>
      <w:r>
        <w:rPr>
          <w:rFonts w:ascii="Times New Roman" w:hAnsi="Times New Roman" w:cs="Times New Roman" w:hint="eastAsia"/>
        </w:rPr>
        <w:t>年</w:t>
      </w:r>
      <w:r>
        <w:rPr>
          <w:rFonts w:ascii="Times New Roman" w:hAnsi="Times New Roman" w:cs="Times New Roman"/>
        </w:rPr>
        <w:t>12</w:t>
      </w:r>
      <w:r>
        <w:rPr>
          <w:rFonts w:ascii="Times New Roman" w:hAnsi="Times New Roman" w:cs="Times New Roman" w:hint="eastAsia"/>
        </w:rPr>
        <w:t>月</w:t>
      </w:r>
      <w:r>
        <w:rPr>
          <w:rFonts w:ascii="Times New Roman" w:hAnsi="Times New Roman" w:cs="Times New Roman"/>
        </w:rPr>
        <w:t>31</w:t>
      </w:r>
      <w:r>
        <w:rPr>
          <w:rFonts w:ascii="Times New Roman" w:hAnsi="Times New Roman" w:cs="Times New Roman" w:hint="eastAsia"/>
        </w:rPr>
        <w:t>日北洋天青账面有</w:t>
      </w:r>
      <w:r>
        <w:rPr>
          <w:rFonts w:ascii="Times New Roman" w:hAnsi="Times New Roman" w:cs="Times New Roman"/>
        </w:rPr>
        <w:t>9,055.21</w:t>
      </w:r>
      <w:r>
        <w:rPr>
          <w:rFonts w:ascii="Times New Roman" w:hAnsi="Times New Roman" w:cs="Times New Roman" w:hint="eastAsia"/>
        </w:rPr>
        <w:t>万元货币资金作为保障。</w:t>
      </w:r>
    </w:p>
    <w:p w14:paraId="0F9FC220" w14:textId="77777777" w:rsidR="00C02929" w:rsidRDefault="006116D1">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根据北洋天青一般销售合同规定，在设备安装前北洋天青应收到客户</w:t>
      </w:r>
      <w:r>
        <w:rPr>
          <w:rFonts w:ascii="Times New Roman" w:hAnsi="Times New Roman" w:cs="Times New Roman"/>
        </w:rPr>
        <w:t>60%</w:t>
      </w:r>
      <w:r>
        <w:rPr>
          <w:rFonts w:ascii="Times New Roman" w:hAnsi="Times New Roman" w:cs="Times New Roman" w:hint="eastAsia"/>
        </w:rPr>
        <w:t>左右的款项，在验收后应当收到客户</w:t>
      </w:r>
      <w:r>
        <w:rPr>
          <w:rFonts w:ascii="Times New Roman" w:hAnsi="Times New Roman" w:cs="Times New Roman"/>
        </w:rPr>
        <w:t>90%</w:t>
      </w:r>
      <w:r>
        <w:rPr>
          <w:rFonts w:ascii="Times New Roman" w:hAnsi="Times New Roman" w:cs="Times New Roman" w:hint="eastAsia"/>
        </w:rPr>
        <w:t>的款项。截至本核查意见出具日，标的公司应收账款大部分账龄小于一年，客户回款较为及时，未对北洋天青的现金流造成较大影响。</w:t>
      </w:r>
    </w:p>
    <w:p w14:paraId="7EE70A2E"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二、补充披露情况</w:t>
      </w:r>
    </w:p>
    <w:p w14:paraId="007E8EA3"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上市公司已在《重组报告书》“第九节</w:t>
      </w:r>
      <w:r>
        <w:rPr>
          <w:rFonts w:ascii="Times New Roman" w:hAnsi="Times New Roman" w:cs="Times New Roman"/>
        </w:rPr>
        <w:t xml:space="preserve"> </w:t>
      </w:r>
      <w:r>
        <w:rPr>
          <w:rFonts w:ascii="Times New Roman" w:hAnsi="Times New Roman" w:cs="Times New Roman" w:hint="eastAsia"/>
        </w:rPr>
        <w:t>管理层讨论与分析”之“三、标的公司报告期财务状况和经营成果的讨论分析”之“（一）财务情况分析”进行了补充披露。</w:t>
      </w:r>
    </w:p>
    <w:p w14:paraId="1232A383" w14:textId="59DF40C2" w:rsidR="00C02929" w:rsidRDefault="006116D1">
      <w:pPr>
        <w:suppressAutoHyphens/>
        <w:spacing w:beforeLines="50" w:before="156" w:line="360" w:lineRule="auto"/>
        <w:ind w:firstLineChars="200" w:firstLine="482"/>
        <w:jc w:val="both"/>
        <w:outlineLvl w:val="2"/>
        <w:rPr>
          <w:rFonts w:ascii="Times New Roman" w:hAnsi="Times New Roman" w:cs="Times New Roman"/>
          <w:b/>
          <w:color w:val="000000"/>
          <w:szCs w:val="21"/>
        </w:rPr>
      </w:pPr>
      <w:r>
        <w:rPr>
          <w:rFonts w:ascii="Times New Roman" w:hAnsi="Times New Roman" w:cs="Times New Roman" w:hint="eastAsia"/>
          <w:b/>
          <w:color w:val="000000"/>
          <w:szCs w:val="21"/>
        </w:rPr>
        <w:t>三、</w:t>
      </w:r>
      <w:r w:rsidR="00AA3DAA" w:rsidRPr="00AA3DAA">
        <w:rPr>
          <w:rFonts w:ascii="Times New Roman" w:hAnsi="Times New Roman" w:cs="Times New Roman" w:hint="eastAsia"/>
          <w:b/>
          <w:color w:val="000000"/>
          <w:szCs w:val="21"/>
        </w:rPr>
        <w:t>独立财务顾问</w:t>
      </w:r>
      <w:r>
        <w:rPr>
          <w:rFonts w:ascii="Times New Roman" w:hAnsi="Times New Roman" w:cs="Times New Roman" w:hint="eastAsia"/>
          <w:b/>
          <w:color w:val="000000"/>
          <w:szCs w:val="21"/>
        </w:rPr>
        <w:t>核查意见</w:t>
      </w:r>
    </w:p>
    <w:p w14:paraId="5AB8520A" w14:textId="7013C611" w:rsidR="006D3F66" w:rsidRDefault="006116D1" w:rsidP="006D3F66">
      <w:pPr>
        <w:suppressAutoHyphen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经核查，独立财务顾问认为：</w:t>
      </w:r>
      <w:bookmarkStart w:id="89" w:name="_Hlk69763199"/>
      <w:r w:rsidR="006D3F66">
        <w:rPr>
          <w:rFonts w:ascii="Times New Roman" w:hAnsi="Times New Roman" w:cs="Times New Roman" w:hint="eastAsia"/>
        </w:rPr>
        <w:t>标的公司</w:t>
      </w:r>
      <w:r w:rsidR="006D3F66">
        <w:rPr>
          <w:rFonts w:ascii="Times New Roman" w:hAnsi="Times New Roman" w:cs="Times New Roman" w:hint="eastAsia"/>
        </w:rPr>
        <w:t>2</w:t>
      </w:r>
      <w:r w:rsidR="006D3F66">
        <w:rPr>
          <w:rFonts w:ascii="Times New Roman" w:hAnsi="Times New Roman" w:cs="Times New Roman"/>
        </w:rPr>
        <w:t>020</w:t>
      </w:r>
      <w:r w:rsidR="006D3F66">
        <w:rPr>
          <w:rFonts w:ascii="Times New Roman" w:hAnsi="Times New Roman" w:cs="Times New Roman" w:hint="eastAsia"/>
        </w:rPr>
        <w:t>年经营活动产生的现金流量净额为正且账面有充足的货币资金，应收账款大部分账龄小于一年，客户回款较为及时，未对北洋天青的现金流造成较大影响。</w:t>
      </w:r>
      <w:bookmarkEnd w:id="89"/>
    </w:p>
    <w:p w14:paraId="3BB79715" w14:textId="6C3039F3" w:rsidR="00C02929" w:rsidRPr="006D3F66" w:rsidRDefault="00C02929">
      <w:pPr>
        <w:spacing w:beforeLines="50" w:before="156" w:line="360" w:lineRule="auto"/>
        <w:ind w:firstLineChars="200" w:firstLine="480"/>
        <w:jc w:val="both"/>
        <w:rPr>
          <w:rFonts w:ascii="Times New Roman" w:hAnsi="Times New Roman" w:cs="Times New Roman"/>
        </w:rPr>
      </w:pPr>
    </w:p>
    <w:p w14:paraId="0D2BD257" w14:textId="77777777" w:rsidR="00C02929" w:rsidRDefault="00C02929">
      <w:pPr>
        <w:pStyle w:val="afffff"/>
        <w:sectPr w:rsidR="00C02929">
          <w:pgSz w:w="11906" w:h="16838"/>
          <w:pgMar w:top="1440" w:right="1800" w:bottom="1440" w:left="1800" w:header="851" w:footer="992" w:gutter="0"/>
          <w:cols w:space="720"/>
          <w:docGrid w:type="lines" w:linePitch="312"/>
        </w:sectPr>
      </w:pPr>
      <w:bookmarkStart w:id="90" w:name="_Toc69256878"/>
      <w:bookmarkStart w:id="91" w:name="_Toc69256860"/>
      <w:bookmarkEnd w:id="64"/>
      <w:bookmarkEnd w:id="65"/>
    </w:p>
    <w:p w14:paraId="65311D55" w14:textId="77777777" w:rsidR="00C02929" w:rsidRDefault="006116D1">
      <w:pPr>
        <w:pStyle w:val="afffff"/>
      </w:pPr>
      <w:r>
        <w:rPr>
          <w:rFonts w:hint="eastAsia"/>
        </w:rPr>
        <w:lastRenderedPageBreak/>
        <w:t>第十二题</w:t>
      </w:r>
    </w:p>
    <w:p w14:paraId="283F3BE5"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2018</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月，标的资产分别实现营业收入</w:t>
      </w:r>
      <w:r>
        <w:rPr>
          <w:rFonts w:ascii="Times New Roman" w:eastAsia="黑体" w:hAnsi="Times New Roman" w:cs="Times New Roman" w:hint="eastAsia"/>
          <w:b/>
          <w:color w:val="000000"/>
          <w:szCs w:val="21"/>
        </w:rPr>
        <w:t>6,106.09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10,326.14</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6,648.80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月标的资产营业收入较</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年减少</w:t>
      </w:r>
      <w:r>
        <w:rPr>
          <w:rFonts w:ascii="Times New Roman" w:eastAsia="黑体" w:hAnsi="Times New Roman" w:cs="Times New Roman" w:hint="eastAsia"/>
          <w:b/>
          <w:color w:val="000000"/>
          <w:szCs w:val="21"/>
        </w:rPr>
        <w:t>3,677.34</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）北洋天青</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年全年预测收入为</w:t>
      </w:r>
      <w:r>
        <w:rPr>
          <w:rFonts w:ascii="Times New Roman" w:eastAsia="黑体" w:hAnsi="Times New Roman" w:cs="Times New Roman" w:hint="eastAsia"/>
          <w:b/>
          <w:color w:val="000000"/>
          <w:szCs w:val="21"/>
        </w:rPr>
        <w:t>15,706.59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2021</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-2025</w:t>
      </w:r>
      <w:r>
        <w:rPr>
          <w:rFonts w:ascii="Times New Roman" w:eastAsia="黑体" w:hAnsi="Times New Roman" w:cs="Times New Roman" w:hint="eastAsia"/>
          <w:b/>
          <w:color w:val="000000"/>
          <w:szCs w:val="21"/>
        </w:rPr>
        <w:t>年预测收入分别为</w:t>
      </w:r>
      <w:r>
        <w:rPr>
          <w:rFonts w:ascii="Times New Roman" w:eastAsia="黑体" w:hAnsi="Times New Roman" w:cs="Times New Roman" w:hint="eastAsia"/>
          <w:b/>
          <w:color w:val="000000"/>
          <w:szCs w:val="21"/>
        </w:rPr>
        <w:t>29,249</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32,361</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34,790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36,700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37,800</w:t>
      </w:r>
      <w:r>
        <w:rPr>
          <w:rFonts w:ascii="Times New Roman" w:eastAsia="黑体" w:hAnsi="Times New Roman" w:cs="Times New Roman" w:hint="eastAsia"/>
          <w:b/>
          <w:color w:val="000000"/>
          <w:szCs w:val="21"/>
        </w:rPr>
        <w:t>万元，之后期间保持稳定。</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）北洋天青报告期净利润较低，</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1-9</w:t>
      </w:r>
      <w:r>
        <w:rPr>
          <w:rFonts w:ascii="Times New Roman" w:eastAsia="黑体" w:hAnsi="Times New Roman" w:cs="Times New Roman" w:hint="eastAsia"/>
          <w:b/>
          <w:color w:val="000000"/>
          <w:szCs w:val="21"/>
        </w:rPr>
        <w:t>月仅实现净利润</w:t>
      </w:r>
      <w:r>
        <w:rPr>
          <w:rFonts w:ascii="Times New Roman" w:eastAsia="黑体" w:hAnsi="Times New Roman" w:cs="Times New Roman" w:hint="eastAsia"/>
          <w:b/>
          <w:color w:val="000000"/>
          <w:szCs w:val="21"/>
        </w:rPr>
        <w:t>121.76</w:t>
      </w:r>
      <w:r>
        <w:rPr>
          <w:rFonts w:ascii="Times New Roman" w:eastAsia="黑体" w:hAnsi="Times New Roman" w:cs="Times New Roman" w:hint="eastAsia"/>
          <w:b/>
          <w:color w:val="000000"/>
          <w:szCs w:val="21"/>
        </w:rPr>
        <w:t>万元，均远低于预测期各期净利润。</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-2023</w:t>
      </w:r>
      <w:r>
        <w:rPr>
          <w:rFonts w:ascii="Times New Roman" w:eastAsia="黑体" w:hAnsi="Times New Roman" w:cs="Times New Roman" w:hint="eastAsia"/>
          <w:b/>
          <w:color w:val="000000"/>
          <w:szCs w:val="21"/>
        </w:rPr>
        <w:t>年各年承诺净利润依次为</w:t>
      </w:r>
      <w:r>
        <w:rPr>
          <w:rFonts w:ascii="Times New Roman" w:eastAsia="黑体" w:hAnsi="Times New Roman" w:cs="Times New Roman" w:hint="eastAsia"/>
          <w:b/>
          <w:color w:val="000000"/>
          <w:szCs w:val="21"/>
        </w:rPr>
        <w:t>2.750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3,800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4,100</w:t>
      </w:r>
      <w:r>
        <w:rPr>
          <w:rFonts w:ascii="Times New Roman" w:eastAsia="黑体" w:hAnsi="Times New Roman" w:cs="Times New Roman" w:hint="eastAsia"/>
          <w:b/>
          <w:color w:val="000000"/>
          <w:szCs w:val="21"/>
        </w:rPr>
        <w:t>万元和</w:t>
      </w:r>
      <w:r>
        <w:rPr>
          <w:rFonts w:ascii="Times New Roman" w:eastAsia="黑体" w:hAnsi="Times New Roman" w:cs="Times New Roman" w:hint="eastAsia"/>
          <w:b/>
          <w:color w:val="000000"/>
          <w:szCs w:val="21"/>
        </w:rPr>
        <w:t>4,300</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）本次交易选用收益法评估值作为评估结论，评估价值为</w:t>
      </w:r>
      <w:r>
        <w:rPr>
          <w:rFonts w:ascii="Times New Roman" w:eastAsia="黑体" w:hAnsi="Times New Roman" w:cs="Times New Roman" w:hint="eastAsia"/>
          <w:b/>
          <w:color w:val="000000"/>
          <w:szCs w:val="21"/>
        </w:rPr>
        <w:t>30,800.00</w:t>
      </w:r>
      <w:r>
        <w:rPr>
          <w:rFonts w:ascii="Times New Roman" w:eastAsia="黑体" w:hAnsi="Times New Roman" w:cs="Times New Roman" w:hint="eastAsia"/>
          <w:b/>
          <w:color w:val="000000"/>
          <w:szCs w:val="21"/>
        </w:rPr>
        <w:t>万元，评估增值</w:t>
      </w:r>
      <w:r>
        <w:rPr>
          <w:rFonts w:ascii="Times New Roman" w:eastAsia="黑体" w:hAnsi="Times New Roman" w:cs="Times New Roman" w:hint="eastAsia"/>
          <w:b/>
          <w:color w:val="000000"/>
          <w:szCs w:val="21"/>
        </w:rPr>
        <w:t>24,444.20</w:t>
      </w:r>
      <w:r>
        <w:rPr>
          <w:rFonts w:ascii="Times New Roman" w:eastAsia="黑体" w:hAnsi="Times New Roman" w:cs="Times New Roman" w:hint="eastAsia"/>
          <w:b/>
          <w:color w:val="000000"/>
          <w:szCs w:val="21"/>
        </w:rPr>
        <w:t>万元、增值率为</w:t>
      </w:r>
      <w:r>
        <w:rPr>
          <w:rFonts w:ascii="Times New Roman" w:eastAsia="黑体" w:hAnsi="Times New Roman" w:cs="Times New Roman" w:hint="eastAsia"/>
          <w:b/>
          <w:color w:val="000000"/>
          <w:szCs w:val="21"/>
        </w:rPr>
        <w:t>384.60%</w:t>
      </w:r>
      <w:r>
        <w:rPr>
          <w:rFonts w:ascii="Times New Roman" w:eastAsia="黑体" w:hAnsi="Times New Roman" w:cs="Times New Roman" w:hint="eastAsia"/>
          <w:b/>
          <w:color w:val="000000"/>
          <w:szCs w:val="21"/>
        </w:rPr>
        <w:t>。请你公司：</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w:t>
      </w:r>
      <w:r>
        <w:rPr>
          <w:rFonts w:ascii="Times New Roman" w:eastAsia="黑体" w:hAnsi="Times New Roman" w:cs="Times New Roman" w:hint="eastAsia"/>
          <w:b/>
          <w:szCs w:val="21"/>
        </w:rPr>
        <w:t>报告期财务数据、在手订单情况、未来市场容量、行业竞争情况以及新客户开拓和原有大客户维护情况，</w:t>
      </w:r>
      <w:r>
        <w:rPr>
          <w:rFonts w:ascii="Times New Roman" w:eastAsia="黑体" w:hAnsi="Times New Roman" w:cs="Times New Roman" w:hint="eastAsia"/>
          <w:b/>
          <w:color w:val="000000"/>
          <w:szCs w:val="21"/>
        </w:rPr>
        <w:t>补充披露标的资产预测期营业收入大幅增长的原因及合理性，并披露预测收益、预测净利润及业绩承诺的可实现性。</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）结合前述情况，补充披露标的资产评估增值率较高的原因及合理性。请独立财务顾问和评估师核查并发表明确意见。</w:t>
      </w:r>
    </w:p>
    <w:p w14:paraId="1CE976E4" w14:textId="77777777" w:rsidR="00C02929" w:rsidRDefault="006116D1">
      <w:pPr>
        <w:pStyle w:val="affffd"/>
        <w:spacing w:before="156"/>
        <w:ind w:firstLine="482"/>
        <w:rPr>
          <w:b/>
        </w:rPr>
      </w:pPr>
      <w:r>
        <w:rPr>
          <w:rFonts w:hint="eastAsia"/>
          <w:b/>
        </w:rPr>
        <w:t>【回复说明】</w:t>
      </w:r>
    </w:p>
    <w:p w14:paraId="4382D33B" w14:textId="77777777" w:rsidR="00C02929" w:rsidRDefault="006116D1">
      <w:pPr>
        <w:spacing w:beforeLines="50" w:before="156" w:line="360" w:lineRule="auto"/>
        <w:ind w:firstLineChars="200" w:firstLine="482"/>
        <w:jc w:val="both"/>
        <w:outlineLvl w:val="1"/>
        <w:rPr>
          <w:rFonts w:eastAsia="黑体"/>
          <w:b/>
        </w:rPr>
      </w:pP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结合报告期财务数据、在手订单情况、未来市场容量、行业竞争情况以及新客户开拓和原有大客户维护情况，补充披露标的资产预测期营业收入大幅增长的原因及合理性，并披露预测收益、预测净利润及业绩承诺的可实现性。</w:t>
      </w:r>
    </w:p>
    <w:p w14:paraId="0CEE6670" w14:textId="77777777" w:rsidR="00C02929" w:rsidRDefault="006116D1">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一、报告期财务数据</w:t>
      </w:r>
    </w:p>
    <w:p w14:paraId="30DC8EA9"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北洋天青报告期财务数据及</w:t>
      </w:r>
      <w:r>
        <w:rPr>
          <w:rFonts w:ascii="Times New Roman" w:hAnsi="Times New Roman" w:cs="Times New Roman"/>
          <w:color w:val="000000"/>
        </w:rPr>
        <w:t>2020</w:t>
      </w:r>
      <w:r>
        <w:rPr>
          <w:rFonts w:ascii="Times New Roman" w:hAnsi="Times New Roman" w:cs="Times New Roman" w:hint="eastAsia"/>
          <w:color w:val="000000"/>
        </w:rPr>
        <w:t>年经审计后财务数据如下：</w:t>
      </w:r>
    </w:p>
    <w:p w14:paraId="1859B72C"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89"/>
        <w:gridCol w:w="2311"/>
        <w:gridCol w:w="2311"/>
        <w:gridCol w:w="2311"/>
      </w:tblGrid>
      <w:tr w:rsidR="00C02929" w14:paraId="3A4DAF9D" w14:textId="77777777">
        <w:trPr>
          <w:trHeight w:val="397"/>
        </w:trPr>
        <w:tc>
          <w:tcPr>
            <w:tcW w:w="932" w:type="pct"/>
            <w:shd w:val="clear" w:color="auto" w:fill="auto"/>
            <w:vAlign w:val="center"/>
          </w:tcPr>
          <w:p w14:paraId="44D4DB4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356" w:type="pct"/>
            <w:shd w:val="clear" w:color="auto" w:fill="auto"/>
            <w:vAlign w:val="center"/>
          </w:tcPr>
          <w:p w14:paraId="34ED8A9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c>
          <w:tcPr>
            <w:tcW w:w="1356" w:type="pct"/>
            <w:shd w:val="clear" w:color="auto" w:fill="auto"/>
            <w:vAlign w:val="center"/>
          </w:tcPr>
          <w:p w14:paraId="17EA7B2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c>
          <w:tcPr>
            <w:tcW w:w="1356" w:type="pct"/>
            <w:shd w:val="clear" w:color="auto" w:fill="auto"/>
            <w:vAlign w:val="center"/>
          </w:tcPr>
          <w:p w14:paraId="19826447"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w:t>
            </w:r>
            <w:r>
              <w:rPr>
                <w:rFonts w:ascii="Times New Roman" w:hAnsi="Times New Roman" w:cs="Times New Roman" w:hint="eastAsia"/>
                <w:b/>
                <w:bCs/>
                <w:color w:val="000000"/>
                <w:sz w:val="21"/>
                <w:szCs w:val="21"/>
              </w:rPr>
              <w:t>12</w:t>
            </w:r>
            <w:r>
              <w:rPr>
                <w:rFonts w:ascii="Times New Roman" w:hAnsi="Times New Roman" w:cs="Times New Roman" w:hint="eastAsia"/>
                <w:b/>
                <w:bCs/>
                <w:color w:val="000000"/>
                <w:sz w:val="21"/>
                <w:szCs w:val="21"/>
              </w:rPr>
              <w:t>月</w:t>
            </w:r>
            <w:r>
              <w:rPr>
                <w:rFonts w:ascii="Times New Roman" w:hAnsi="Times New Roman" w:cs="Times New Roman" w:hint="eastAsia"/>
                <w:b/>
                <w:bCs/>
                <w:color w:val="000000"/>
                <w:sz w:val="21"/>
                <w:szCs w:val="21"/>
              </w:rPr>
              <w:t>31</w:t>
            </w:r>
            <w:r>
              <w:rPr>
                <w:rFonts w:ascii="Times New Roman" w:hAnsi="Times New Roman" w:cs="Times New Roman" w:hint="eastAsia"/>
                <w:b/>
                <w:bCs/>
                <w:color w:val="000000"/>
                <w:sz w:val="21"/>
                <w:szCs w:val="21"/>
              </w:rPr>
              <w:t>日</w:t>
            </w:r>
          </w:p>
        </w:tc>
      </w:tr>
      <w:tr w:rsidR="00C02929" w14:paraId="361B5875" w14:textId="77777777">
        <w:trPr>
          <w:trHeight w:val="397"/>
        </w:trPr>
        <w:tc>
          <w:tcPr>
            <w:tcW w:w="932" w:type="pct"/>
            <w:shd w:val="clear" w:color="auto" w:fill="auto"/>
            <w:vAlign w:val="center"/>
          </w:tcPr>
          <w:p w14:paraId="5157003D"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资产总额</w:t>
            </w:r>
          </w:p>
        </w:tc>
        <w:tc>
          <w:tcPr>
            <w:tcW w:w="1356" w:type="pct"/>
            <w:shd w:val="clear" w:color="auto" w:fill="auto"/>
            <w:vAlign w:val="center"/>
          </w:tcPr>
          <w:p w14:paraId="11B0F4B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27,139.29</w:t>
            </w:r>
          </w:p>
        </w:tc>
        <w:tc>
          <w:tcPr>
            <w:tcW w:w="1356" w:type="pct"/>
            <w:shd w:val="clear" w:color="auto" w:fill="auto"/>
            <w:vAlign w:val="center"/>
          </w:tcPr>
          <w:p w14:paraId="4CA8A7B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9,533.85</w:t>
            </w:r>
          </w:p>
        </w:tc>
        <w:tc>
          <w:tcPr>
            <w:tcW w:w="1356" w:type="pct"/>
            <w:shd w:val="clear" w:color="auto" w:fill="auto"/>
            <w:vAlign w:val="center"/>
          </w:tcPr>
          <w:p w14:paraId="7D36B06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7,843.54</w:t>
            </w:r>
          </w:p>
        </w:tc>
      </w:tr>
      <w:tr w:rsidR="00C02929" w14:paraId="65AB337E" w14:textId="77777777">
        <w:trPr>
          <w:trHeight w:val="397"/>
        </w:trPr>
        <w:tc>
          <w:tcPr>
            <w:tcW w:w="932" w:type="pct"/>
            <w:shd w:val="clear" w:color="auto" w:fill="auto"/>
            <w:vAlign w:val="center"/>
          </w:tcPr>
          <w:p w14:paraId="521D5AF1"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负债总额</w:t>
            </w:r>
          </w:p>
        </w:tc>
        <w:tc>
          <w:tcPr>
            <w:tcW w:w="1356" w:type="pct"/>
            <w:shd w:val="clear" w:color="auto" w:fill="auto"/>
            <w:vAlign w:val="center"/>
          </w:tcPr>
          <w:p w14:paraId="4B36B29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18,394.89</w:t>
            </w:r>
          </w:p>
        </w:tc>
        <w:tc>
          <w:tcPr>
            <w:tcW w:w="1356" w:type="pct"/>
            <w:shd w:val="clear" w:color="auto" w:fill="auto"/>
            <w:vAlign w:val="center"/>
          </w:tcPr>
          <w:p w14:paraId="0C6EC31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3,747.76</w:t>
            </w:r>
          </w:p>
        </w:tc>
        <w:tc>
          <w:tcPr>
            <w:tcW w:w="1356" w:type="pct"/>
            <w:shd w:val="clear" w:color="auto" w:fill="auto"/>
            <w:vAlign w:val="center"/>
          </w:tcPr>
          <w:p w14:paraId="103F40F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3,405.11</w:t>
            </w:r>
          </w:p>
        </w:tc>
      </w:tr>
      <w:tr w:rsidR="00C02929" w14:paraId="7D075F35" w14:textId="77777777">
        <w:trPr>
          <w:trHeight w:val="397"/>
        </w:trPr>
        <w:tc>
          <w:tcPr>
            <w:tcW w:w="932" w:type="pct"/>
            <w:shd w:val="clear" w:color="auto" w:fill="auto"/>
            <w:vAlign w:val="center"/>
          </w:tcPr>
          <w:p w14:paraId="73E34FB9"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净资产</w:t>
            </w:r>
          </w:p>
        </w:tc>
        <w:tc>
          <w:tcPr>
            <w:tcW w:w="1356" w:type="pct"/>
            <w:shd w:val="clear" w:color="auto" w:fill="auto"/>
            <w:vAlign w:val="center"/>
          </w:tcPr>
          <w:p w14:paraId="72765C1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8,744.40</w:t>
            </w:r>
          </w:p>
        </w:tc>
        <w:tc>
          <w:tcPr>
            <w:tcW w:w="1356" w:type="pct"/>
            <w:shd w:val="clear" w:color="auto" w:fill="auto"/>
            <w:vAlign w:val="center"/>
          </w:tcPr>
          <w:p w14:paraId="41B7261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5,786.09</w:t>
            </w:r>
          </w:p>
        </w:tc>
        <w:tc>
          <w:tcPr>
            <w:tcW w:w="1356" w:type="pct"/>
            <w:shd w:val="clear" w:color="auto" w:fill="auto"/>
            <w:vAlign w:val="center"/>
          </w:tcPr>
          <w:p w14:paraId="2A3CE41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4,438.42</w:t>
            </w:r>
          </w:p>
        </w:tc>
      </w:tr>
      <w:tr w:rsidR="00C02929" w14:paraId="47D397D0" w14:textId="77777777">
        <w:trPr>
          <w:trHeight w:val="397"/>
        </w:trPr>
        <w:tc>
          <w:tcPr>
            <w:tcW w:w="932" w:type="pct"/>
            <w:shd w:val="clear" w:color="auto" w:fill="auto"/>
            <w:vAlign w:val="center"/>
          </w:tcPr>
          <w:p w14:paraId="1EDC631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项目</w:t>
            </w:r>
          </w:p>
        </w:tc>
        <w:tc>
          <w:tcPr>
            <w:tcW w:w="1356" w:type="pct"/>
            <w:shd w:val="clear" w:color="auto" w:fill="auto"/>
            <w:vAlign w:val="center"/>
          </w:tcPr>
          <w:p w14:paraId="07D19C42"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2020</w:t>
            </w:r>
            <w:r>
              <w:rPr>
                <w:rFonts w:ascii="Times New Roman" w:hAnsi="Times New Roman" w:cs="Times New Roman" w:hint="eastAsia"/>
                <w:b/>
                <w:bCs/>
                <w:color w:val="000000"/>
                <w:sz w:val="21"/>
                <w:szCs w:val="21"/>
              </w:rPr>
              <w:t>年</w:t>
            </w:r>
          </w:p>
        </w:tc>
        <w:tc>
          <w:tcPr>
            <w:tcW w:w="1356" w:type="pct"/>
            <w:shd w:val="clear" w:color="auto" w:fill="auto"/>
            <w:vAlign w:val="center"/>
          </w:tcPr>
          <w:p w14:paraId="0F6446F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2019</w:t>
            </w:r>
            <w:r>
              <w:rPr>
                <w:rFonts w:ascii="Times New Roman" w:hAnsi="Times New Roman" w:cs="Times New Roman" w:hint="eastAsia"/>
                <w:b/>
                <w:bCs/>
                <w:color w:val="000000"/>
                <w:sz w:val="21"/>
                <w:szCs w:val="21"/>
              </w:rPr>
              <w:t>年</w:t>
            </w:r>
          </w:p>
        </w:tc>
        <w:tc>
          <w:tcPr>
            <w:tcW w:w="1356" w:type="pct"/>
            <w:shd w:val="clear" w:color="auto" w:fill="auto"/>
            <w:vAlign w:val="center"/>
          </w:tcPr>
          <w:p w14:paraId="1503A4B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2018</w:t>
            </w:r>
            <w:r>
              <w:rPr>
                <w:rFonts w:ascii="Times New Roman" w:hAnsi="Times New Roman" w:cs="Times New Roman" w:hint="eastAsia"/>
                <w:b/>
                <w:bCs/>
                <w:color w:val="000000"/>
                <w:sz w:val="21"/>
                <w:szCs w:val="21"/>
              </w:rPr>
              <w:t>年</w:t>
            </w:r>
          </w:p>
        </w:tc>
      </w:tr>
      <w:tr w:rsidR="00C02929" w14:paraId="23DB414F" w14:textId="77777777">
        <w:trPr>
          <w:trHeight w:val="397"/>
        </w:trPr>
        <w:tc>
          <w:tcPr>
            <w:tcW w:w="932" w:type="pct"/>
            <w:shd w:val="clear" w:color="auto" w:fill="auto"/>
            <w:vAlign w:val="center"/>
          </w:tcPr>
          <w:p w14:paraId="1B73E666"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营业收入</w:t>
            </w:r>
          </w:p>
        </w:tc>
        <w:tc>
          <w:tcPr>
            <w:tcW w:w="1356" w:type="pct"/>
            <w:shd w:val="clear" w:color="auto" w:fill="auto"/>
            <w:vAlign w:val="center"/>
          </w:tcPr>
          <w:p w14:paraId="485A96B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15,056.17</w:t>
            </w:r>
          </w:p>
        </w:tc>
        <w:tc>
          <w:tcPr>
            <w:tcW w:w="1356" w:type="pct"/>
            <w:shd w:val="clear" w:color="auto" w:fill="auto"/>
            <w:vAlign w:val="center"/>
          </w:tcPr>
          <w:p w14:paraId="5655DFF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10,326.14</w:t>
            </w:r>
          </w:p>
        </w:tc>
        <w:tc>
          <w:tcPr>
            <w:tcW w:w="1356" w:type="pct"/>
            <w:shd w:val="clear" w:color="auto" w:fill="auto"/>
            <w:vAlign w:val="center"/>
          </w:tcPr>
          <w:p w14:paraId="377F25D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6,106.09</w:t>
            </w:r>
          </w:p>
        </w:tc>
      </w:tr>
      <w:tr w:rsidR="00C02929" w14:paraId="784CF500" w14:textId="77777777">
        <w:trPr>
          <w:trHeight w:val="397"/>
        </w:trPr>
        <w:tc>
          <w:tcPr>
            <w:tcW w:w="932" w:type="pct"/>
            <w:shd w:val="clear" w:color="auto" w:fill="auto"/>
            <w:vAlign w:val="center"/>
          </w:tcPr>
          <w:p w14:paraId="2D6540E0"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lastRenderedPageBreak/>
              <w:t>利润总额</w:t>
            </w:r>
          </w:p>
        </w:tc>
        <w:tc>
          <w:tcPr>
            <w:tcW w:w="1356" w:type="pct"/>
            <w:shd w:val="clear" w:color="auto" w:fill="auto"/>
            <w:vAlign w:val="center"/>
          </w:tcPr>
          <w:p w14:paraId="2076AEA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3,451.48</w:t>
            </w:r>
          </w:p>
        </w:tc>
        <w:tc>
          <w:tcPr>
            <w:tcW w:w="1356" w:type="pct"/>
            <w:shd w:val="clear" w:color="auto" w:fill="auto"/>
            <w:vAlign w:val="center"/>
          </w:tcPr>
          <w:p w14:paraId="041768B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1,551.92</w:t>
            </w:r>
          </w:p>
        </w:tc>
        <w:tc>
          <w:tcPr>
            <w:tcW w:w="1356" w:type="pct"/>
            <w:shd w:val="clear" w:color="auto" w:fill="auto"/>
            <w:vAlign w:val="center"/>
          </w:tcPr>
          <w:p w14:paraId="11189D0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1,064.58</w:t>
            </w:r>
          </w:p>
        </w:tc>
      </w:tr>
      <w:tr w:rsidR="00C02929" w14:paraId="0C3F74EC" w14:textId="77777777">
        <w:trPr>
          <w:trHeight w:val="397"/>
        </w:trPr>
        <w:tc>
          <w:tcPr>
            <w:tcW w:w="932" w:type="pct"/>
            <w:shd w:val="clear" w:color="auto" w:fill="auto"/>
            <w:vAlign w:val="center"/>
          </w:tcPr>
          <w:p w14:paraId="3B5FEA93"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净利润</w:t>
            </w:r>
          </w:p>
        </w:tc>
        <w:tc>
          <w:tcPr>
            <w:tcW w:w="1356" w:type="pct"/>
            <w:shd w:val="clear" w:color="auto" w:fill="auto"/>
            <w:vAlign w:val="center"/>
          </w:tcPr>
          <w:p w14:paraId="69B6E0B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2,958.31</w:t>
            </w:r>
          </w:p>
        </w:tc>
        <w:tc>
          <w:tcPr>
            <w:tcW w:w="1356" w:type="pct"/>
            <w:shd w:val="clear" w:color="auto" w:fill="auto"/>
            <w:vAlign w:val="center"/>
          </w:tcPr>
          <w:p w14:paraId="27D6D79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1,347.67</w:t>
            </w:r>
          </w:p>
        </w:tc>
        <w:tc>
          <w:tcPr>
            <w:tcW w:w="1356" w:type="pct"/>
            <w:shd w:val="clear" w:color="auto" w:fill="auto"/>
            <w:vAlign w:val="center"/>
          </w:tcPr>
          <w:p w14:paraId="7819AE4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934.15</w:t>
            </w:r>
          </w:p>
        </w:tc>
      </w:tr>
      <w:tr w:rsidR="00C02929" w14:paraId="69D1FBCF" w14:textId="77777777">
        <w:trPr>
          <w:trHeight w:val="397"/>
        </w:trPr>
        <w:tc>
          <w:tcPr>
            <w:tcW w:w="932" w:type="pct"/>
            <w:shd w:val="clear" w:color="auto" w:fill="auto"/>
            <w:vAlign w:val="center"/>
          </w:tcPr>
          <w:p w14:paraId="79752BEA"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收入增长率</w:t>
            </w:r>
          </w:p>
        </w:tc>
        <w:tc>
          <w:tcPr>
            <w:tcW w:w="1356" w:type="pct"/>
            <w:shd w:val="clear" w:color="auto" w:fill="auto"/>
            <w:vAlign w:val="center"/>
          </w:tcPr>
          <w:p w14:paraId="1F22BA5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45.81%</w:t>
            </w:r>
          </w:p>
        </w:tc>
        <w:tc>
          <w:tcPr>
            <w:tcW w:w="1356" w:type="pct"/>
            <w:shd w:val="clear" w:color="auto" w:fill="auto"/>
            <w:vAlign w:val="center"/>
          </w:tcPr>
          <w:p w14:paraId="1252E7F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69.11%</w:t>
            </w:r>
          </w:p>
        </w:tc>
        <w:tc>
          <w:tcPr>
            <w:tcW w:w="1356" w:type="pct"/>
            <w:shd w:val="clear" w:color="auto" w:fill="auto"/>
            <w:vAlign w:val="center"/>
          </w:tcPr>
          <w:p w14:paraId="119A5C4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79.74%</w:t>
            </w:r>
          </w:p>
        </w:tc>
      </w:tr>
      <w:tr w:rsidR="00C02929" w14:paraId="036BAF04" w14:textId="77777777">
        <w:trPr>
          <w:trHeight w:val="397"/>
        </w:trPr>
        <w:tc>
          <w:tcPr>
            <w:tcW w:w="932" w:type="pct"/>
            <w:shd w:val="clear" w:color="auto" w:fill="auto"/>
            <w:vAlign w:val="center"/>
          </w:tcPr>
          <w:p w14:paraId="37B61801" w14:textId="77777777" w:rsidR="00C02929" w:rsidRDefault="006116D1">
            <w:pPr>
              <w:rPr>
                <w:rFonts w:ascii="Times New Roman" w:hAnsi="Times New Roman" w:cs="Times New Roman"/>
                <w:color w:val="000000"/>
                <w:sz w:val="21"/>
                <w:szCs w:val="21"/>
              </w:rPr>
            </w:pPr>
            <w:r>
              <w:rPr>
                <w:rFonts w:ascii="Times New Roman" w:hAnsi="Times New Roman" w:cs="Times New Roman" w:hint="eastAsia"/>
                <w:color w:val="000000"/>
                <w:sz w:val="21"/>
                <w:szCs w:val="21"/>
              </w:rPr>
              <w:t>毛利率</w:t>
            </w:r>
          </w:p>
        </w:tc>
        <w:tc>
          <w:tcPr>
            <w:tcW w:w="1356" w:type="pct"/>
            <w:shd w:val="clear" w:color="auto" w:fill="auto"/>
            <w:vAlign w:val="center"/>
          </w:tcPr>
          <w:p w14:paraId="5FC3B61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38.23%</w:t>
            </w:r>
          </w:p>
        </w:tc>
        <w:tc>
          <w:tcPr>
            <w:tcW w:w="1356" w:type="pct"/>
            <w:shd w:val="clear" w:color="auto" w:fill="auto"/>
            <w:vAlign w:val="center"/>
          </w:tcPr>
          <w:p w14:paraId="722DF82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33.06%</w:t>
            </w:r>
          </w:p>
        </w:tc>
        <w:tc>
          <w:tcPr>
            <w:tcW w:w="1356" w:type="pct"/>
            <w:shd w:val="clear" w:color="auto" w:fill="auto"/>
            <w:vAlign w:val="center"/>
          </w:tcPr>
          <w:p w14:paraId="6896FCC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32.63%</w:t>
            </w:r>
          </w:p>
        </w:tc>
      </w:tr>
    </w:tbl>
    <w:p w14:paraId="5525EEB0"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由上表可以看出，北洋天青历史年度自</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2019</w:t>
      </w:r>
      <w:r>
        <w:rPr>
          <w:rFonts w:ascii="Times New Roman" w:hAnsi="Times New Roman" w:cs="Times New Roman" w:hint="eastAsia"/>
          <w:color w:val="000000"/>
        </w:rPr>
        <w:t>年和</w:t>
      </w:r>
      <w:r>
        <w:rPr>
          <w:rFonts w:ascii="Times New Roman" w:hAnsi="Times New Roman" w:cs="Times New Roman"/>
          <w:color w:val="000000"/>
        </w:rPr>
        <w:t>2020</w:t>
      </w:r>
      <w:r>
        <w:rPr>
          <w:rFonts w:ascii="Times New Roman" w:hAnsi="Times New Roman" w:cs="Times New Roman" w:hint="eastAsia"/>
          <w:color w:val="000000"/>
        </w:rPr>
        <w:t>年毛利率分别为</w:t>
      </w:r>
      <w:r>
        <w:rPr>
          <w:rFonts w:ascii="Times New Roman" w:hAnsi="Times New Roman" w:cs="Times New Roman"/>
          <w:color w:val="000000"/>
        </w:rPr>
        <w:t>32.63%</w:t>
      </w:r>
      <w:r>
        <w:rPr>
          <w:rFonts w:ascii="Times New Roman" w:hAnsi="Times New Roman" w:cs="Times New Roman" w:hint="eastAsia"/>
          <w:color w:val="000000"/>
        </w:rPr>
        <w:t>、</w:t>
      </w:r>
      <w:r>
        <w:rPr>
          <w:rFonts w:ascii="Times New Roman" w:hAnsi="Times New Roman" w:cs="Times New Roman"/>
          <w:color w:val="000000"/>
        </w:rPr>
        <w:t>33.06%</w:t>
      </w:r>
      <w:r>
        <w:rPr>
          <w:rFonts w:ascii="Times New Roman" w:hAnsi="Times New Roman" w:cs="Times New Roman" w:hint="eastAsia"/>
          <w:color w:val="000000"/>
        </w:rPr>
        <w:t>和</w:t>
      </w:r>
      <w:r>
        <w:rPr>
          <w:rFonts w:ascii="Times New Roman" w:hAnsi="Times New Roman" w:cs="Times New Roman"/>
          <w:color w:val="000000"/>
        </w:rPr>
        <w:t>38.23%</w:t>
      </w:r>
      <w:r>
        <w:rPr>
          <w:rFonts w:ascii="Times New Roman" w:hAnsi="Times New Roman" w:cs="Times New Roman" w:hint="eastAsia"/>
          <w:color w:val="000000"/>
        </w:rPr>
        <w:t>逐年增长。净利润</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2019</w:t>
      </w:r>
      <w:r>
        <w:rPr>
          <w:rFonts w:ascii="Times New Roman" w:hAnsi="Times New Roman" w:cs="Times New Roman" w:hint="eastAsia"/>
          <w:color w:val="000000"/>
        </w:rPr>
        <w:t>年和</w:t>
      </w:r>
      <w:r>
        <w:rPr>
          <w:rFonts w:ascii="Times New Roman" w:hAnsi="Times New Roman" w:cs="Times New Roman"/>
          <w:color w:val="000000"/>
        </w:rPr>
        <w:t>2020</w:t>
      </w:r>
      <w:r>
        <w:rPr>
          <w:rFonts w:ascii="Times New Roman" w:hAnsi="Times New Roman" w:cs="Times New Roman" w:hint="eastAsia"/>
          <w:color w:val="000000"/>
        </w:rPr>
        <w:t>年净利润分别为</w:t>
      </w:r>
      <w:r>
        <w:rPr>
          <w:rFonts w:ascii="Times New Roman" w:hAnsi="Times New Roman" w:cs="Times New Roman"/>
          <w:color w:val="000000"/>
        </w:rPr>
        <w:t>934.15</w:t>
      </w:r>
      <w:r>
        <w:rPr>
          <w:rFonts w:ascii="Times New Roman" w:hAnsi="Times New Roman" w:cs="Times New Roman" w:hint="eastAsia"/>
          <w:color w:val="000000"/>
        </w:rPr>
        <w:t>万元、</w:t>
      </w:r>
      <w:r>
        <w:rPr>
          <w:rFonts w:ascii="Times New Roman" w:hAnsi="Times New Roman" w:cs="Times New Roman"/>
          <w:color w:val="000000"/>
        </w:rPr>
        <w:t>1,347.67</w:t>
      </w:r>
      <w:r>
        <w:rPr>
          <w:rFonts w:ascii="Times New Roman" w:hAnsi="Times New Roman" w:cs="Times New Roman" w:hint="eastAsia"/>
          <w:color w:val="000000"/>
        </w:rPr>
        <w:t>万元和</w:t>
      </w:r>
      <w:r>
        <w:rPr>
          <w:rFonts w:ascii="Times New Roman" w:hAnsi="Times New Roman" w:cs="Times New Roman"/>
          <w:color w:val="000000"/>
        </w:rPr>
        <w:t>2,958.31</w:t>
      </w:r>
      <w:r>
        <w:rPr>
          <w:rFonts w:ascii="Times New Roman" w:hAnsi="Times New Roman" w:cs="Times New Roman" w:hint="eastAsia"/>
          <w:color w:val="000000"/>
        </w:rPr>
        <w:t>万元，增长幅度较大。</w:t>
      </w:r>
    </w:p>
    <w:p w14:paraId="2B42C5A8" w14:textId="77777777" w:rsidR="00C02929" w:rsidRDefault="006116D1">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二、在手订单情况</w:t>
      </w:r>
    </w:p>
    <w:p w14:paraId="3BA59134"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截至本核查意见出具日，北洋天青订单情况（收入口径）如下表：</w:t>
      </w:r>
    </w:p>
    <w:p w14:paraId="59C04331"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27"/>
        <w:gridCol w:w="1278"/>
        <w:gridCol w:w="1273"/>
        <w:gridCol w:w="1052"/>
        <w:gridCol w:w="1692"/>
      </w:tblGrid>
      <w:tr w:rsidR="00C02929" w14:paraId="5E360FC7" w14:textId="77777777">
        <w:trPr>
          <w:trHeight w:val="397"/>
          <w:tblHeader/>
        </w:trPr>
        <w:tc>
          <w:tcPr>
            <w:tcW w:w="1893" w:type="pct"/>
            <w:vMerge w:val="restart"/>
            <w:tcBorders>
              <w:top w:val="single" w:sz="12" w:space="0" w:color="auto"/>
            </w:tcBorders>
            <w:shd w:val="clear" w:color="auto" w:fill="auto"/>
            <w:noWrap/>
            <w:vAlign w:val="center"/>
          </w:tcPr>
          <w:p w14:paraId="3FDE9DB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业务内容</w:t>
            </w:r>
          </w:p>
        </w:tc>
        <w:tc>
          <w:tcPr>
            <w:tcW w:w="749" w:type="pct"/>
            <w:tcBorders>
              <w:top w:val="single" w:sz="12" w:space="0" w:color="auto"/>
            </w:tcBorders>
            <w:shd w:val="clear" w:color="auto" w:fill="auto"/>
            <w:noWrap/>
            <w:vAlign w:val="center"/>
          </w:tcPr>
          <w:p w14:paraId="5A5488E8"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p>
        </w:tc>
        <w:tc>
          <w:tcPr>
            <w:tcW w:w="2357" w:type="pct"/>
            <w:gridSpan w:val="3"/>
            <w:tcBorders>
              <w:top w:val="single" w:sz="12" w:space="0" w:color="auto"/>
            </w:tcBorders>
            <w:shd w:val="clear" w:color="auto" w:fill="auto"/>
            <w:noWrap/>
            <w:vAlign w:val="center"/>
          </w:tcPr>
          <w:p w14:paraId="781524E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2021</w:t>
            </w:r>
            <w:r>
              <w:rPr>
                <w:rFonts w:ascii="Times New Roman" w:hAnsi="Times New Roman" w:cs="Times New Roman" w:hint="eastAsia"/>
                <w:b/>
                <w:bCs/>
                <w:color w:val="000000"/>
                <w:sz w:val="21"/>
                <w:szCs w:val="21"/>
              </w:rPr>
              <w:t>年</w:t>
            </w:r>
          </w:p>
        </w:tc>
      </w:tr>
      <w:tr w:rsidR="00C02929" w14:paraId="01A3E0FF" w14:textId="77777777">
        <w:trPr>
          <w:trHeight w:val="397"/>
          <w:tblHeader/>
        </w:trPr>
        <w:tc>
          <w:tcPr>
            <w:tcW w:w="1893" w:type="pct"/>
            <w:vMerge/>
            <w:shd w:val="clear" w:color="auto" w:fill="auto"/>
            <w:vAlign w:val="center"/>
          </w:tcPr>
          <w:p w14:paraId="5B083F5A" w14:textId="77777777" w:rsidR="00C02929" w:rsidRDefault="00C02929">
            <w:pPr>
              <w:rPr>
                <w:rFonts w:ascii="Times New Roman" w:hAnsi="Times New Roman" w:cs="Times New Roman"/>
                <w:b/>
                <w:bCs/>
                <w:sz w:val="21"/>
                <w:szCs w:val="21"/>
              </w:rPr>
            </w:pPr>
          </w:p>
        </w:tc>
        <w:tc>
          <w:tcPr>
            <w:tcW w:w="749" w:type="pct"/>
            <w:shd w:val="clear" w:color="auto" w:fill="auto"/>
            <w:noWrap/>
            <w:vAlign w:val="center"/>
          </w:tcPr>
          <w:p w14:paraId="66733569"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已完成</w:t>
            </w:r>
          </w:p>
        </w:tc>
        <w:tc>
          <w:tcPr>
            <w:tcW w:w="747" w:type="pct"/>
            <w:shd w:val="clear" w:color="auto" w:fill="auto"/>
            <w:noWrap/>
            <w:vAlign w:val="center"/>
          </w:tcPr>
          <w:p w14:paraId="6CD4F58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已签合同</w:t>
            </w:r>
          </w:p>
        </w:tc>
        <w:tc>
          <w:tcPr>
            <w:tcW w:w="617" w:type="pct"/>
            <w:shd w:val="clear" w:color="auto" w:fill="auto"/>
            <w:noWrap/>
            <w:vAlign w:val="center"/>
          </w:tcPr>
          <w:p w14:paraId="40DD1E74"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已中标</w:t>
            </w:r>
          </w:p>
        </w:tc>
        <w:tc>
          <w:tcPr>
            <w:tcW w:w="993" w:type="pct"/>
            <w:shd w:val="clear" w:color="auto" w:fill="auto"/>
            <w:noWrap/>
            <w:vAlign w:val="center"/>
          </w:tcPr>
          <w:p w14:paraId="7DE62845"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拟参与投标项目</w:t>
            </w:r>
          </w:p>
        </w:tc>
      </w:tr>
      <w:tr w:rsidR="00C02929" w14:paraId="746A654F" w14:textId="77777777">
        <w:trPr>
          <w:trHeight w:val="397"/>
        </w:trPr>
        <w:tc>
          <w:tcPr>
            <w:tcW w:w="1893" w:type="pct"/>
            <w:shd w:val="clear" w:color="auto" w:fill="auto"/>
            <w:noWrap/>
            <w:vAlign w:val="center"/>
          </w:tcPr>
          <w:p w14:paraId="06FB48EB" w14:textId="77777777" w:rsidR="00C02929" w:rsidRDefault="006116D1">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澳柯玛</w:t>
            </w:r>
          </w:p>
        </w:tc>
        <w:tc>
          <w:tcPr>
            <w:tcW w:w="749" w:type="pct"/>
            <w:shd w:val="clear" w:color="auto" w:fill="auto"/>
            <w:noWrap/>
            <w:vAlign w:val="center"/>
          </w:tcPr>
          <w:p w14:paraId="71290E46"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4,717.70</w:t>
            </w:r>
          </w:p>
        </w:tc>
        <w:tc>
          <w:tcPr>
            <w:tcW w:w="747" w:type="pct"/>
            <w:shd w:val="clear" w:color="auto" w:fill="auto"/>
            <w:noWrap/>
            <w:vAlign w:val="center"/>
          </w:tcPr>
          <w:p w14:paraId="4F1593E5"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10,978.22</w:t>
            </w:r>
          </w:p>
        </w:tc>
        <w:tc>
          <w:tcPr>
            <w:tcW w:w="617" w:type="pct"/>
            <w:shd w:val="clear" w:color="auto" w:fill="auto"/>
            <w:noWrap/>
            <w:vAlign w:val="center"/>
          </w:tcPr>
          <w:p w14:paraId="09D78F30"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993" w:type="pct"/>
            <w:shd w:val="clear" w:color="auto" w:fill="auto"/>
            <w:noWrap/>
            <w:vAlign w:val="center"/>
          </w:tcPr>
          <w:p w14:paraId="2D9CD37E"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70.80</w:t>
            </w:r>
          </w:p>
        </w:tc>
      </w:tr>
      <w:tr w:rsidR="00C02929" w14:paraId="0AA0C1A9" w14:textId="77777777">
        <w:trPr>
          <w:trHeight w:val="397"/>
        </w:trPr>
        <w:tc>
          <w:tcPr>
            <w:tcW w:w="1893" w:type="pct"/>
            <w:shd w:val="clear" w:color="auto" w:fill="auto"/>
            <w:noWrap/>
            <w:vAlign w:val="center"/>
          </w:tcPr>
          <w:p w14:paraId="30BD6E0D"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749" w:type="pct"/>
            <w:shd w:val="clear" w:color="auto" w:fill="auto"/>
            <w:noWrap/>
            <w:vAlign w:val="center"/>
          </w:tcPr>
          <w:p w14:paraId="6E33C75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303.63</w:t>
            </w:r>
          </w:p>
        </w:tc>
        <w:tc>
          <w:tcPr>
            <w:tcW w:w="747" w:type="pct"/>
            <w:shd w:val="clear" w:color="auto" w:fill="auto"/>
            <w:noWrap/>
            <w:vAlign w:val="center"/>
          </w:tcPr>
          <w:p w14:paraId="5373D7B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1,283.19</w:t>
            </w:r>
          </w:p>
        </w:tc>
        <w:tc>
          <w:tcPr>
            <w:tcW w:w="617" w:type="pct"/>
            <w:shd w:val="clear" w:color="auto" w:fill="auto"/>
            <w:noWrap/>
            <w:vAlign w:val="center"/>
          </w:tcPr>
          <w:p w14:paraId="1E271917"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5CFA552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249CD3E4" w14:textId="77777777">
        <w:trPr>
          <w:trHeight w:val="397"/>
        </w:trPr>
        <w:tc>
          <w:tcPr>
            <w:tcW w:w="1893" w:type="pct"/>
            <w:shd w:val="clear" w:color="auto" w:fill="auto"/>
            <w:noWrap/>
            <w:vAlign w:val="center"/>
          </w:tcPr>
          <w:p w14:paraId="54322EBC"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能源配套</w:t>
            </w:r>
          </w:p>
        </w:tc>
        <w:tc>
          <w:tcPr>
            <w:tcW w:w="749" w:type="pct"/>
            <w:shd w:val="clear" w:color="auto" w:fill="auto"/>
            <w:noWrap/>
            <w:vAlign w:val="center"/>
          </w:tcPr>
          <w:p w14:paraId="2437C0E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747" w:type="pct"/>
            <w:shd w:val="clear" w:color="auto" w:fill="auto"/>
            <w:noWrap/>
            <w:vAlign w:val="center"/>
          </w:tcPr>
          <w:p w14:paraId="09F1541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6,044.41</w:t>
            </w:r>
          </w:p>
        </w:tc>
        <w:tc>
          <w:tcPr>
            <w:tcW w:w="617" w:type="pct"/>
            <w:shd w:val="clear" w:color="auto" w:fill="auto"/>
            <w:noWrap/>
            <w:vAlign w:val="center"/>
          </w:tcPr>
          <w:p w14:paraId="0A34945C"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1E2C4D4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25B5CE88" w14:textId="77777777">
        <w:trPr>
          <w:trHeight w:val="397"/>
        </w:trPr>
        <w:tc>
          <w:tcPr>
            <w:tcW w:w="1893" w:type="pct"/>
            <w:shd w:val="clear" w:color="auto" w:fill="auto"/>
            <w:noWrap/>
            <w:vAlign w:val="center"/>
          </w:tcPr>
          <w:p w14:paraId="2F798F6C"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749" w:type="pct"/>
            <w:shd w:val="clear" w:color="auto" w:fill="auto"/>
            <w:noWrap/>
            <w:vAlign w:val="center"/>
          </w:tcPr>
          <w:p w14:paraId="657FE18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3,971.95</w:t>
            </w:r>
          </w:p>
        </w:tc>
        <w:tc>
          <w:tcPr>
            <w:tcW w:w="747" w:type="pct"/>
            <w:shd w:val="clear" w:color="auto" w:fill="auto"/>
            <w:noWrap/>
            <w:vAlign w:val="center"/>
          </w:tcPr>
          <w:p w14:paraId="75FCA45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176.99</w:t>
            </w:r>
          </w:p>
        </w:tc>
        <w:tc>
          <w:tcPr>
            <w:tcW w:w="617" w:type="pct"/>
            <w:shd w:val="clear" w:color="auto" w:fill="auto"/>
            <w:noWrap/>
            <w:vAlign w:val="center"/>
          </w:tcPr>
          <w:p w14:paraId="783A117E"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66BE184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4BD5F067" w14:textId="77777777">
        <w:trPr>
          <w:trHeight w:val="397"/>
        </w:trPr>
        <w:tc>
          <w:tcPr>
            <w:tcW w:w="1893" w:type="pct"/>
            <w:shd w:val="clear" w:color="auto" w:fill="auto"/>
            <w:noWrap/>
            <w:vAlign w:val="center"/>
          </w:tcPr>
          <w:p w14:paraId="4AC10B7A"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749" w:type="pct"/>
            <w:shd w:val="clear" w:color="auto" w:fill="auto"/>
            <w:noWrap/>
            <w:vAlign w:val="center"/>
          </w:tcPr>
          <w:p w14:paraId="6AE2198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442.12</w:t>
            </w:r>
          </w:p>
        </w:tc>
        <w:tc>
          <w:tcPr>
            <w:tcW w:w="747" w:type="pct"/>
            <w:shd w:val="clear" w:color="auto" w:fill="auto"/>
            <w:noWrap/>
            <w:vAlign w:val="center"/>
          </w:tcPr>
          <w:p w14:paraId="7EF9C0C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3,473.63</w:t>
            </w:r>
          </w:p>
        </w:tc>
        <w:tc>
          <w:tcPr>
            <w:tcW w:w="617" w:type="pct"/>
            <w:shd w:val="clear" w:color="auto" w:fill="auto"/>
            <w:noWrap/>
            <w:vAlign w:val="center"/>
          </w:tcPr>
          <w:p w14:paraId="4E64AA38"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06E2F4C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70.80</w:t>
            </w:r>
          </w:p>
        </w:tc>
      </w:tr>
      <w:tr w:rsidR="00C02929" w14:paraId="04CF05F4" w14:textId="77777777">
        <w:trPr>
          <w:trHeight w:val="397"/>
        </w:trPr>
        <w:tc>
          <w:tcPr>
            <w:tcW w:w="1893" w:type="pct"/>
            <w:shd w:val="clear" w:color="auto" w:fill="auto"/>
            <w:noWrap/>
            <w:vAlign w:val="center"/>
          </w:tcPr>
          <w:p w14:paraId="69748565" w14:textId="77777777" w:rsidR="00C02929" w:rsidRDefault="006116D1">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海尔</w:t>
            </w:r>
          </w:p>
        </w:tc>
        <w:tc>
          <w:tcPr>
            <w:tcW w:w="749" w:type="pct"/>
            <w:shd w:val="clear" w:color="auto" w:fill="auto"/>
            <w:noWrap/>
            <w:vAlign w:val="center"/>
          </w:tcPr>
          <w:p w14:paraId="362E55B3"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10,005.29</w:t>
            </w:r>
          </w:p>
        </w:tc>
        <w:tc>
          <w:tcPr>
            <w:tcW w:w="747" w:type="pct"/>
            <w:shd w:val="clear" w:color="auto" w:fill="auto"/>
            <w:noWrap/>
            <w:vAlign w:val="center"/>
          </w:tcPr>
          <w:p w14:paraId="2A9A7DFC"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9,104.64</w:t>
            </w:r>
          </w:p>
        </w:tc>
        <w:tc>
          <w:tcPr>
            <w:tcW w:w="617" w:type="pct"/>
            <w:shd w:val="clear" w:color="auto" w:fill="auto"/>
            <w:noWrap/>
            <w:vAlign w:val="center"/>
          </w:tcPr>
          <w:p w14:paraId="03DFEABE"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993" w:type="pct"/>
            <w:shd w:val="clear" w:color="auto" w:fill="auto"/>
            <w:noWrap/>
            <w:vAlign w:val="center"/>
          </w:tcPr>
          <w:p w14:paraId="403D255C"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12,389.38</w:t>
            </w:r>
          </w:p>
        </w:tc>
      </w:tr>
      <w:tr w:rsidR="00C02929" w14:paraId="7AD61549" w14:textId="77777777">
        <w:trPr>
          <w:trHeight w:val="397"/>
        </w:trPr>
        <w:tc>
          <w:tcPr>
            <w:tcW w:w="1893" w:type="pct"/>
            <w:shd w:val="clear" w:color="auto" w:fill="auto"/>
            <w:noWrap/>
            <w:vAlign w:val="center"/>
          </w:tcPr>
          <w:p w14:paraId="152418B7"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机器人本体</w:t>
            </w:r>
          </w:p>
        </w:tc>
        <w:tc>
          <w:tcPr>
            <w:tcW w:w="749" w:type="pct"/>
            <w:shd w:val="clear" w:color="auto" w:fill="auto"/>
            <w:noWrap/>
            <w:vAlign w:val="center"/>
          </w:tcPr>
          <w:p w14:paraId="24D4EB5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630.09</w:t>
            </w:r>
          </w:p>
        </w:tc>
        <w:tc>
          <w:tcPr>
            <w:tcW w:w="747" w:type="pct"/>
            <w:shd w:val="clear" w:color="auto" w:fill="auto"/>
            <w:noWrap/>
            <w:vAlign w:val="center"/>
          </w:tcPr>
          <w:p w14:paraId="1756222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5E6A1EEB"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2830FFE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4B6A4DB8" w14:textId="77777777">
        <w:trPr>
          <w:trHeight w:val="397"/>
        </w:trPr>
        <w:tc>
          <w:tcPr>
            <w:tcW w:w="1893" w:type="pct"/>
            <w:shd w:val="clear" w:color="auto" w:fill="auto"/>
            <w:noWrap/>
            <w:vAlign w:val="center"/>
          </w:tcPr>
          <w:p w14:paraId="01FB7F98"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749" w:type="pct"/>
            <w:shd w:val="clear" w:color="auto" w:fill="auto"/>
            <w:noWrap/>
            <w:vAlign w:val="center"/>
          </w:tcPr>
          <w:p w14:paraId="285A974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827.70</w:t>
            </w:r>
          </w:p>
        </w:tc>
        <w:tc>
          <w:tcPr>
            <w:tcW w:w="747" w:type="pct"/>
            <w:shd w:val="clear" w:color="auto" w:fill="auto"/>
            <w:noWrap/>
            <w:vAlign w:val="center"/>
          </w:tcPr>
          <w:p w14:paraId="3669527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704.42</w:t>
            </w:r>
          </w:p>
        </w:tc>
        <w:tc>
          <w:tcPr>
            <w:tcW w:w="617" w:type="pct"/>
            <w:shd w:val="clear" w:color="auto" w:fill="auto"/>
            <w:noWrap/>
            <w:vAlign w:val="center"/>
          </w:tcPr>
          <w:p w14:paraId="018D4C0B"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24AAE6F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283.19</w:t>
            </w:r>
          </w:p>
        </w:tc>
      </w:tr>
      <w:tr w:rsidR="00C02929" w14:paraId="45F72613" w14:textId="77777777">
        <w:trPr>
          <w:trHeight w:val="397"/>
        </w:trPr>
        <w:tc>
          <w:tcPr>
            <w:tcW w:w="1893" w:type="pct"/>
            <w:shd w:val="clear" w:color="auto" w:fill="auto"/>
            <w:noWrap/>
            <w:vAlign w:val="center"/>
          </w:tcPr>
          <w:p w14:paraId="48346A97"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机器人集成应用（含压机）</w:t>
            </w:r>
          </w:p>
        </w:tc>
        <w:tc>
          <w:tcPr>
            <w:tcW w:w="749" w:type="pct"/>
            <w:shd w:val="clear" w:color="auto" w:fill="auto"/>
            <w:noWrap/>
            <w:vAlign w:val="center"/>
          </w:tcPr>
          <w:p w14:paraId="1DEA03D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5,044.16</w:t>
            </w:r>
          </w:p>
        </w:tc>
        <w:tc>
          <w:tcPr>
            <w:tcW w:w="747" w:type="pct"/>
            <w:shd w:val="clear" w:color="auto" w:fill="auto"/>
            <w:noWrap/>
            <w:vAlign w:val="center"/>
          </w:tcPr>
          <w:p w14:paraId="35A11E0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010AAA40"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1131FE5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2,194.69</w:t>
            </w:r>
          </w:p>
        </w:tc>
      </w:tr>
      <w:tr w:rsidR="00C02929" w14:paraId="7CD8773F" w14:textId="77777777">
        <w:trPr>
          <w:trHeight w:val="397"/>
        </w:trPr>
        <w:tc>
          <w:tcPr>
            <w:tcW w:w="1893" w:type="pct"/>
            <w:shd w:val="clear" w:color="auto" w:fill="auto"/>
            <w:noWrap/>
            <w:vAlign w:val="center"/>
          </w:tcPr>
          <w:p w14:paraId="357C7D68"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物流悬挂输送系统</w:t>
            </w:r>
            <w:r>
              <w:rPr>
                <w:rFonts w:ascii="Times New Roman" w:hAnsi="Times New Roman" w:cs="Times New Roman"/>
                <w:sz w:val="21"/>
                <w:szCs w:val="21"/>
              </w:rPr>
              <w:t>-</w:t>
            </w:r>
            <w:r>
              <w:rPr>
                <w:rFonts w:ascii="Times New Roman" w:hAnsi="Times New Roman" w:cs="Times New Roman" w:hint="eastAsia"/>
                <w:sz w:val="21"/>
                <w:szCs w:val="21"/>
              </w:rPr>
              <w:t>悬挂链</w:t>
            </w:r>
          </w:p>
        </w:tc>
        <w:tc>
          <w:tcPr>
            <w:tcW w:w="749" w:type="pct"/>
            <w:shd w:val="clear" w:color="auto" w:fill="auto"/>
            <w:noWrap/>
            <w:vAlign w:val="center"/>
          </w:tcPr>
          <w:p w14:paraId="03E3E07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1,432.74</w:t>
            </w:r>
          </w:p>
        </w:tc>
        <w:tc>
          <w:tcPr>
            <w:tcW w:w="747" w:type="pct"/>
            <w:shd w:val="clear" w:color="auto" w:fill="auto"/>
            <w:noWrap/>
            <w:vAlign w:val="center"/>
          </w:tcPr>
          <w:p w14:paraId="5827EFD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1,361.06</w:t>
            </w:r>
          </w:p>
        </w:tc>
        <w:tc>
          <w:tcPr>
            <w:tcW w:w="617" w:type="pct"/>
            <w:shd w:val="clear" w:color="auto" w:fill="auto"/>
            <w:noWrap/>
            <w:vAlign w:val="center"/>
          </w:tcPr>
          <w:p w14:paraId="0F29733D"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443693F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5,946.90</w:t>
            </w:r>
          </w:p>
        </w:tc>
      </w:tr>
      <w:tr w:rsidR="00C02929" w14:paraId="1DCE6A11" w14:textId="77777777">
        <w:trPr>
          <w:trHeight w:val="397"/>
        </w:trPr>
        <w:tc>
          <w:tcPr>
            <w:tcW w:w="1893" w:type="pct"/>
            <w:shd w:val="clear" w:color="auto" w:fill="auto"/>
            <w:noWrap/>
            <w:vAlign w:val="center"/>
          </w:tcPr>
          <w:p w14:paraId="1763B562"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模具自动化仓储</w:t>
            </w:r>
          </w:p>
        </w:tc>
        <w:tc>
          <w:tcPr>
            <w:tcW w:w="749" w:type="pct"/>
            <w:shd w:val="clear" w:color="auto" w:fill="auto"/>
            <w:noWrap/>
            <w:vAlign w:val="center"/>
          </w:tcPr>
          <w:p w14:paraId="6732301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747" w:type="pct"/>
            <w:shd w:val="clear" w:color="auto" w:fill="auto"/>
            <w:noWrap/>
            <w:vAlign w:val="center"/>
          </w:tcPr>
          <w:p w14:paraId="0B6AD04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1BC3D316"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4285B06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424.78</w:t>
            </w:r>
          </w:p>
        </w:tc>
      </w:tr>
      <w:tr w:rsidR="00C02929" w14:paraId="006D93E6" w14:textId="77777777">
        <w:trPr>
          <w:trHeight w:val="397"/>
        </w:trPr>
        <w:tc>
          <w:tcPr>
            <w:tcW w:w="1893" w:type="pct"/>
            <w:shd w:val="clear" w:color="auto" w:fill="auto"/>
            <w:noWrap/>
            <w:vAlign w:val="center"/>
          </w:tcPr>
          <w:p w14:paraId="12C7DC8E"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749" w:type="pct"/>
            <w:shd w:val="clear" w:color="auto" w:fill="auto"/>
            <w:noWrap/>
            <w:vAlign w:val="center"/>
          </w:tcPr>
          <w:p w14:paraId="1864E6E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2,070.60</w:t>
            </w:r>
          </w:p>
        </w:tc>
        <w:tc>
          <w:tcPr>
            <w:tcW w:w="747" w:type="pct"/>
            <w:shd w:val="clear" w:color="auto" w:fill="auto"/>
            <w:noWrap/>
            <w:vAlign w:val="center"/>
          </w:tcPr>
          <w:p w14:paraId="71FB62B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7,039.16</w:t>
            </w:r>
          </w:p>
        </w:tc>
        <w:tc>
          <w:tcPr>
            <w:tcW w:w="617" w:type="pct"/>
            <w:shd w:val="clear" w:color="auto" w:fill="auto"/>
            <w:noWrap/>
            <w:vAlign w:val="center"/>
          </w:tcPr>
          <w:p w14:paraId="5407F4A7"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50419E9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3,539.82</w:t>
            </w:r>
          </w:p>
        </w:tc>
      </w:tr>
      <w:tr w:rsidR="00C02929" w14:paraId="34E88761" w14:textId="77777777">
        <w:trPr>
          <w:trHeight w:val="397"/>
        </w:trPr>
        <w:tc>
          <w:tcPr>
            <w:tcW w:w="1893" w:type="pct"/>
            <w:shd w:val="clear" w:color="auto" w:fill="auto"/>
            <w:noWrap/>
            <w:vAlign w:val="center"/>
          </w:tcPr>
          <w:p w14:paraId="06CF82E6" w14:textId="77777777" w:rsidR="00C02929" w:rsidRDefault="006116D1">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海信</w:t>
            </w:r>
          </w:p>
        </w:tc>
        <w:tc>
          <w:tcPr>
            <w:tcW w:w="749" w:type="pct"/>
            <w:shd w:val="clear" w:color="auto" w:fill="auto"/>
            <w:noWrap/>
            <w:vAlign w:val="center"/>
          </w:tcPr>
          <w:p w14:paraId="61DD68B4"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312.39</w:t>
            </w:r>
          </w:p>
        </w:tc>
        <w:tc>
          <w:tcPr>
            <w:tcW w:w="747" w:type="pct"/>
            <w:shd w:val="clear" w:color="auto" w:fill="auto"/>
            <w:noWrap/>
            <w:vAlign w:val="center"/>
          </w:tcPr>
          <w:p w14:paraId="06069ABF"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394.69</w:t>
            </w:r>
          </w:p>
        </w:tc>
        <w:tc>
          <w:tcPr>
            <w:tcW w:w="617" w:type="pct"/>
            <w:shd w:val="clear" w:color="auto" w:fill="auto"/>
            <w:noWrap/>
            <w:vAlign w:val="center"/>
          </w:tcPr>
          <w:p w14:paraId="466B48FC"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884.96</w:t>
            </w:r>
          </w:p>
        </w:tc>
        <w:tc>
          <w:tcPr>
            <w:tcW w:w="993" w:type="pct"/>
            <w:shd w:val="clear" w:color="auto" w:fill="auto"/>
            <w:noWrap/>
            <w:vAlign w:val="center"/>
          </w:tcPr>
          <w:p w14:paraId="1CDBBCD9"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141.59</w:t>
            </w:r>
          </w:p>
        </w:tc>
      </w:tr>
      <w:tr w:rsidR="00C02929" w14:paraId="17AC5430" w14:textId="77777777">
        <w:trPr>
          <w:trHeight w:val="397"/>
        </w:trPr>
        <w:tc>
          <w:tcPr>
            <w:tcW w:w="1893" w:type="pct"/>
            <w:shd w:val="clear" w:color="auto" w:fill="auto"/>
            <w:noWrap/>
            <w:vAlign w:val="center"/>
          </w:tcPr>
          <w:p w14:paraId="579E7711"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749" w:type="pct"/>
            <w:shd w:val="clear" w:color="auto" w:fill="auto"/>
            <w:noWrap/>
            <w:vAlign w:val="center"/>
          </w:tcPr>
          <w:p w14:paraId="754AB76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312.39</w:t>
            </w:r>
          </w:p>
        </w:tc>
        <w:tc>
          <w:tcPr>
            <w:tcW w:w="747" w:type="pct"/>
            <w:shd w:val="clear" w:color="auto" w:fill="auto"/>
            <w:noWrap/>
            <w:vAlign w:val="center"/>
          </w:tcPr>
          <w:p w14:paraId="4E6B617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394.69</w:t>
            </w:r>
          </w:p>
        </w:tc>
        <w:tc>
          <w:tcPr>
            <w:tcW w:w="617" w:type="pct"/>
            <w:shd w:val="clear" w:color="auto" w:fill="auto"/>
            <w:noWrap/>
            <w:vAlign w:val="center"/>
          </w:tcPr>
          <w:p w14:paraId="08869A67"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2EDE0D2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26CBFC1D" w14:textId="77777777">
        <w:trPr>
          <w:trHeight w:val="397"/>
        </w:trPr>
        <w:tc>
          <w:tcPr>
            <w:tcW w:w="1893" w:type="pct"/>
            <w:shd w:val="clear" w:color="auto" w:fill="auto"/>
            <w:noWrap/>
            <w:vAlign w:val="center"/>
          </w:tcPr>
          <w:p w14:paraId="49266AF0"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749" w:type="pct"/>
            <w:shd w:val="clear" w:color="auto" w:fill="auto"/>
            <w:noWrap/>
            <w:vAlign w:val="center"/>
          </w:tcPr>
          <w:p w14:paraId="61E1473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747" w:type="pct"/>
            <w:shd w:val="clear" w:color="auto" w:fill="auto"/>
            <w:noWrap/>
            <w:vAlign w:val="center"/>
          </w:tcPr>
          <w:p w14:paraId="1A74D9A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0FCE8DA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884.96</w:t>
            </w:r>
          </w:p>
        </w:tc>
        <w:tc>
          <w:tcPr>
            <w:tcW w:w="993" w:type="pct"/>
            <w:shd w:val="clear" w:color="auto" w:fill="auto"/>
            <w:noWrap/>
            <w:vAlign w:val="center"/>
          </w:tcPr>
          <w:p w14:paraId="021CD2B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141.59</w:t>
            </w:r>
          </w:p>
        </w:tc>
      </w:tr>
      <w:tr w:rsidR="00C02929" w14:paraId="78CFF56C" w14:textId="77777777">
        <w:trPr>
          <w:trHeight w:val="397"/>
        </w:trPr>
        <w:tc>
          <w:tcPr>
            <w:tcW w:w="1893" w:type="pct"/>
            <w:shd w:val="clear" w:color="auto" w:fill="auto"/>
            <w:noWrap/>
            <w:vAlign w:val="center"/>
          </w:tcPr>
          <w:p w14:paraId="7A93AB44" w14:textId="77777777" w:rsidR="00C02929" w:rsidRDefault="006116D1">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崂山矿泉水</w:t>
            </w:r>
          </w:p>
        </w:tc>
        <w:tc>
          <w:tcPr>
            <w:tcW w:w="749" w:type="pct"/>
            <w:shd w:val="clear" w:color="auto" w:fill="auto"/>
            <w:noWrap/>
            <w:vAlign w:val="center"/>
          </w:tcPr>
          <w:p w14:paraId="0E1E5288"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20.78</w:t>
            </w:r>
          </w:p>
        </w:tc>
        <w:tc>
          <w:tcPr>
            <w:tcW w:w="747" w:type="pct"/>
            <w:shd w:val="clear" w:color="auto" w:fill="auto"/>
            <w:noWrap/>
            <w:vAlign w:val="center"/>
          </w:tcPr>
          <w:p w14:paraId="3C50E494"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617" w:type="pct"/>
            <w:shd w:val="clear" w:color="auto" w:fill="auto"/>
            <w:noWrap/>
            <w:vAlign w:val="center"/>
          </w:tcPr>
          <w:p w14:paraId="065DCBF3"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993" w:type="pct"/>
            <w:shd w:val="clear" w:color="auto" w:fill="auto"/>
            <w:noWrap/>
            <w:vAlign w:val="center"/>
          </w:tcPr>
          <w:p w14:paraId="5765D602"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w:t>
            </w:r>
          </w:p>
        </w:tc>
      </w:tr>
      <w:tr w:rsidR="00C02929" w14:paraId="3D95B84F" w14:textId="77777777">
        <w:trPr>
          <w:trHeight w:val="397"/>
        </w:trPr>
        <w:tc>
          <w:tcPr>
            <w:tcW w:w="1893" w:type="pct"/>
            <w:shd w:val="clear" w:color="auto" w:fill="auto"/>
            <w:noWrap/>
            <w:vAlign w:val="center"/>
          </w:tcPr>
          <w:p w14:paraId="5D07233F"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749" w:type="pct"/>
            <w:shd w:val="clear" w:color="auto" w:fill="auto"/>
            <w:noWrap/>
            <w:vAlign w:val="center"/>
          </w:tcPr>
          <w:p w14:paraId="75E0213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20.78</w:t>
            </w:r>
          </w:p>
        </w:tc>
        <w:tc>
          <w:tcPr>
            <w:tcW w:w="747" w:type="pct"/>
            <w:shd w:val="clear" w:color="auto" w:fill="auto"/>
            <w:noWrap/>
            <w:vAlign w:val="center"/>
          </w:tcPr>
          <w:p w14:paraId="326657E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617" w:type="pct"/>
            <w:shd w:val="clear" w:color="auto" w:fill="auto"/>
            <w:noWrap/>
            <w:vAlign w:val="center"/>
          </w:tcPr>
          <w:p w14:paraId="1B47F425" w14:textId="77777777" w:rsidR="00C02929" w:rsidRDefault="00C02929">
            <w:pPr>
              <w:jc w:val="right"/>
              <w:rPr>
                <w:rFonts w:ascii="Times New Roman" w:hAnsi="Times New Roman" w:cs="Times New Roman"/>
                <w:sz w:val="21"/>
                <w:szCs w:val="21"/>
              </w:rPr>
            </w:pPr>
          </w:p>
        </w:tc>
        <w:tc>
          <w:tcPr>
            <w:tcW w:w="993" w:type="pct"/>
            <w:shd w:val="clear" w:color="auto" w:fill="auto"/>
            <w:noWrap/>
            <w:vAlign w:val="center"/>
          </w:tcPr>
          <w:p w14:paraId="326DE92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548F604D" w14:textId="77777777">
        <w:trPr>
          <w:trHeight w:val="397"/>
        </w:trPr>
        <w:tc>
          <w:tcPr>
            <w:tcW w:w="1893" w:type="pct"/>
            <w:shd w:val="clear" w:color="auto" w:fill="auto"/>
            <w:noWrap/>
            <w:vAlign w:val="center"/>
          </w:tcPr>
          <w:p w14:paraId="33CC8B50" w14:textId="77777777" w:rsidR="00C02929" w:rsidRDefault="006116D1">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小计</w:t>
            </w:r>
          </w:p>
        </w:tc>
        <w:tc>
          <w:tcPr>
            <w:tcW w:w="749" w:type="pct"/>
            <w:shd w:val="clear" w:color="auto" w:fill="auto"/>
            <w:noWrap/>
            <w:vAlign w:val="center"/>
          </w:tcPr>
          <w:p w14:paraId="49094305"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15,056.17</w:t>
            </w:r>
          </w:p>
        </w:tc>
        <w:tc>
          <w:tcPr>
            <w:tcW w:w="747" w:type="pct"/>
            <w:shd w:val="clear" w:color="auto" w:fill="auto"/>
            <w:noWrap/>
            <w:vAlign w:val="center"/>
          </w:tcPr>
          <w:p w14:paraId="035CF12F"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20,477.55</w:t>
            </w:r>
          </w:p>
        </w:tc>
        <w:tc>
          <w:tcPr>
            <w:tcW w:w="617" w:type="pct"/>
            <w:shd w:val="clear" w:color="auto" w:fill="auto"/>
            <w:noWrap/>
            <w:vAlign w:val="center"/>
          </w:tcPr>
          <w:p w14:paraId="1F9D4DCD"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884.96</w:t>
            </w:r>
          </w:p>
        </w:tc>
        <w:tc>
          <w:tcPr>
            <w:tcW w:w="993" w:type="pct"/>
            <w:shd w:val="clear" w:color="auto" w:fill="auto"/>
            <w:noWrap/>
            <w:vAlign w:val="center"/>
          </w:tcPr>
          <w:p w14:paraId="70BE6E03"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12,601.77</w:t>
            </w:r>
          </w:p>
        </w:tc>
      </w:tr>
      <w:tr w:rsidR="00C02929" w14:paraId="704ADAD4" w14:textId="77777777">
        <w:trPr>
          <w:trHeight w:val="397"/>
        </w:trPr>
        <w:tc>
          <w:tcPr>
            <w:tcW w:w="1893" w:type="pct"/>
            <w:shd w:val="clear" w:color="auto" w:fill="auto"/>
            <w:noWrap/>
            <w:vAlign w:val="center"/>
          </w:tcPr>
          <w:p w14:paraId="1B6E4384" w14:textId="77777777" w:rsidR="00C02929" w:rsidRDefault="006116D1">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预计可确认收入率</w:t>
            </w:r>
          </w:p>
        </w:tc>
        <w:tc>
          <w:tcPr>
            <w:tcW w:w="749" w:type="pct"/>
            <w:shd w:val="clear" w:color="auto" w:fill="auto"/>
            <w:noWrap/>
            <w:vAlign w:val="center"/>
          </w:tcPr>
          <w:p w14:paraId="7020D4C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747" w:type="pct"/>
            <w:shd w:val="clear" w:color="auto" w:fill="auto"/>
            <w:noWrap/>
            <w:vAlign w:val="center"/>
          </w:tcPr>
          <w:p w14:paraId="368EB3A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617" w:type="pct"/>
            <w:shd w:val="clear" w:color="auto" w:fill="auto"/>
            <w:noWrap/>
            <w:vAlign w:val="center"/>
          </w:tcPr>
          <w:p w14:paraId="1B8DCDE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993" w:type="pct"/>
            <w:shd w:val="clear" w:color="auto" w:fill="auto"/>
            <w:noWrap/>
            <w:vAlign w:val="center"/>
          </w:tcPr>
          <w:p w14:paraId="2A21DDE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79%</w:t>
            </w:r>
          </w:p>
        </w:tc>
      </w:tr>
      <w:tr w:rsidR="00C02929" w14:paraId="386F5C1D" w14:textId="77777777">
        <w:trPr>
          <w:trHeight w:val="397"/>
        </w:trPr>
        <w:tc>
          <w:tcPr>
            <w:tcW w:w="1893" w:type="pct"/>
            <w:shd w:val="clear" w:color="auto" w:fill="auto"/>
            <w:noWrap/>
            <w:vAlign w:val="center"/>
          </w:tcPr>
          <w:p w14:paraId="02B9F726" w14:textId="77777777" w:rsidR="00C02929" w:rsidRDefault="006116D1">
            <w:pPr>
              <w:jc w:val="both"/>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预计可确认收入金额</w:t>
            </w:r>
          </w:p>
        </w:tc>
        <w:tc>
          <w:tcPr>
            <w:tcW w:w="749" w:type="pct"/>
            <w:shd w:val="clear" w:color="auto" w:fill="auto"/>
            <w:noWrap/>
            <w:vAlign w:val="center"/>
          </w:tcPr>
          <w:p w14:paraId="334B114C"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15,056.17</w:t>
            </w:r>
          </w:p>
        </w:tc>
        <w:tc>
          <w:tcPr>
            <w:tcW w:w="747" w:type="pct"/>
            <w:shd w:val="clear" w:color="auto" w:fill="auto"/>
            <w:noWrap/>
            <w:vAlign w:val="center"/>
          </w:tcPr>
          <w:p w14:paraId="61E355B2" w14:textId="77777777" w:rsidR="00C02929" w:rsidRDefault="006116D1">
            <w:pPr>
              <w:jc w:val="right"/>
              <w:rPr>
                <w:rFonts w:ascii="Times New Roman" w:hAnsi="Times New Roman" w:cs="Times New Roman"/>
                <w:b/>
                <w:bCs/>
                <w:color w:val="000000"/>
                <w:sz w:val="21"/>
                <w:szCs w:val="21"/>
              </w:rPr>
            </w:pPr>
            <w:bookmarkStart w:id="92" w:name="_Hlk69242300"/>
            <w:r>
              <w:rPr>
                <w:rFonts w:ascii="Times New Roman" w:hAnsi="Times New Roman" w:cs="Times New Roman"/>
                <w:b/>
                <w:bCs/>
                <w:color w:val="000000"/>
                <w:sz w:val="21"/>
                <w:szCs w:val="21"/>
              </w:rPr>
              <w:t>20,477.55</w:t>
            </w:r>
            <w:bookmarkEnd w:id="92"/>
          </w:p>
        </w:tc>
        <w:tc>
          <w:tcPr>
            <w:tcW w:w="617" w:type="pct"/>
            <w:shd w:val="clear" w:color="auto" w:fill="auto"/>
            <w:noWrap/>
            <w:vAlign w:val="center"/>
          </w:tcPr>
          <w:p w14:paraId="695B6A46"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884.96</w:t>
            </w:r>
          </w:p>
        </w:tc>
        <w:tc>
          <w:tcPr>
            <w:tcW w:w="993" w:type="pct"/>
            <w:shd w:val="clear" w:color="auto" w:fill="auto"/>
            <w:noWrap/>
            <w:vAlign w:val="center"/>
          </w:tcPr>
          <w:p w14:paraId="7308ECBF"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9,955.40</w:t>
            </w:r>
          </w:p>
        </w:tc>
      </w:tr>
      <w:tr w:rsidR="00C02929" w14:paraId="1C7659F7" w14:textId="77777777">
        <w:trPr>
          <w:trHeight w:val="397"/>
        </w:trPr>
        <w:tc>
          <w:tcPr>
            <w:tcW w:w="1893" w:type="pct"/>
            <w:tcBorders>
              <w:bottom w:val="single" w:sz="12" w:space="0" w:color="auto"/>
            </w:tcBorders>
            <w:shd w:val="clear" w:color="auto" w:fill="auto"/>
            <w:noWrap/>
            <w:vAlign w:val="center"/>
          </w:tcPr>
          <w:p w14:paraId="232DA0C6"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lastRenderedPageBreak/>
              <w:t>合计</w:t>
            </w:r>
          </w:p>
        </w:tc>
        <w:tc>
          <w:tcPr>
            <w:tcW w:w="749" w:type="pct"/>
            <w:tcBorders>
              <w:bottom w:val="single" w:sz="12" w:space="0" w:color="auto"/>
            </w:tcBorders>
            <w:shd w:val="clear" w:color="auto" w:fill="auto"/>
            <w:noWrap/>
            <w:vAlign w:val="center"/>
          </w:tcPr>
          <w:p w14:paraId="287D9669"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15,056.17</w:t>
            </w:r>
          </w:p>
        </w:tc>
        <w:tc>
          <w:tcPr>
            <w:tcW w:w="2357" w:type="pct"/>
            <w:gridSpan w:val="3"/>
            <w:tcBorders>
              <w:bottom w:val="single" w:sz="12" w:space="0" w:color="auto"/>
            </w:tcBorders>
            <w:shd w:val="clear" w:color="auto" w:fill="auto"/>
            <w:noWrap/>
            <w:vAlign w:val="center"/>
          </w:tcPr>
          <w:p w14:paraId="750002BF"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31,317.91</w:t>
            </w:r>
          </w:p>
        </w:tc>
      </w:tr>
    </w:tbl>
    <w:p w14:paraId="036626E2"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标的公司</w:t>
      </w:r>
      <w:r>
        <w:rPr>
          <w:rFonts w:ascii="Times New Roman" w:hAnsi="Times New Roman" w:cs="Times New Roman"/>
          <w:color w:val="000000"/>
          <w:lang w:val="en-GB"/>
        </w:rPr>
        <w:t>2019</w:t>
      </w:r>
      <w:r>
        <w:rPr>
          <w:rFonts w:ascii="Times New Roman" w:hAnsi="Times New Roman" w:cs="Times New Roman" w:hint="eastAsia"/>
          <w:color w:val="000000"/>
          <w:lang w:val="en-GB"/>
        </w:rPr>
        <w:t>年度及</w:t>
      </w:r>
      <w:r>
        <w:rPr>
          <w:rFonts w:ascii="Times New Roman" w:hAnsi="Times New Roman" w:cs="Times New Roman"/>
          <w:color w:val="000000"/>
          <w:lang w:val="en-GB"/>
        </w:rPr>
        <w:t>2020</w:t>
      </w:r>
      <w:r>
        <w:rPr>
          <w:rFonts w:ascii="Times New Roman" w:hAnsi="Times New Roman" w:cs="Times New Roman" w:hint="eastAsia"/>
          <w:color w:val="000000"/>
          <w:lang w:val="en-GB"/>
        </w:rPr>
        <w:t>年度项目历史平均中标率为</w:t>
      </w:r>
      <w:r>
        <w:rPr>
          <w:rFonts w:ascii="Times New Roman" w:hAnsi="Times New Roman" w:cs="Times New Roman"/>
          <w:color w:val="000000"/>
          <w:lang w:val="en-GB"/>
        </w:rPr>
        <w:t>79%</w:t>
      </w:r>
      <w:r>
        <w:rPr>
          <w:rFonts w:ascii="Times New Roman" w:hAnsi="Times New Roman" w:cs="Times New Roman" w:hint="eastAsia"/>
          <w:color w:val="000000"/>
          <w:lang w:val="en-GB"/>
        </w:rPr>
        <w:t>，根据历史平均中标率水平，预计</w:t>
      </w:r>
      <w:r>
        <w:rPr>
          <w:rFonts w:ascii="Times New Roman" w:hAnsi="Times New Roman" w:cs="Times New Roman"/>
          <w:color w:val="000000"/>
          <w:lang w:val="en-GB"/>
        </w:rPr>
        <w:t>2021</w:t>
      </w:r>
      <w:r>
        <w:rPr>
          <w:rFonts w:ascii="Times New Roman" w:hAnsi="Times New Roman" w:cs="Times New Roman" w:hint="eastAsia"/>
          <w:color w:val="000000"/>
          <w:lang w:val="en-GB"/>
        </w:rPr>
        <w:t>年拟参与投标项目中预计可中标金额约</w:t>
      </w:r>
      <w:r>
        <w:rPr>
          <w:rFonts w:ascii="Times New Roman" w:hAnsi="Times New Roman" w:cs="Times New Roman"/>
          <w:color w:val="000000"/>
          <w:lang w:val="en-GB"/>
        </w:rPr>
        <w:t>9,955.40</w:t>
      </w:r>
      <w:r>
        <w:rPr>
          <w:rFonts w:ascii="Times New Roman" w:hAnsi="Times New Roman" w:cs="Times New Roman" w:hint="eastAsia"/>
          <w:color w:val="000000"/>
          <w:lang w:val="en-GB"/>
        </w:rPr>
        <w:t>万元，同时</w:t>
      </w:r>
      <w:r>
        <w:rPr>
          <w:rFonts w:ascii="Times New Roman" w:hAnsi="Times New Roman" w:cs="Times New Roman"/>
          <w:color w:val="000000"/>
          <w:lang w:val="en-GB"/>
        </w:rPr>
        <w:t>2021</w:t>
      </w:r>
      <w:r>
        <w:rPr>
          <w:rFonts w:ascii="Times New Roman" w:hAnsi="Times New Roman" w:cs="Times New Roman" w:hint="eastAsia"/>
          <w:color w:val="000000"/>
          <w:lang w:val="en-GB"/>
        </w:rPr>
        <w:t>年已签订单可确认收入金额</w:t>
      </w:r>
      <w:r>
        <w:rPr>
          <w:rFonts w:ascii="Times New Roman" w:hAnsi="Times New Roman" w:cs="Times New Roman"/>
          <w:color w:val="000000"/>
          <w:lang w:val="en-GB"/>
        </w:rPr>
        <w:t>20,477.55</w:t>
      </w:r>
      <w:r>
        <w:rPr>
          <w:rFonts w:ascii="Times New Roman" w:hAnsi="Times New Roman" w:cs="Times New Roman" w:hint="eastAsia"/>
          <w:color w:val="000000"/>
          <w:lang w:val="en-GB"/>
        </w:rPr>
        <w:t>万元，获取中标通知书项目可确认收入金额</w:t>
      </w:r>
      <w:r>
        <w:rPr>
          <w:rFonts w:ascii="Times New Roman" w:hAnsi="Times New Roman" w:cs="Times New Roman"/>
          <w:color w:val="000000"/>
          <w:lang w:val="en-GB"/>
        </w:rPr>
        <w:t>884.96</w:t>
      </w:r>
      <w:r>
        <w:rPr>
          <w:rFonts w:ascii="Times New Roman" w:hAnsi="Times New Roman" w:cs="Times New Roman" w:hint="eastAsia"/>
          <w:color w:val="000000"/>
          <w:lang w:val="en-GB"/>
        </w:rPr>
        <w:t>万元，则</w:t>
      </w:r>
      <w:r>
        <w:rPr>
          <w:rFonts w:ascii="Times New Roman" w:hAnsi="Times New Roman" w:cs="Times New Roman"/>
          <w:color w:val="000000"/>
          <w:lang w:val="en-GB"/>
        </w:rPr>
        <w:t>2021</w:t>
      </w:r>
      <w:r>
        <w:rPr>
          <w:rFonts w:ascii="Times New Roman" w:hAnsi="Times New Roman" w:cs="Times New Roman" w:hint="eastAsia"/>
          <w:color w:val="000000"/>
          <w:lang w:val="en-GB"/>
        </w:rPr>
        <w:t>年预计可确认收入金额合计</w:t>
      </w:r>
      <w:r>
        <w:rPr>
          <w:rFonts w:ascii="Times New Roman" w:hAnsi="Times New Roman" w:cs="Times New Roman"/>
          <w:color w:val="000000"/>
          <w:lang w:val="en-GB"/>
        </w:rPr>
        <w:t>31,317.91</w:t>
      </w:r>
      <w:r>
        <w:rPr>
          <w:rFonts w:ascii="Times New Roman" w:hAnsi="Times New Roman" w:cs="Times New Roman" w:hint="eastAsia"/>
          <w:color w:val="000000"/>
          <w:lang w:val="en-GB"/>
        </w:rPr>
        <w:t>万元，高于</w:t>
      </w:r>
      <w:r>
        <w:rPr>
          <w:rFonts w:ascii="Times New Roman" w:hAnsi="Times New Roman" w:cs="Times New Roman"/>
          <w:color w:val="000000"/>
          <w:lang w:val="en-GB"/>
        </w:rPr>
        <w:t>2021</w:t>
      </w:r>
      <w:r>
        <w:rPr>
          <w:rFonts w:ascii="Times New Roman" w:hAnsi="Times New Roman" w:cs="Times New Roman" w:hint="eastAsia"/>
          <w:color w:val="000000"/>
          <w:lang w:val="en-GB"/>
        </w:rPr>
        <w:t>年预测收入规模</w:t>
      </w:r>
      <w:r>
        <w:rPr>
          <w:rFonts w:ascii="Times New Roman" w:hAnsi="Times New Roman" w:cs="Times New Roman"/>
          <w:color w:val="000000"/>
          <w:lang w:val="en-GB"/>
        </w:rPr>
        <w:t>29,249.24</w:t>
      </w:r>
      <w:r>
        <w:rPr>
          <w:rFonts w:ascii="Times New Roman" w:hAnsi="Times New Roman" w:cs="Times New Roman" w:hint="eastAsia"/>
          <w:color w:val="000000"/>
          <w:lang w:val="en-GB"/>
        </w:rPr>
        <w:t>万元，预测收入具有可实现性。</w:t>
      </w:r>
    </w:p>
    <w:p w14:paraId="00EE70E4" w14:textId="77777777" w:rsidR="00C02929" w:rsidRDefault="006116D1">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三、市场竞争及未来市场容量情况</w:t>
      </w:r>
    </w:p>
    <w:p w14:paraId="566D8490" w14:textId="77777777" w:rsidR="00C02929" w:rsidRDefault="006116D1">
      <w:pPr>
        <w:pStyle w:val="affffd"/>
        <w:spacing w:before="156"/>
        <w:ind w:firstLine="480"/>
        <w:rPr>
          <w:bCs/>
          <w:lang w:val="en-GB"/>
        </w:rPr>
      </w:pPr>
      <w:r>
        <w:rPr>
          <w:rFonts w:hint="eastAsia"/>
          <w:bCs/>
          <w:lang w:val="en-GB"/>
        </w:rPr>
        <w:t>由于我国工业自动化发展起步较晚，核心技术创新能力薄弱。跨国工业自动化企业凭借其质量、资金及技术优势，牢牢占据着高端市场。随着我国自动化行业近年的发展，一批具有较强自主创新能力的优秀企业已经出现，并且凭借产品创新、响应速度及个性化服务，正逐步形成较强的市场竞争力。</w:t>
      </w:r>
    </w:p>
    <w:p w14:paraId="428368D2" w14:textId="77777777" w:rsidR="00C02929" w:rsidRDefault="006116D1">
      <w:pPr>
        <w:pStyle w:val="affffd"/>
        <w:spacing w:before="156"/>
        <w:ind w:firstLine="480"/>
        <w:rPr>
          <w:bCs/>
          <w:lang w:val="en-GB"/>
        </w:rPr>
      </w:pPr>
      <w:r>
        <w:rPr>
          <w:rFonts w:hint="eastAsia"/>
          <w:bCs/>
          <w:lang w:val="en-GB"/>
        </w:rPr>
        <w:t>与国内企业相比，国外企业在技术、品牌及资金方面具有较大优势，但在成本、服务及响应速度方面存在一定劣势，因此国外企业加快了本土化进程，通过建立独资或合资企业，逐步缩小了成本、响应速度、服务等方面与国内企业的差距。</w:t>
      </w:r>
    </w:p>
    <w:p w14:paraId="465923CB" w14:textId="77777777" w:rsidR="00C02929" w:rsidRDefault="006116D1">
      <w:pPr>
        <w:pStyle w:val="affffd"/>
        <w:spacing w:before="156"/>
        <w:ind w:firstLine="480"/>
        <w:rPr>
          <w:bCs/>
          <w:lang w:val="en-GB"/>
        </w:rPr>
      </w:pPr>
      <w:r>
        <w:rPr>
          <w:rFonts w:hint="eastAsia"/>
          <w:bCs/>
          <w:lang w:val="en-GB"/>
        </w:rPr>
        <w:t>在非标自动化领域，研发设计需考虑客户的生产线、生产工艺、生产环境等因素，并根据客户定制要求进行零部件、模块的选配和组合，因此对行业内厂商的配套设计能力、项目执行经验、客户服务能力的要求较高。</w:t>
      </w:r>
    </w:p>
    <w:p w14:paraId="64BF04FA"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（一）行业内主要企业</w:t>
      </w:r>
    </w:p>
    <w:p w14:paraId="0F2EC9AF" w14:textId="77777777" w:rsidR="00C02929" w:rsidRDefault="006116D1">
      <w:pPr>
        <w:pStyle w:val="affffd"/>
        <w:spacing w:before="156"/>
        <w:ind w:firstLine="480"/>
        <w:rPr>
          <w:bCs/>
          <w:lang w:val="en-GB"/>
        </w:rPr>
      </w:pPr>
      <w:r>
        <w:rPr>
          <w:rFonts w:hint="eastAsia"/>
          <w:bCs/>
          <w:lang w:val="en-GB"/>
        </w:rPr>
        <w:t>标的公司所处行业内有多家竞争公司，国内行业内主要企业有广东拓斯达科技股份有限公司、杭州永创智能设备股份有限公司、快克智能装备股份有限公司、沈阳新松机器人自动化股份有限公司、南京埃斯顿自动化股份有限公司等。</w:t>
      </w:r>
    </w:p>
    <w:p w14:paraId="10FBF068" w14:textId="77777777" w:rsidR="00C02929" w:rsidRDefault="006116D1">
      <w:pPr>
        <w:pStyle w:val="affffd"/>
        <w:spacing w:beforeLines="0" w:before="156"/>
        <w:ind w:firstLine="482"/>
        <w:rPr>
          <w:b/>
          <w:bCs/>
          <w:lang w:val="en-GB"/>
        </w:rPr>
      </w:pPr>
      <w:r>
        <w:rPr>
          <w:rFonts w:hint="eastAsia"/>
          <w:b/>
          <w:bCs/>
        </w:rPr>
        <w:t>1</w:t>
      </w:r>
      <w:r>
        <w:rPr>
          <w:rFonts w:hint="eastAsia"/>
          <w:b/>
          <w:bCs/>
        </w:rPr>
        <w:t>、</w:t>
      </w:r>
      <w:r>
        <w:rPr>
          <w:rFonts w:hint="eastAsia"/>
          <w:b/>
          <w:bCs/>
          <w:lang w:val="en-GB"/>
        </w:rPr>
        <w:t>广东拓斯达科技股份有限公司（股票代码：</w:t>
      </w:r>
      <w:r>
        <w:rPr>
          <w:rFonts w:hint="eastAsia"/>
          <w:b/>
          <w:bCs/>
          <w:lang w:val="en-GB"/>
        </w:rPr>
        <w:t>300607</w:t>
      </w:r>
      <w:r>
        <w:rPr>
          <w:rFonts w:hint="eastAsia"/>
          <w:b/>
          <w:bCs/>
          <w:lang w:val="en-GB"/>
        </w:rPr>
        <w:t>）</w:t>
      </w:r>
    </w:p>
    <w:p w14:paraId="2C42713E" w14:textId="77777777" w:rsidR="00C02929" w:rsidRDefault="006116D1">
      <w:pPr>
        <w:pStyle w:val="affffd"/>
        <w:spacing w:before="156"/>
        <w:ind w:firstLine="480"/>
        <w:rPr>
          <w:bCs/>
          <w:lang w:val="en-GB"/>
        </w:rPr>
      </w:pPr>
      <w:r>
        <w:rPr>
          <w:rFonts w:hint="eastAsia"/>
          <w:bCs/>
          <w:lang w:val="en-GB"/>
        </w:rPr>
        <w:t>拓斯达成立于</w:t>
      </w:r>
      <w:r>
        <w:rPr>
          <w:rFonts w:hint="eastAsia"/>
          <w:bCs/>
          <w:lang w:val="en-GB"/>
        </w:rPr>
        <w:t>2007</w:t>
      </w:r>
      <w:r>
        <w:rPr>
          <w:rFonts w:hint="eastAsia"/>
          <w:bCs/>
          <w:lang w:val="en-GB"/>
        </w:rPr>
        <w:t>年</w:t>
      </w:r>
      <w:r>
        <w:rPr>
          <w:rFonts w:hint="eastAsia"/>
          <w:bCs/>
          <w:lang w:val="en-GB"/>
        </w:rPr>
        <w:t>6</w:t>
      </w:r>
      <w:r>
        <w:rPr>
          <w:rFonts w:hint="eastAsia"/>
          <w:bCs/>
          <w:lang w:val="en-GB"/>
        </w:rPr>
        <w:t>月</w:t>
      </w:r>
      <w:r>
        <w:rPr>
          <w:rFonts w:hint="eastAsia"/>
          <w:bCs/>
          <w:lang w:val="en-GB"/>
        </w:rPr>
        <w:t>1</w:t>
      </w:r>
      <w:r>
        <w:rPr>
          <w:rFonts w:hint="eastAsia"/>
          <w:bCs/>
          <w:lang w:val="en-GB"/>
        </w:rPr>
        <w:t>日，</w:t>
      </w:r>
      <w:r>
        <w:rPr>
          <w:rFonts w:hint="eastAsia"/>
          <w:bCs/>
          <w:lang w:val="en-GB"/>
        </w:rPr>
        <w:t>2017</w:t>
      </w:r>
      <w:r>
        <w:rPr>
          <w:rFonts w:hint="eastAsia"/>
          <w:bCs/>
          <w:lang w:val="en-GB"/>
        </w:rPr>
        <w:t>年</w:t>
      </w:r>
      <w:r>
        <w:rPr>
          <w:rFonts w:hint="eastAsia"/>
          <w:bCs/>
          <w:lang w:val="en-GB"/>
        </w:rPr>
        <w:t>2</w:t>
      </w:r>
      <w:r>
        <w:rPr>
          <w:rFonts w:hint="eastAsia"/>
          <w:bCs/>
          <w:lang w:val="en-GB"/>
        </w:rPr>
        <w:t>月在深交所创业板上市，是一家专业为下游制造业客户提供工业自动化整体解决方案及相关设备的高新技术企</w:t>
      </w:r>
      <w:r>
        <w:rPr>
          <w:rFonts w:hint="eastAsia"/>
          <w:bCs/>
          <w:lang w:val="en-GB"/>
        </w:rPr>
        <w:lastRenderedPageBreak/>
        <w:t>业。拓斯达的主要产品及服务包括机械手及配套方案、多关节机器人应用方案、注塑机辅机设备、注塑自动化供料及水电气系统等四大系列，广泛应用于</w:t>
      </w:r>
      <w:r>
        <w:rPr>
          <w:rFonts w:hint="eastAsia"/>
          <w:bCs/>
          <w:lang w:val="en-GB"/>
        </w:rPr>
        <w:t>3C</w:t>
      </w:r>
      <w:r>
        <w:rPr>
          <w:rFonts w:hint="eastAsia"/>
          <w:bCs/>
          <w:lang w:val="en-GB"/>
        </w:rPr>
        <w:t>（计算机、通讯和消费电子）、家用电器、汽车零部件、医疗器械等众多领域。经过多年发展，拓斯达凭借自身先进的技术研发能力、快速的客户响应能力及丰富的行业个性化应用经验，正逐渐成为国内工业自动化相关领域的领跑者。</w:t>
      </w:r>
    </w:p>
    <w:p w14:paraId="0BFF187D" w14:textId="77777777" w:rsidR="00C02929" w:rsidRDefault="006116D1">
      <w:pPr>
        <w:pStyle w:val="affffd"/>
        <w:spacing w:beforeLines="0" w:before="156"/>
        <w:ind w:firstLine="482"/>
        <w:rPr>
          <w:b/>
          <w:bCs/>
          <w:lang w:val="en-GB"/>
        </w:rPr>
      </w:pPr>
      <w:r>
        <w:rPr>
          <w:rFonts w:hint="eastAsia"/>
          <w:b/>
          <w:bCs/>
        </w:rPr>
        <w:t>2</w:t>
      </w:r>
      <w:r>
        <w:rPr>
          <w:rFonts w:hint="eastAsia"/>
          <w:b/>
          <w:bCs/>
        </w:rPr>
        <w:t>、</w:t>
      </w:r>
      <w:r>
        <w:rPr>
          <w:rFonts w:hint="eastAsia"/>
          <w:b/>
          <w:bCs/>
          <w:lang w:val="en-GB"/>
        </w:rPr>
        <w:t>杭州永创智能设备股份有限公司（股票代码：</w:t>
      </w:r>
      <w:r>
        <w:rPr>
          <w:rFonts w:hint="eastAsia"/>
          <w:b/>
          <w:bCs/>
          <w:lang w:val="en-GB"/>
        </w:rPr>
        <w:t>603901</w:t>
      </w:r>
      <w:r>
        <w:rPr>
          <w:rFonts w:hint="eastAsia"/>
          <w:b/>
          <w:bCs/>
          <w:lang w:val="en-GB"/>
        </w:rPr>
        <w:t>）</w:t>
      </w:r>
    </w:p>
    <w:p w14:paraId="545B3964" w14:textId="77777777" w:rsidR="00C02929" w:rsidRDefault="006116D1">
      <w:pPr>
        <w:pStyle w:val="affffd"/>
        <w:spacing w:before="156"/>
        <w:ind w:firstLine="480"/>
        <w:rPr>
          <w:bCs/>
          <w:lang w:val="en-GB"/>
        </w:rPr>
      </w:pPr>
      <w:r>
        <w:rPr>
          <w:rFonts w:hint="eastAsia"/>
          <w:bCs/>
          <w:lang w:val="en-GB"/>
        </w:rPr>
        <w:t>永创智能成立于</w:t>
      </w:r>
      <w:r>
        <w:rPr>
          <w:rFonts w:hint="eastAsia"/>
          <w:bCs/>
          <w:lang w:val="en-GB"/>
        </w:rPr>
        <w:t>2002</w:t>
      </w:r>
      <w:r>
        <w:rPr>
          <w:rFonts w:hint="eastAsia"/>
          <w:bCs/>
          <w:lang w:val="en-GB"/>
        </w:rPr>
        <w:t>年</w:t>
      </w:r>
      <w:r>
        <w:rPr>
          <w:rFonts w:hint="eastAsia"/>
          <w:bCs/>
          <w:lang w:val="en-GB"/>
        </w:rPr>
        <w:t>11</w:t>
      </w:r>
      <w:r>
        <w:rPr>
          <w:rFonts w:hint="eastAsia"/>
          <w:bCs/>
          <w:lang w:val="en-GB"/>
        </w:rPr>
        <w:t>月</w:t>
      </w:r>
      <w:r>
        <w:rPr>
          <w:rFonts w:hint="eastAsia"/>
          <w:bCs/>
          <w:lang w:val="en-GB"/>
        </w:rPr>
        <w:t>7</w:t>
      </w:r>
      <w:r>
        <w:rPr>
          <w:rFonts w:hint="eastAsia"/>
          <w:bCs/>
          <w:lang w:val="en-GB"/>
        </w:rPr>
        <w:t>日，</w:t>
      </w:r>
      <w:r>
        <w:rPr>
          <w:rFonts w:hint="eastAsia"/>
          <w:bCs/>
          <w:lang w:val="en-GB"/>
        </w:rPr>
        <w:t>2015</w:t>
      </w:r>
      <w:r>
        <w:rPr>
          <w:rFonts w:hint="eastAsia"/>
          <w:bCs/>
          <w:lang w:val="en-GB"/>
        </w:rPr>
        <w:t>年</w:t>
      </w:r>
      <w:r>
        <w:rPr>
          <w:rFonts w:hint="eastAsia"/>
          <w:bCs/>
          <w:lang w:val="en-GB"/>
        </w:rPr>
        <w:t>5</w:t>
      </w:r>
      <w:r>
        <w:rPr>
          <w:rFonts w:hint="eastAsia"/>
          <w:bCs/>
          <w:lang w:val="en-GB"/>
        </w:rPr>
        <w:t>月</w:t>
      </w:r>
      <w:r>
        <w:rPr>
          <w:rFonts w:hint="eastAsia"/>
          <w:bCs/>
          <w:lang w:val="en-GB"/>
        </w:rPr>
        <w:t>29</w:t>
      </w:r>
      <w:r>
        <w:rPr>
          <w:rFonts w:hint="eastAsia"/>
          <w:bCs/>
          <w:lang w:val="en-GB"/>
        </w:rPr>
        <w:t>日于上交所主板上市，永创智能是全国智能包装装备系统领域的行业知名企业，国内大型整套包装生产线解决方案提供商，为客户提供离散</w:t>
      </w:r>
      <w:r>
        <w:rPr>
          <w:rFonts w:hint="eastAsia"/>
          <w:bCs/>
          <w:lang w:val="en-GB"/>
        </w:rPr>
        <w:t>/</w:t>
      </w:r>
      <w:r>
        <w:rPr>
          <w:rFonts w:hint="eastAsia"/>
          <w:bCs/>
          <w:lang w:val="en-GB"/>
        </w:rPr>
        <w:t>混合型智能包装系统。</w:t>
      </w:r>
    </w:p>
    <w:p w14:paraId="4AB5A431" w14:textId="77777777" w:rsidR="00C02929" w:rsidRDefault="006116D1">
      <w:pPr>
        <w:pStyle w:val="affffd"/>
        <w:spacing w:beforeLines="0" w:before="156"/>
        <w:ind w:firstLine="482"/>
        <w:rPr>
          <w:b/>
          <w:bCs/>
          <w:lang w:val="en-GB"/>
        </w:rPr>
      </w:pPr>
      <w:r>
        <w:rPr>
          <w:rFonts w:hint="eastAsia"/>
          <w:b/>
          <w:bCs/>
        </w:rPr>
        <w:t>3</w:t>
      </w:r>
      <w:r>
        <w:rPr>
          <w:rFonts w:hint="eastAsia"/>
          <w:b/>
          <w:bCs/>
        </w:rPr>
        <w:t>、</w:t>
      </w:r>
      <w:r>
        <w:rPr>
          <w:rFonts w:hint="eastAsia"/>
          <w:b/>
          <w:bCs/>
          <w:lang w:val="en-GB"/>
        </w:rPr>
        <w:t>快克智能装备股份有限公司（股票代码：</w:t>
      </w:r>
      <w:r>
        <w:rPr>
          <w:rFonts w:hint="eastAsia"/>
          <w:b/>
          <w:bCs/>
          <w:lang w:val="en-GB"/>
        </w:rPr>
        <w:t>603203</w:t>
      </w:r>
      <w:r>
        <w:rPr>
          <w:rFonts w:hint="eastAsia"/>
          <w:b/>
          <w:bCs/>
          <w:lang w:val="en-GB"/>
        </w:rPr>
        <w:t>）</w:t>
      </w:r>
    </w:p>
    <w:p w14:paraId="3568D719" w14:textId="77777777" w:rsidR="00C02929" w:rsidRDefault="006116D1">
      <w:pPr>
        <w:pStyle w:val="affffd"/>
        <w:spacing w:before="156"/>
        <w:ind w:firstLine="480"/>
        <w:rPr>
          <w:bCs/>
          <w:lang w:val="en-GB"/>
        </w:rPr>
      </w:pPr>
      <w:r>
        <w:rPr>
          <w:rFonts w:hint="eastAsia"/>
          <w:bCs/>
          <w:lang w:val="en-GB"/>
        </w:rPr>
        <w:t>快克股份成立于</w:t>
      </w:r>
      <w:r>
        <w:rPr>
          <w:rFonts w:hint="eastAsia"/>
          <w:bCs/>
          <w:lang w:val="en-GB"/>
        </w:rPr>
        <w:t>2006</w:t>
      </w:r>
      <w:r>
        <w:rPr>
          <w:rFonts w:hint="eastAsia"/>
          <w:bCs/>
          <w:lang w:val="en-GB"/>
        </w:rPr>
        <w:t>年</w:t>
      </w:r>
      <w:r>
        <w:rPr>
          <w:rFonts w:hint="eastAsia"/>
          <w:bCs/>
          <w:lang w:val="en-GB"/>
        </w:rPr>
        <w:t>6</w:t>
      </w:r>
      <w:r>
        <w:rPr>
          <w:rFonts w:hint="eastAsia"/>
          <w:bCs/>
          <w:lang w:val="en-GB"/>
        </w:rPr>
        <w:t>月</w:t>
      </w:r>
      <w:r>
        <w:rPr>
          <w:rFonts w:hint="eastAsia"/>
          <w:bCs/>
          <w:lang w:val="en-GB"/>
        </w:rPr>
        <w:t>28</w:t>
      </w:r>
      <w:r>
        <w:rPr>
          <w:rFonts w:hint="eastAsia"/>
          <w:bCs/>
          <w:lang w:val="en-GB"/>
        </w:rPr>
        <w:t>日，</w:t>
      </w:r>
      <w:r>
        <w:rPr>
          <w:rFonts w:hint="eastAsia"/>
          <w:bCs/>
          <w:lang w:val="en-GB"/>
        </w:rPr>
        <w:t>2016</w:t>
      </w:r>
      <w:r>
        <w:rPr>
          <w:rFonts w:hint="eastAsia"/>
          <w:bCs/>
          <w:lang w:val="en-GB"/>
        </w:rPr>
        <w:t>年</w:t>
      </w:r>
      <w:r>
        <w:rPr>
          <w:rFonts w:hint="eastAsia"/>
          <w:bCs/>
          <w:lang w:val="en-GB"/>
        </w:rPr>
        <w:t>11</w:t>
      </w:r>
      <w:r>
        <w:rPr>
          <w:rFonts w:hint="eastAsia"/>
          <w:bCs/>
          <w:lang w:val="en-GB"/>
        </w:rPr>
        <w:t>月</w:t>
      </w:r>
      <w:r>
        <w:rPr>
          <w:rFonts w:hint="eastAsia"/>
          <w:bCs/>
          <w:lang w:val="en-GB"/>
        </w:rPr>
        <w:t>8</w:t>
      </w:r>
      <w:r>
        <w:rPr>
          <w:rFonts w:hint="eastAsia"/>
          <w:bCs/>
          <w:lang w:val="en-GB"/>
        </w:rPr>
        <w:t>日于上交所主板上市。主营业务为以锡焊技术为核心的电子装联专用设备的研发、生产和销售，提供的产品和服务包括锡焊工具和机器人、装联作业的关联性设备以及柔性自动化生产线。</w:t>
      </w:r>
    </w:p>
    <w:p w14:paraId="1210B81F" w14:textId="77777777" w:rsidR="00C02929" w:rsidRDefault="006116D1">
      <w:pPr>
        <w:pStyle w:val="affffd"/>
        <w:adjustRightInd w:val="0"/>
        <w:snapToGrid w:val="0"/>
        <w:spacing w:beforeLines="0" w:before="156"/>
        <w:ind w:firstLine="482"/>
        <w:rPr>
          <w:b/>
          <w:bCs/>
        </w:rPr>
      </w:pPr>
      <w:r>
        <w:rPr>
          <w:rFonts w:hint="eastAsia"/>
          <w:b/>
          <w:bCs/>
        </w:rPr>
        <w:t>4</w:t>
      </w:r>
      <w:r>
        <w:rPr>
          <w:rFonts w:hint="eastAsia"/>
          <w:b/>
          <w:bCs/>
        </w:rPr>
        <w:t>、沈阳新松机器人自动化股份有限公司（股票代码：</w:t>
      </w:r>
      <w:r>
        <w:rPr>
          <w:rFonts w:hint="eastAsia"/>
          <w:b/>
          <w:bCs/>
        </w:rPr>
        <w:t>300024</w:t>
      </w:r>
      <w:r>
        <w:rPr>
          <w:rFonts w:hint="eastAsia"/>
          <w:b/>
          <w:bCs/>
        </w:rPr>
        <w:t>）</w:t>
      </w:r>
    </w:p>
    <w:p w14:paraId="26742F2A" w14:textId="77777777" w:rsidR="00C02929" w:rsidRDefault="006116D1">
      <w:pPr>
        <w:pStyle w:val="affffd"/>
        <w:spacing w:before="156"/>
        <w:ind w:firstLine="480"/>
        <w:rPr>
          <w:bCs/>
          <w:lang w:val="en-GB"/>
        </w:rPr>
      </w:pPr>
      <w:r>
        <w:rPr>
          <w:rFonts w:hint="eastAsia"/>
          <w:bCs/>
          <w:lang w:val="en-GB"/>
        </w:rPr>
        <w:t>沈阳新松机器人自动化股份有限公司成立于</w:t>
      </w:r>
      <w:r>
        <w:rPr>
          <w:bCs/>
          <w:lang w:val="en-GB"/>
        </w:rPr>
        <w:t>2000</w:t>
      </w:r>
      <w:r>
        <w:rPr>
          <w:rFonts w:hint="eastAsia"/>
          <w:bCs/>
          <w:lang w:val="en-GB"/>
        </w:rPr>
        <w:t>年</w:t>
      </w:r>
      <w:r>
        <w:rPr>
          <w:bCs/>
          <w:lang w:val="en-GB"/>
        </w:rPr>
        <w:t>4</w:t>
      </w:r>
      <w:r>
        <w:rPr>
          <w:rFonts w:hint="eastAsia"/>
          <w:bCs/>
          <w:lang w:val="en-GB"/>
        </w:rPr>
        <w:t>月</w:t>
      </w:r>
      <w:r>
        <w:rPr>
          <w:bCs/>
          <w:lang w:val="en-GB"/>
        </w:rPr>
        <w:t>30</w:t>
      </w:r>
      <w:r>
        <w:rPr>
          <w:rFonts w:hint="eastAsia"/>
          <w:bCs/>
          <w:lang w:val="en-GB"/>
        </w:rPr>
        <w:t>日，</w:t>
      </w:r>
      <w:r>
        <w:rPr>
          <w:bCs/>
          <w:lang w:val="en-GB"/>
        </w:rPr>
        <w:t>2009</w:t>
      </w:r>
      <w:r>
        <w:rPr>
          <w:rFonts w:hint="eastAsia"/>
          <w:bCs/>
          <w:lang w:val="en-GB"/>
        </w:rPr>
        <w:t>年</w:t>
      </w:r>
      <w:r>
        <w:rPr>
          <w:bCs/>
          <w:lang w:val="en-GB"/>
        </w:rPr>
        <w:t>10</w:t>
      </w:r>
      <w:r>
        <w:rPr>
          <w:rFonts w:hint="eastAsia"/>
          <w:bCs/>
          <w:lang w:val="en-GB"/>
        </w:rPr>
        <w:t>月</w:t>
      </w:r>
      <w:r>
        <w:rPr>
          <w:bCs/>
          <w:lang w:val="en-GB"/>
        </w:rPr>
        <w:t>30</w:t>
      </w:r>
      <w:r>
        <w:rPr>
          <w:rFonts w:hint="eastAsia"/>
          <w:bCs/>
          <w:lang w:val="en-GB"/>
        </w:rPr>
        <w:t>日于深交所创业板上市。沈阳新松机器人自动化股份有限公司的机器人产品线涵盖工业机器人、洁净</w:t>
      </w:r>
      <w:r>
        <w:rPr>
          <w:bCs/>
          <w:lang w:val="en-GB"/>
        </w:rPr>
        <w:t>(</w:t>
      </w:r>
      <w:r>
        <w:rPr>
          <w:rFonts w:hint="eastAsia"/>
          <w:bCs/>
          <w:lang w:val="en-GB"/>
        </w:rPr>
        <w:t>真空</w:t>
      </w:r>
      <w:r>
        <w:rPr>
          <w:bCs/>
          <w:lang w:val="en-GB"/>
        </w:rPr>
        <w:t>)</w:t>
      </w:r>
      <w:r>
        <w:rPr>
          <w:rFonts w:hint="eastAsia"/>
          <w:bCs/>
          <w:lang w:val="en-GB"/>
        </w:rPr>
        <w:t>机器人、移动机器人、特种机器人及智能服务机器人五大系列。在高端智能装备方面涉及智能物流、自动化成套装备、洁净装备、激光技术装备、轨道交通、节能环保装备、能源装备、特种装备等产业。</w:t>
      </w:r>
    </w:p>
    <w:p w14:paraId="5242370C" w14:textId="77777777" w:rsidR="00C02929" w:rsidRDefault="006116D1">
      <w:pPr>
        <w:pStyle w:val="affffd"/>
        <w:adjustRightInd w:val="0"/>
        <w:snapToGrid w:val="0"/>
        <w:spacing w:beforeLines="0" w:before="156"/>
        <w:ind w:firstLine="482"/>
        <w:rPr>
          <w:b/>
          <w:bCs/>
        </w:rPr>
      </w:pPr>
      <w:r>
        <w:rPr>
          <w:rFonts w:hint="eastAsia"/>
          <w:b/>
          <w:bCs/>
        </w:rPr>
        <w:t>5</w:t>
      </w:r>
      <w:r>
        <w:rPr>
          <w:rFonts w:hint="eastAsia"/>
          <w:b/>
          <w:bCs/>
        </w:rPr>
        <w:t>、南京埃斯顿自动化股份有限公司（股票代码：</w:t>
      </w:r>
      <w:r>
        <w:rPr>
          <w:rFonts w:hint="eastAsia"/>
          <w:b/>
          <w:bCs/>
        </w:rPr>
        <w:t>002747</w:t>
      </w:r>
      <w:r>
        <w:rPr>
          <w:rFonts w:hint="eastAsia"/>
          <w:b/>
          <w:bCs/>
        </w:rPr>
        <w:t>）</w:t>
      </w:r>
    </w:p>
    <w:p w14:paraId="5146AA90"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南京埃斯顿自动化股份有限公司成立于</w:t>
      </w:r>
      <w:r>
        <w:rPr>
          <w:rFonts w:ascii="Times New Roman" w:hAnsi="Times New Roman" w:cs="Times New Roman" w:hint="eastAsia"/>
        </w:rPr>
        <w:t>2002</w:t>
      </w:r>
      <w:r>
        <w:rPr>
          <w:rFonts w:ascii="Times New Roman" w:hAnsi="Times New Roman" w:cs="Times New Roman" w:hint="eastAsia"/>
        </w:rPr>
        <w:t>年</w:t>
      </w:r>
      <w:r>
        <w:rPr>
          <w:rFonts w:ascii="Times New Roman" w:hAnsi="Times New Roman" w:cs="Times New Roman" w:hint="eastAsia"/>
        </w:rPr>
        <w:t>2</w:t>
      </w:r>
      <w:r>
        <w:rPr>
          <w:rFonts w:ascii="Times New Roman" w:hAnsi="Times New Roman" w:cs="Times New Roman" w:hint="eastAsia"/>
        </w:rPr>
        <w:t>月</w:t>
      </w:r>
      <w:r>
        <w:rPr>
          <w:rFonts w:ascii="Times New Roman" w:hAnsi="Times New Roman" w:cs="Times New Roman" w:hint="eastAsia"/>
        </w:rPr>
        <w:t>26</w:t>
      </w:r>
      <w:r>
        <w:rPr>
          <w:rFonts w:ascii="Times New Roman" w:hAnsi="Times New Roman" w:cs="Times New Roman" w:hint="eastAsia"/>
        </w:rPr>
        <w:t>日，</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3</w:t>
      </w:r>
      <w:r>
        <w:rPr>
          <w:rFonts w:ascii="Times New Roman" w:hAnsi="Times New Roman" w:cs="Times New Roman" w:hint="eastAsia"/>
        </w:rPr>
        <w:t>月</w:t>
      </w:r>
      <w:r>
        <w:rPr>
          <w:rFonts w:ascii="Times New Roman" w:hAnsi="Times New Roman" w:cs="Times New Roman" w:hint="eastAsia"/>
        </w:rPr>
        <w:t>20</w:t>
      </w:r>
      <w:r>
        <w:rPr>
          <w:rFonts w:ascii="Times New Roman" w:hAnsi="Times New Roman" w:cs="Times New Roman" w:hint="eastAsia"/>
        </w:rPr>
        <w:t>日于深交所中小板上市，埃斯顿业务主要分为两个核心业务模块：一是自动化核心部件及运动控制系统，二是工业机器人及智能制造系统。</w:t>
      </w:r>
    </w:p>
    <w:p w14:paraId="1F0A4309"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bidi="ar"/>
        </w:rPr>
      </w:pPr>
      <w:r>
        <w:rPr>
          <w:rFonts w:ascii="Times New Roman" w:hAnsi="Times New Roman" w:cs="Times New Roman" w:hint="eastAsia"/>
          <w:b/>
          <w:color w:val="000000"/>
          <w:lang w:bidi="ar"/>
        </w:rPr>
        <w:t>（二）市场规模及供需变化</w:t>
      </w:r>
    </w:p>
    <w:p w14:paraId="67BA793F"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color w:val="000000"/>
          <w:lang w:val="en-GB"/>
        </w:rPr>
        <w:lastRenderedPageBreak/>
        <w:t>2008-2019</w:t>
      </w:r>
      <w:r>
        <w:rPr>
          <w:rFonts w:ascii="Times New Roman" w:hAnsi="Times New Roman" w:cs="Times New Roman" w:hint="eastAsia"/>
          <w:color w:val="000000"/>
          <w:lang w:val="en-GB"/>
        </w:rPr>
        <w:t>年中国城镇非私营单位就业人员年平均工资由</w:t>
      </w:r>
      <w:r>
        <w:rPr>
          <w:rFonts w:ascii="Times New Roman" w:hAnsi="Times New Roman" w:cs="Times New Roman"/>
          <w:color w:val="000000"/>
          <w:lang w:val="en-GB"/>
        </w:rPr>
        <w:t>2.89</w:t>
      </w:r>
      <w:r>
        <w:rPr>
          <w:rFonts w:ascii="Times New Roman" w:hAnsi="Times New Roman" w:cs="Times New Roman" w:hint="eastAsia"/>
          <w:color w:val="000000"/>
          <w:lang w:val="en-GB"/>
        </w:rPr>
        <w:t>万元增长至</w:t>
      </w:r>
      <w:r>
        <w:rPr>
          <w:rFonts w:ascii="Times New Roman" w:hAnsi="Times New Roman" w:cs="Times New Roman"/>
          <w:color w:val="000000"/>
          <w:lang w:val="en-GB"/>
        </w:rPr>
        <w:t>9.05</w:t>
      </w:r>
      <w:r>
        <w:rPr>
          <w:rFonts w:ascii="Times New Roman" w:hAnsi="Times New Roman" w:cs="Times New Roman" w:hint="eastAsia"/>
          <w:color w:val="000000"/>
          <w:lang w:val="en-GB"/>
        </w:rPr>
        <w:t>万元，复合增速达</w:t>
      </w:r>
      <w:r>
        <w:rPr>
          <w:rFonts w:ascii="Times New Roman" w:hAnsi="Times New Roman" w:cs="Times New Roman"/>
          <w:color w:val="000000"/>
          <w:lang w:val="en-GB"/>
        </w:rPr>
        <w:t>10.94%</w:t>
      </w:r>
      <w:r>
        <w:rPr>
          <w:rFonts w:ascii="Times New Roman" w:hAnsi="Times New Roman" w:cs="Times New Roman" w:hint="eastAsia"/>
          <w:color w:val="000000"/>
          <w:lang w:val="en-GB"/>
        </w:rPr>
        <w:t>；城镇私营单位就业人员年平均工资由</w:t>
      </w:r>
      <w:r>
        <w:rPr>
          <w:rFonts w:ascii="Times New Roman" w:hAnsi="Times New Roman" w:cs="Times New Roman"/>
          <w:color w:val="000000"/>
          <w:lang w:val="en-GB"/>
        </w:rPr>
        <w:t>1.71</w:t>
      </w:r>
      <w:r>
        <w:rPr>
          <w:rFonts w:ascii="Times New Roman" w:hAnsi="Times New Roman" w:cs="Times New Roman" w:hint="eastAsia"/>
          <w:color w:val="000000"/>
          <w:lang w:val="en-GB"/>
        </w:rPr>
        <w:t>万元增长至</w:t>
      </w:r>
      <w:r>
        <w:rPr>
          <w:rFonts w:ascii="Times New Roman" w:hAnsi="Times New Roman" w:cs="Times New Roman"/>
          <w:color w:val="000000"/>
          <w:lang w:val="en-GB"/>
        </w:rPr>
        <w:t>5.36</w:t>
      </w:r>
      <w:r>
        <w:rPr>
          <w:rFonts w:ascii="Times New Roman" w:hAnsi="Times New Roman" w:cs="Times New Roman" w:hint="eastAsia"/>
          <w:color w:val="000000"/>
          <w:lang w:val="en-GB"/>
        </w:rPr>
        <w:t>万元，复合增速达</w:t>
      </w:r>
      <w:r>
        <w:rPr>
          <w:rFonts w:ascii="Times New Roman" w:hAnsi="Times New Roman" w:cs="Times New Roman"/>
          <w:color w:val="000000"/>
          <w:lang w:val="en-GB"/>
        </w:rPr>
        <w:t>10.96%</w:t>
      </w:r>
      <w:r>
        <w:rPr>
          <w:rFonts w:ascii="Times New Roman" w:hAnsi="Times New Roman" w:cs="Times New Roman" w:hint="eastAsia"/>
          <w:color w:val="000000"/>
          <w:lang w:val="en-GB"/>
        </w:rPr>
        <w:t>。随着劳动力成本的快速上升，自动化生产转型升级需求迫切。</w:t>
      </w:r>
      <w:r>
        <w:rPr>
          <w:rFonts w:ascii="Times New Roman" w:hAnsi="Times New Roman" w:cs="Times New Roman"/>
          <w:color w:val="000000"/>
          <w:lang w:val="en-GB"/>
        </w:rPr>
        <w:t>2019</w:t>
      </w:r>
      <w:r>
        <w:rPr>
          <w:rFonts w:ascii="Times New Roman" w:hAnsi="Times New Roman" w:cs="Times New Roman" w:hint="eastAsia"/>
          <w:color w:val="000000"/>
          <w:lang w:val="en-GB"/>
        </w:rPr>
        <w:t>年全球工业自动化市场规模超</w:t>
      </w:r>
      <w:r>
        <w:rPr>
          <w:rFonts w:ascii="Times New Roman" w:hAnsi="Times New Roman" w:cs="Times New Roman"/>
          <w:color w:val="000000"/>
          <w:lang w:val="en-GB"/>
        </w:rPr>
        <w:t>13,000</w:t>
      </w:r>
      <w:r>
        <w:rPr>
          <w:rFonts w:ascii="Times New Roman" w:hAnsi="Times New Roman" w:cs="Times New Roman" w:hint="eastAsia"/>
          <w:color w:val="000000"/>
          <w:lang w:val="en-GB"/>
        </w:rPr>
        <w:t>亿元，中国市场规模仅为</w:t>
      </w:r>
      <w:r>
        <w:rPr>
          <w:rFonts w:ascii="Times New Roman" w:hAnsi="Times New Roman" w:cs="Times New Roman"/>
          <w:color w:val="000000"/>
          <w:lang w:val="en-GB"/>
        </w:rPr>
        <w:t>1,294</w:t>
      </w:r>
      <w:r>
        <w:rPr>
          <w:rFonts w:ascii="Times New Roman" w:hAnsi="Times New Roman" w:cs="Times New Roman" w:hint="eastAsia"/>
          <w:color w:val="000000"/>
          <w:lang w:val="en-GB"/>
        </w:rPr>
        <w:t>亿元。国内企业在产品的纵向拓展、应用领域的横向延伸、应用市场的全球化布局等领域都有着数倍的成长空间。</w:t>
      </w:r>
    </w:p>
    <w:p w14:paraId="77CA62F0"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近年来，工业机器人销量飞速上升：</w:t>
      </w:r>
      <w:r>
        <w:rPr>
          <w:rFonts w:ascii="Times New Roman" w:hAnsi="Times New Roman" w:cs="Times New Roman"/>
          <w:color w:val="000000"/>
          <w:lang w:val="en-GB"/>
        </w:rPr>
        <w:t>2009-2012</w:t>
      </w:r>
      <w:r>
        <w:rPr>
          <w:rFonts w:ascii="Times New Roman" w:hAnsi="Times New Roman" w:cs="Times New Roman" w:hint="eastAsia"/>
          <w:color w:val="000000"/>
          <w:lang w:val="en-GB"/>
        </w:rPr>
        <w:t>年年平均销量为</w:t>
      </w:r>
      <w:r>
        <w:rPr>
          <w:rFonts w:ascii="Times New Roman" w:hAnsi="Times New Roman" w:cs="Times New Roman"/>
          <w:color w:val="000000"/>
          <w:lang w:val="en-GB"/>
        </w:rPr>
        <w:t>16,520</w:t>
      </w:r>
      <w:r>
        <w:rPr>
          <w:rFonts w:ascii="Times New Roman" w:hAnsi="Times New Roman" w:cs="Times New Roman" w:hint="eastAsia"/>
          <w:color w:val="000000"/>
          <w:lang w:val="en-GB"/>
        </w:rPr>
        <w:t>台，</w:t>
      </w:r>
      <w:r>
        <w:rPr>
          <w:rFonts w:ascii="Times New Roman" w:hAnsi="Times New Roman" w:cs="Times New Roman"/>
          <w:color w:val="000000"/>
          <w:lang w:val="en-GB"/>
        </w:rPr>
        <w:t>2013-2015</w:t>
      </w:r>
      <w:r>
        <w:rPr>
          <w:rFonts w:ascii="Times New Roman" w:hAnsi="Times New Roman" w:cs="Times New Roman" w:hint="eastAsia"/>
          <w:color w:val="000000"/>
          <w:lang w:val="en-GB"/>
        </w:rPr>
        <w:t>年年平均销量为</w:t>
      </w:r>
      <w:r>
        <w:rPr>
          <w:rFonts w:ascii="Times New Roman" w:hAnsi="Times New Roman" w:cs="Times New Roman"/>
          <w:color w:val="000000"/>
          <w:lang w:val="en-GB"/>
        </w:rPr>
        <w:t>51,906</w:t>
      </w:r>
      <w:r>
        <w:rPr>
          <w:rFonts w:ascii="Times New Roman" w:hAnsi="Times New Roman" w:cs="Times New Roman" w:hint="eastAsia"/>
          <w:color w:val="000000"/>
          <w:lang w:val="en-GB"/>
        </w:rPr>
        <w:t>台、</w:t>
      </w:r>
      <w:r>
        <w:rPr>
          <w:rFonts w:ascii="Times New Roman" w:hAnsi="Times New Roman" w:cs="Times New Roman"/>
          <w:color w:val="000000"/>
          <w:lang w:val="en-GB"/>
        </w:rPr>
        <w:t>2016-2019</w:t>
      </w:r>
      <w:r>
        <w:rPr>
          <w:rFonts w:ascii="Times New Roman" w:hAnsi="Times New Roman" w:cs="Times New Roman" w:hint="eastAsia"/>
          <w:color w:val="000000"/>
          <w:lang w:val="en-GB"/>
        </w:rPr>
        <w:t>年年平均销量为</w:t>
      </w:r>
      <w:r>
        <w:rPr>
          <w:rFonts w:ascii="Times New Roman" w:hAnsi="Times New Roman" w:cs="Times New Roman"/>
          <w:color w:val="000000"/>
          <w:lang w:val="en-GB"/>
        </w:rPr>
        <w:t>128,729</w:t>
      </w:r>
      <w:r>
        <w:rPr>
          <w:rFonts w:ascii="Times New Roman" w:hAnsi="Times New Roman" w:cs="Times New Roman" w:hint="eastAsia"/>
          <w:color w:val="000000"/>
          <w:lang w:val="en-GB"/>
        </w:rPr>
        <w:t>台。自动化行业发展状况与下游制造业景气度紧密相关，疫情冲击后，制造业企业复工复产快速推进，下游制造业全面复苏带动工业自动化进程加速。随着国内疫情缓解，国内工业机器人重回高增速。</w:t>
      </w:r>
      <w:r>
        <w:rPr>
          <w:rFonts w:ascii="Times New Roman" w:hAnsi="Times New Roman" w:cs="Times New Roman"/>
          <w:color w:val="000000"/>
          <w:lang w:val="en-GB"/>
        </w:rPr>
        <w:t>2020</w:t>
      </w:r>
      <w:r>
        <w:rPr>
          <w:rFonts w:ascii="Times New Roman" w:hAnsi="Times New Roman" w:cs="Times New Roman" w:hint="eastAsia"/>
          <w:color w:val="000000"/>
          <w:lang w:val="en-GB"/>
        </w:rPr>
        <w:t>年</w:t>
      </w:r>
      <w:r>
        <w:rPr>
          <w:rFonts w:ascii="Times New Roman" w:hAnsi="Times New Roman" w:cs="Times New Roman"/>
          <w:color w:val="000000"/>
          <w:lang w:val="en-GB"/>
        </w:rPr>
        <w:t>3-7</w:t>
      </w:r>
      <w:r>
        <w:rPr>
          <w:rFonts w:ascii="Times New Roman" w:hAnsi="Times New Roman" w:cs="Times New Roman" w:hint="eastAsia"/>
          <w:color w:val="000000"/>
          <w:lang w:val="en-GB"/>
        </w:rPr>
        <w:t>月工业机器人产量同比增速分别为</w:t>
      </w:r>
      <w:r>
        <w:rPr>
          <w:rFonts w:ascii="Times New Roman" w:hAnsi="Times New Roman" w:cs="Times New Roman"/>
          <w:color w:val="000000"/>
          <w:lang w:val="en-GB"/>
        </w:rPr>
        <w:t>12.90%</w:t>
      </w:r>
      <w:r>
        <w:rPr>
          <w:rFonts w:ascii="Times New Roman" w:hAnsi="Times New Roman" w:cs="Times New Roman" w:hint="eastAsia"/>
          <w:color w:val="000000"/>
          <w:lang w:val="en-GB"/>
        </w:rPr>
        <w:t>、</w:t>
      </w:r>
      <w:r>
        <w:rPr>
          <w:rFonts w:ascii="Times New Roman" w:hAnsi="Times New Roman" w:cs="Times New Roman"/>
          <w:color w:val="000000"/>
          <w:lang w:val="en-GB"/>
        </w:rPr>
        <w:t>26.60%</w:t>
      </w:r>
      <w:r>
        <w:rPr>
          <w:rFonts w:ascii="Times New Roman" w:hAnsi="Times New Roman" w:cs="Times New Roman" w:hint="eastAsia"/>
          <w:color w:val="000000"/>
          <w:lang w:val="en-GB"/>
        </w:rPr>
        <w:t>、</w:t>
      </w:r>
      <w:r>
        <w:rPr>
          <w:rFonts w:ascii="Times New Roman" w:hAnsi="Times New Roman" w:cs="Times New Roman"/>
          <w:color w:val="000000"/>
          <w:lang w:val="en-GB"/>
        </w:rPr>
        <w:t>16.90%</w:t>
      </w:r>
      <w:r>
        <w:rPr>
          <w:rFonts w:ascii="Times New Roman" w:hAnsi="Times New Roman" w:cs="Times New Roman" w:hint="eastAsia"/>
          <w:color w:val="000000"/>
          <w:lang w:val="en-GB"/>
        </w:rPr>
        <w:t>、</w:t>
      </w:r>
      <w:r>
        <w:rPr>
          <w:rFonts w:ascii="Times New Roman" w:hAnsi="Times New Roman" w:cs="Times New Roman"/>
          <w:color w:val="000000"/>
          <w:lang w:val="en-GB"/>
        </w:rPr>
        <w:t>29.20%</w:t>
      </w:r>
      <w:r>
        <w:rPr>
          <w:rFonts w:ascii="Times New Roman" w:hAnsi="Times New Roman" w:cs="Times New Roman" w:hint="eastAsia"/>
          <w:color w:val="000000"/>
          <w:lang w:val="en-GB"/>
        </w:rPr>
        <w:t>和</w:t>
      </w:r>
      <w:r>
        <w:rPr>
          <w:rFonts w:ascii="Times New Roman" w:hAnsi="Times New Roman" w:cs="Times New Roman"/>
          <w:color w:val="000000"/>
          <w:lang w:val="en-GB"/>
        </w:rPr>
        <w:t>19.40%</w:t>
      </w:r>
      <w:r>
        <w:rPr>
          <w:rFonts w:ascii="Times New Roman" w:hAnsi="Times New Roman" w:cs="Times New Roman" w:hint="eastAsia"/>
          <w:color w:val="000000"/>
          <w:lang w:val="en-GB"/>
        </w:rPr>
        <w:t>。</w:t>
      </w:r>
    </w:p>
    <w:p w14:paraId="2A429776" w14:textId="77777777" w:rsidR="00C02929" w:rsidRDefault="006116D1">
      <w:pPr>
        <w:spacing w:beforeLines="50" w:before="156" w:line="360" w:lineRule="auto"/>
        <w:ind w:firstLineChars="200" w:firstLine="480"/>
        <w:jc w:val="both"/>
        <w:rPr>
          <w:rFonts w:ascii="Times New Roman" w:hAnsi="Times New Roman" w:cs="Times New Roman"/>
          <w:color w:val="000000"/>
          <w:lang w:val="en-GB"/>
        </w:rPr>
      </w:pPr>
      <w:r>
        <w:rPr>
          <w:rFonts w:ascii="Times New Roman" w:hAnsi="Times New Roman" w:cs="Times New Roman" w:hint="eastAsia"/>
          <w:color w:val="000000"/>
          <w:lang w:val="en-GB"/>
        </w:rPr>
        <w:t>随着我国人口红利的消失，用工难、用工贵的问题凸显，而与此同时，工业自动化核心零部件、及装备制造产品价格保持着连年稳定下降，截至</w:t>
      </w:r>
      <w:r>
        <w:rPr>
          <w:rFonts w:ascii="Times New Roman" w:hAnsi="Times New Roman" w:cs="Times New Roman"/>
          <w:color w:val="000000"/>
          <w:lang w:val="en-GB"/>
        </w:rPr>
        <w:t>2018</w:t>
      </w:r>
      <w:r>
        <w:rPr>
          <w:rFonts w:ascii="Times New Roman" w:hAnsi="Times New Roman" w:cs="Times New Roman" w:hint="eastAsia"/>
          <w:color w:val="000000"/>
          <w:lang w:val="en-GB"/>
        </w:rPr>
        <w:t>年，中国工业机器人进口均价仅</w:t>
      </w:r>
      <w:r>
        <w:rPr>
          <w:rFonts w:ascii="Times New Roman" w:hAnsi="Times New Roman" w:cs="Times New Roman"/>
          <w:color w:val="000000"/>
          <w:lang w:val="en-GB"/>
        </w:rPr>
        <w:t>1.35</w:t>
      </w:r>
      <w:r>
        <w:rPr>
          <w:rFonts w:ascii="Times New Roman" w:hAnsi="Times New Roman" w:cs="Times New Roman" w:hint="eastAsia"/>
          <w:color w:val="000000"/>
          <w:lang w:val="en-GB"/>
        </w:rPr>
        <w:t>万美元</w:t>
      </w:r>
      <w:r>
        <w:rPr>
          <w:rFonts w:ascii="Times New Roman" w:hAnsi="Times New Roman" w:cs="Times New Roman"/>
          <w:color w:val="000000"/>
          <w:lang w:val="en-GB"/>
        </w:rPr>
        <w:t>/</w:t>
      </w:r>
      <w:r>
        <w:rPr>
          <w:rFonts w:ascii="Times New Roman" w:hAnsi="Times New Roman" w:cs="Times New Roman" w:hint="eastAsia"/>
          <w:color w:val="000000"/>
          <w:lang w:val="en-GB"/>
        </w:rPr>
        <w:t>台，已降至与一位制造业从业人员工资相当的水平。中国工业机器人渗透率目前仍然远低于美国、欧洲等发达国家及地区水平，随着机器换人的性价比逐渐提高，我国工业自动化存在较大市场空间。</w:t>
      </w:r>
    </w:p>
    <w:p w14:paraId="57B95086" w14:textId="77777777" w:rsidR="00C02929" w:rsidRDefault="006116D1">
      <w:pPr>
        <w:pStyle w:val="03"/>
        <w:spacing w:before="156"/>
        <w:ind w:firstLineChars="200" w:firstLine="482"/>
        <w:jc w:val="both"/>
        <w:rPr>
          <w:rFonts w:ascii="Times New Roman" w:eastAsia="宋体" w:hAnsi="Times New Roman" w:cs="Times New Roman"/>
          <w:b/>
          <w:color w:val="000000"/>
          <w:sz w:val="24"/>
          <w:szCs w:val="21"/>
        </w:rPr>
      </w:pPr>
      <w:r>
        <w:rPr>
          <w:rFonts w:ascii="Times New Roman" w:eastAsia="宋体" w:hAnsi="Times New Roman" w:cs="Times New Roman" w:hint="eastAsia"/>
          <w:b/>
          <w:color w:val="000000"/>
          <w:sz w:val="24"/>
          <w:szCs w:val="21"/>
        </w:rPr>
        <w:t>四、新客户开拓和原有大客户维护情况</w:t>
      </w:r>
    </w:p>
    <w:p w14:paraId="7B530988"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（一）新客户开拓</w:t>
      </w:r>
    </w:p>
    <w:p w14:paraId="3BA192FA"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val="en-GB"/>
        </w:rPr>
      </w:pPr>
      <w:r>
        <w:rPr>
          <w:rFonts w:ascii="Times New Roman" w:hAnsi="Times New Roman" w:cs="Times New Roman" w:hint="eastAsia"/>
          <w:lang w:val="en-GB"/>
        </w:rPr>
        <w:t>北洋天青在维护现有家电行业龙头客户的同时，也与其他行业内企业建立了联系，推广各类自动化、信息化技术，努力开发行业内其他客户。</w:t>
      </w:r>
      <w:r>
        <w:rPr>
          <w:rFonts w:ascii="Times New Roman" w:hAnsi="Times New Roman" w:cs="Times New Roman" w:hint="eastAsia"/>
          <w:color w:val="000000"/>
          <w:lang w:val="en-GB"/>
        </w:rPr>
        <w:t>北洋天青</w:t>
      </w:r>
      <w:r>
        <w:rPr>
          <w:rFonts w:ascii="Times New Roman" w:hAnsi="Times New Roman" w:cs="Times New Roman" w:hint="eastAsia"/>
          <w:lang w:val="en-GB"/>
        </w:rPr>
        <w:t>在深耕家电行业的同时，也在积极拓展其他行业。</w:t>
      </w:r>
    </w:p>
    <w:p w14:paraId="4090624D" w14:textId="229BE759" w:rsidR="00C02929" w:rsidRDefault="006116D1">
      <w:pPr>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lang w:val="en-GB"/>
        </w:rPr>
        <w:t>在食品饮料领域，标的公司以现有技术及软件为基础，已经为崂山矿泉水集团提供了相应的自动化、企业信息化服务；与青岛万福集团就仓储物流技术等业务进行</w:t>
      </w:r>
      <w:r>
        <w:rPr>
          <w:rFonts w:ascii="Times New Roman" w:hAnsi="Times New Roman" w:cs="Times New Roman" w:hint="eastAsia"/>
        </w:rPr>
        <w:t>初步探讨</w:t>
      </w:r>
      <w:r>
        <w:rPr>
          <w:rFonts w:ascii="Times New Roman" w:hAnsi="Times New Roman" w:cs="Times New Roman" w:hint="eastAsia"/>
          <w:lang w:val="en-GB"/>
        </w:rPr>
        <w:t>。</w:t>
      </w:r>
    </w:p>
    <w:p w14:paraId="7E1809DF"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在</w:t>
      </w:r>
      <w:r>
        <w:rPr>
          <w:rFonts w:ascii="Times New Roman" w:hAnsi="Times New Roman" w:cs="Times New Roman" w:hint="eastAsia"/>
          <w:bCs/>
        </w:rPr>
        <w:t>3C</w:t>
      </w:r>
      <w:r>
        <w:rPr>
          <w:rFonts w:ascii="Times New Roman" w:hAnsi="Times New Roman" w:cs="Times New Roman" w:hint="eastAsia"/>
          <w:bCs/>
        </w:rPr>
        <w:t>领域，</w:t>
      </w:r>
      <w:r>
        <w:rPr>
          <w:rFonts w:ascii="Times New Roman" w:hAnsi="Times New Roman" w:cs="Times New Roman" w:hint="eastAsia"/>
          <w:bCs/>
          <w:color w:val="000000"/>
          <w:lang w:val="en-GB"/>
        </w:rPr>
        <w:t>北洋天青</w:t>
      </w:r>
      <w:r>
        <w:rPr>
          <w:rFonts w:ascii="Times New Roman" w:hAnsi="Times New Roman" w:cs="Times New Roman" w:hint="eastAsia"/>
          <w:bCs/>
        </w:rPr>
        <w:t>主要以现有的物流悬挂输送系统为切入的技术基础，以液晶显示器模组生产为主推市场，拟开发机器人视觉追踪应用技术，柔性部件</w:t>
      </w:r>
      <w:r>
        <w:rPr>
          <w:rFonts w:ascii="Times New Roman" w:hAnsi="Times New Roman" w:cs="Times New Roman" w:hint="eastAsia"/>
          <w:bCs/>
        </w:rPr>
        <w:lastRenderedPageBreak/>
        <w:t>组装技术、以及任意曲面屏组装技术，并引入行业内有资深自动化行业经验的高水平技术及管理人才，积极拓展</w:t>
      </w:r>
      <w:r>
        <w:rPr>
          <w:rFonts w:ascii="Times New Roman" w:hAnsi="Times New Roman" w:cs="Times New Roman" w:hint="eastAsia"/>
          <w:bCs/>
        </w:rPr>
        <w:t>3C</w:t>
      </w:r>
      <w:r>
        <w:rPr>
          <w:rFonts w:ascii="Times New Roman" w:hAnsi="Times New Roman" w:cs="Times New Roman" w:hint="eastAsia"/>
          <w:bCs/>
        </w:rPr>
        <w:t>领域自动化市场。</w:t>
      </w:r>
    </w:p>
    <w:p w14:paraId="7B3FB169"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在其他行业，北洋天青积极拓展现有技术及产品可以支持的其他行业智能化、自动化应用。目前标的公司已与</w:t>
      </w:r>
      <w:r>
        <w:rPr>
          <w:rFonts w:ascii="Times New Roman" w:hAnsi="Times New Roman" w:cs="Times New Roman" w:hint="eastAsia"/>
        </w:rPr>
        <w:t>青岛海湾化学集团就智能工厂整体规划、</w:t>
      </w:r>
      <w:r>
        <w:rPr>
          <w:rFonts w:ascii="Times New Roman" w:hAnsi="Times New Roman" w:cs="Times New Roman" w:hint="eastAsia"/>
          <w:bCs/>
        </w:rPr>
        <w:t>企业信息化等业务展开初步接触。</w:t>
      </w:r>
    </w:p>
    <w:p w14:paraId="5585FDA8"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（二）原有大客户维护情况</w:t>
      </w:r>
    </w:p>
    <w:p w14:paraId="1061014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标的公司提供的产品主要为非标自动化设备，客户对供应商的选定有着严格的标准和程序，企业需要深度掌握客户的技术改造需求，研究客户产品加工工艺，一旦合作关系确立，将不会轻易变更。</w:t>
      </w:r>
    </w:p>
    <w:p w14:paraId="7479F1AD"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北洋天青已经与海尔、海信、澳柯玛集团合作五年左右，为上述单家客户提供上百单服务。近年来，北洋天青来自于上述三家主要客户的收入逐年快速上升。标的公司凭借过硬的产品质量和健全的售后服务体系，与主要客户形成良好的合作关系，订单获取较为稳定。</w:t>
      </w:r>
    </w:p>
    <w:p w14:paraId="05397C9A"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截至本核查意见出具日，标的公司</w:t>
      </w:r>
      <w:r>
        <w:rPr>
          <w:rFonts w:ascii="Times New Roman" w:hAnsi="Times New Roman" w:cs="Times New Roman"/>
          <w:color w:val="000000"/>
        </w:rPr>
        <w:t>2020</w:t>
      </w:r>
      <w:r>
        <w:rPr>
          <w:rFonts w:ascii="Times New Roman" w:hAnsi="Times New Roman" w:cs="Times New Roman" w:hint="eastAsia"/>
          <w:color w:val="000000"/>
        </w:rPr>
        <w:t>年已实现收入及</w:t>
      </w:r>
      <w:r>
        <w:rPr>
          <w:rFonts w:ascii="Times New Roman" w:hAnsi="Times New Roman" w:cs="Times New Roman"/>
          <w:color w:val="000000"/>
        </w:rPr>
        <w:t>2021</w:t>
      </w:r>
      <w:r>
        <w:rPr>
          <w:rFonts w:ascii="Times New Roman" w:hAnsi="Times New Roman" w:cs="Times New Roman" w:hint="eastAsia"/>
          <w:color w:val="000000"/>
        </w:rPr>
        <w:t>年合同签订和拟参与投标项目情况：</w:t>
      </w:r>
    </w:p>
    <w:p w14:paraId="096DD213"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85"/>
        <w:gridCol w:w="1133"/>
        <w:gridCol w:w="1135"/>
        <w:gridCol w:w="852"/>
        <w:gridCol w:w="1137"/>
        <w:gridCol w:w="707"/>
        <w:gridCol w:w="995"/>
        <w:gridCol w:w="1178"/>
      </w:tblGrid>
      <w:tr w:rsidR="00C02929" w14:paraId="4F3F3961" w14:textId="77777777">
        <w:trPr>
          <w:trHeight w:val="397"/>
          <w:tblHeader/>
        </w:trPr>
        <w:tc>
          <w:tcPr>
            <w:tcW w:w="812" w:type="pct"/>
            <w:vMerge w:val="restart"/>
            <w:shd w:val="clear" w:color="auto" w:fill="auto"/>
            <w:noWrap/>
            <w:vAlign w:val="center"/>
          </w:tcPr>
          <w:p w14:paraId="5520EA3C"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业务内容</w:t>
            </w:r>
          </w:p>
        </w:tc>
        <w:tc>
          <w:tcPr>
            <w:tcW w:w="665" w:type="pct"/>
            <w:shd w:val="clear" w:color="auto" w:fill="auto"/>
            <w:noWrap/>
            <w:vAlign w:val="center"/>
          </w:tcPr>
          <w:p w14:paraId="6AC6D6A3" w14:textId="77777777" w:rsidR="00C02929" w:rsidRDefault="006116D1">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2020</w:t>
            </w:r>
            <w:r>
              <w:rPr>
                <w:rFonts w:ascii="Times New Roman" w:hAnsi="Times New Roman" w:cs="Times New Roman" w:hint="eastAsia"/>
                <w:b/>
                <w:bCs/>
                <w:color w:val="000000"/>
                <w:sz w:val="21"/>
                <w:szCs w:val="21"/>
              </w:rPr>
              <w:t>年</w:t>
            </w:r>
          </w:p>
        </w:tc>
        <w:tc>
          <w:tcPr>
            <w:tcW w:w="3523" w:type="pct"/>
            <w:gridSpan w:val="6"/>
            <w:shd w:val="clear" w:color="auto" w:fill="auto"/>
            <w:noWrap/>
            <w:vAlign w:val="center"/>
          </w:tcPr>
          <w:p w14:paraId="6925190F" w14:textId="77777777" w:rsidR="00C02929" w:rsidRDefault="006116D1">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2021</w:t>
            </w:r>
            <w:r>
              <w:rPr>
                <w:rFonts w:ascii="Times New Roman" w:hAnsi="Times New Roman" w:cs="Times New Roman" w:hint="eastAsia"/>
                <w:b/>
                <w:bCs/>
                <w:color w:val="000000"/>
                <w:sz w:val="21"/>
                <w:szCs w:val="21"/>
              </w:rPr>
              <w:t>年</w:t>
            </w:r>
          </w:p>
        </w:tc>
      </w:tr>
      <w:tr w:rsidR="00C02929" w14:paraId="3D7D87D6" w14:textId="77777777">
        <w:trPr>
          <w:trHeight w:val="397"/>
          <w:tblHeader/>
        </w:trPr>
        <w:tc>
          <w:tcPr>
            <w:tcW w:w="812" w:type="pct"/>
            <w:vMerge/>
            <w:vAlign w:val="center"/>
          </w:tcPr>
          <w:p w14:paraId="47890B6A" w14:textId="77777777" w:rsidR="00C02929" w:rsidRDefault="00C02929">
            <w:pPr>
              <w:keepNext/>
              <w:adjustRightInd w:val="0"/>
              <w:snapToGrid w:val="0"/>
              <w:rPr>
                <w:rFonts w:ascii="Times New Roman" w:hAnsi="Times New Roman" w:cs="Times New Roman"/>
                <w:b/>
                <w:bCs/>
                <w:sz w:val="21"/>
                <w:szCs w:val="21"/>
              </w:rPr>
            </w:pPr>
          </w:p>
        </w:tc>
        <w:tc>
          <w:tcPr>
            <w:tcW w:w="665" w:type="pct"/>
            <w:vMerge w:val="restart"/>
            <w:shd w:val="clear" w:color="auto" w:fill="auto"/>
            <w:noWrap/>
            <w:vAlign w:val="center"/>
          </w:tcPr>
          <w:p w14:paraId="6F87BECA" w14:textId="77777777" w:rsidR="00C02929" w:rsidRDefault="006116D1">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已实现</w:t>
            </w:r>
          </w:p>
        </w:tc>
        <w:tc>
          <w:tcPr>
            <w:tcW w:w="666" w:type="pct"/>
            <w:vMerge w:val="restart"/>
            <w:shd w:val="clear" w:color="auto" w:fill="auto"/>
            <w:noWrap/>
            <w:vAlign w:val="center"/>
          </w:tcPr>
          <w:p w14:paraId="45AF510E" w14:textId="77777777" w:rsidR="00C02929" w:rsidRDefault="006116D1">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已签合同</w:t>
            </w:r>
          </w:p>
        </w:tc>
        <w:tc>
          <w:tcPr>
            <w:tcW w:w="500" w:type="pct"/>
            <w:vMerge w:val="restart"/>
            <w:shd w:val="clear" w:color="auto" w:fill="auto"/>
            <w:noWrap/>
            <w:vAlign w:val="center"/>
          </w:tcPr>
          <w:p w14:paraId="71C561B8" w14:textId="77777777" w:rsidR="00C02929" w:rsidRDefault="006116D1">
            <w:pPr>
              <w:keepNext/>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已中标</w:t>
            </w:r>
          </w:p>
        </w:tc>
        <w:tc>
          <w:tcPr>
            <w:tcW w:w="1666" w:type="pct"/>
            <w:gridSpan w:val="3"/>
            <w:shd w:val="clear" w:color="auto" w:fill="auto"/>
            <w:noWrap/>
            <w:vAlign w:val="center"/>
          </w:tcPr>
          <w:p w14:paraId="3C42D5AB"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招投标可确认金额</w:t>
            </w:r>
          </w:p>
        </w:tc>
        <w:tc>
          <w:tcPr>
            <w:tcW w:w="691" w:type="pct"/>
            <w:vMerge w:val="restart"/>
            <w:shd w:val="clear" w:color="auto" w:fill="auto"/>
            <w:noWrap/>
            <w:vAlign w:val="center"/>
          </w:tcPr>
          <w:p w14:paraId="6B0BC47B"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b/>
                <w:bCs/>
                <w:sz w:val="21"/>
                <w:szCs w:val="21"/>
              </w:rPr>
              <w:t>2021</w:t>
            </w:r>
            <w:r>
              <w:rPr>
                <w:rFonts w:ascii="Times New Roman" w:hAnsi="Times New Roman" w:cs="Times New Roman" w:hint="eastAsia"/>
                <w:b/>
                <w:bCs/>
                <w:sz w:val="21"/>
                <w:szCs w:val="21"/>
              </w:rPr>
              <w:t>年小计</w:t>
            </w:r>
          </w:p>
        </w:tc>
      </w:tr>
      <w:tr w:rsidR="00C02929" w14:paraId="21F5197E" w14:textId="77777777">
        <w:trPr>
          <w:trHeight w:val="397"/>
          <w:tblHeader/>
        </w:trPr>
        <w:tc>
          <w:tcPr>
            <w:tcW w:w="812" w:type="pct"/>
            <w:vMerge/>
            <w:vAlign w:val="center"/>
          </w:tcPr>
          <w:p w14:paraId="13D0FEFA" w14:textId="77777777" w:rsidR="00C02929" w:rsidRDefault="00C02929">
            <w:pPr>
              <w:keepNext/>
              <w:adjustRightInd w:val="0"/>
              <w:snapToGrid w:val="0"/>
              <w:rPr>
                <w:rFonts w:ascii="Times New Roman" w:hAnsi="Times New Roman" w:cs="Times New Roman"/>
                <w:b/>
                <w:bCs/>
                <w:sz w:val="21"/>
                <w:szCs w:val="21"/>
              </w:rPr>
            </w:pPr>
          </w:p>
        </w:tc>
        <w:tc>
          <w:tcPr>
            <w:tcW w:w="665" w:type="pct"/>
            <w:vMerge/>
            <w:vAlign w:val="center"/>
          </w:tcPr>
          <w:p w14:paraId="53D27551" w14:textId="77777777" w:rsidR="00C02929" w:rsidRDefault="00C02929">
            <w:pPr>
              <w:keepNext/>
              <w:adjustRightInd w:val="0"/>
              <w:snapToGrid w:val="0"/>
              <w:jc w:val="center"/>
              <w:rPr>
                <w:rFonts w:ascii="Times New Roman" w:hAnsi="Times New Roman" w:cs="Times New Roman"/>
                <w:b/>
                <w:bCs/>
                <w:color w:val="000000"/>
                <w:sz w:val="21"/>
                <w:szCs w:val="21"/>
              </w:rPr>
            </w:pPr>
          </w:p>
        </w:tc>
        <w:tc>
          <w:tcPr>
            <w:tcW w:w="666" w:type="pct"/>
            <w:vMerge/>
            <w:vAlign w:val="center"/>
          </w:tcPr>
          <w:p w14:paraId="4BEB7C9E" w14:textId="77777777" w:rsidR="00C02929" w:rsidRDefault="00C02929">
            <w:pPr>
              <w:keepNext/>
              <w:adjustRightInd w:val="0"/>
              <w:snapToGrid w:val="0"/>
              <w:jc w:val="center"/>
              <w:rPr>
                <w:rFonts w:ascii="Times New Roman" w:hAnsi="Times New Roman" w:cs="Times New Roman"/>
                <w:b/>
                <w:bCs/>
                <w:color w:val="000000"/>
                <w:sz w:val="21"/>
                <w:szCs w:val="21"/>
              </w:rPr>
            </w:pPr>
          </w:p>
        </w:tc>
        <w:tc>
          <w:tcPr>
            <w:tcW w:w="500" w:type="pct"/>
            <w:vMerge/>
            <w:vAlign w:val="center"/>
          </w:tcPr>
          <w:p w14:paraId="24188B39" w14:textId="77777777" w:rsidR="00C02929" w:rsidRDefault="00C02929">
            <w:pPr>
              <w:keepNext/>
              <w:adjustRightInd w:val="0"/>
              <w:snapToGrid w:val="0"/>
              <w:jc w:val="center"/>
              <w:rPr>
                <w:rFonts w:ascii="Times New Roman" w:hAnsi="Times New Roman" w:cs="Times New Roman"/>
                <w:b/>
                <w:bCs/>
                <w:color w:val="000000"/>
                <w:sz w:val="21"/>
                <w:szCs w:val="21"/>
              </w:rPr>
            </w:pPr>
          </w:p>
        </w:tc>
        <w:tc>
          <w:tcPr>
            <w:tcW w:w="667" w:type="pct"/>
            <w:shd w:val="clear" w:color="auto" w:fill="auto"/>
            <w:noWrap/>
            <w:vAlign w:val="center"/>
          </w:tcPr>
          <w:p w14:paraId="5CA1CAAB"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拟参与投标项目</w:t>
            </w:r>
          </w:p>
        </w:tc>
        <w:tc>
          <w:tcPr>
            <w:tcW w:w="415" w:type="pct"/>
            <w:shd w:val="clear" w:color="auto" w:fill="auto"/>
            <w:noWrap/>
            <w:vAlign w:val="center"/>
          </w:tcPr>
          <w:p w14:paraId="45E8EE78"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预计中标率</w:t>
            </w:r>
          </w:p>
        </w:tc>
        <w:tc>
          <w:tcPr>
            <w:tcW w:w="584" w:type="pct"/>
            <w:shd w:val="clear" w:color="auto" w:fill="auto"/>
            <w:noWrap/>
            <w:vAlign w:val="center"/>
          </w:tcPr>
          <w:p w14:paraId="14113E19" w14:textId="77777777" w:rsidR="00C02929" w:rsidRDefault="006116D1">
            <w:pPr>
              <w:keepNext/>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预计可确认收入金额</w:t>
            </w:r>
          </w:p>
        </w:tc>
        <w:tc>
          <w:tcPr>
            <w:tcW w:w="691" w:type="pct"/>
            <w:vMerge/>
            <w:vAlign w:val="center"/>
          </w:tcPr>
          <w:p w14:paraId="74880A03" w14:textId="77777777" w:rsidR="00C02929" w:rsidRDefault="00C02929">
            <w:pPr>
              <w:adjustRightInd w:val="0"/>
              <w:snapToGrid w:val="0"/>
              <w:jc w:val="center"/>
              <w:rPr>
                <w:rFonts w:ascii="Times New Roman" w:hAnsi="Times New Roman" w:cs="Times New Roman"/>
                <w:b/>
                <w:bCs/>
                <w:sz w:val="21"/>
                <w:szCs w:val="21"/>
              </w:rPr>
            </w:pPr>
          </w:p>
        </w:tc>
      </w:tr>
      <w:tr w:rsidR="00C02929" w14:paraId="4D58E2B8" w14:textId="77777777">
        <w:trPr>
          <w:trHeight w:val="397"/>
        </w:trPr>
        <w:tc>
          <w:tcPr>
            <w:tcW w:w="812" w:type="pct"/>
            <w:shd w:val="clear" w:color="auto" w:fill="auto"/>
            <w:noWrap/>
            <w:vAlign w:val="center"/>
          </w:tcPr>
          <w:p w14:paraId="52DFA8C0" w14:textId="77777777" w:rsidR="00C02929" w:rsidRDefault="006116D1">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澳柯玛</w:t>
            </w:r>
          </w:p>
        </w:tc>
        <w:tc>
          <w:tcPr>
            <w:tcW w:w="665" w:type="pct"/>
            <w:shd w:val="clear" w:color="auto" w:fill="auto"/>
            <w:noWrap/>
            <w:vAlign w:val="center"/>
          </w:tcPr>
          <w:p w14:paraId="6959AD8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4,717.70</w:t>
            </w:r>
          </w:p>
        </w:tc>
        <w:tc>
          <w:tcPr>
            <w:tcW w:w="666" w:type="pct"/>
            <w:shd w:val="clear" w:color="auto" w:fill="auto"/>
            <w:noWrap/>
            <w:vAlign w:val="center"/>
          </w:tcPr>
          <w:p w14:paraId="3062335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10,978.22</w:t>
            </w:r>
          </w:p>
        </w:tc>
        <w:tc>
          <w:tcPr>
            <w:tcW w:w="500" w:type="pct"/>
            <w:shd w:val="clear" w:color="auto" w:fill="auto"/>
            <w:noWrap/>
            <w:vAlign w:val="center"/>
          </w:tcPr>
          <w:p w14:paraId="42574AC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67" w:type="pct"/>
            <w:shd w:val="clear" w:color="auto" w:fill="auto"/>
            <w:noWrap/>
            <w:vAlign w:val="center"/>
          </w:tcPr>
          <w:p w14:paraId="29DD399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70.80</w:t>
            </w:r>
          </w:p>
        </w:tc>
        <w:tc>
          <w:tcPr>
            <w:tcW w:w="415" w:type="pct"/>
            <w:shd w:val="clear" w:color="auto" w:fill="auto"/>
            <w:noWrap/>
            <w:vAlign w:val="center"/>
          </w:tcPr>
          <w:p w14:paraId="26F65821"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79%</w:t>
            </w:r>
          </w:p>
        </w:tc>
        <w:tc>
          <w:tcPr>
            <w:tcW w:w="584" w:type="pct"/>
            <w:shd w:val="clear" w:color="auto" w:fill="auto"/>
            <w:noWrap/>
            <w:vAlign w:val="center"/>
          </w:tcPr>
          <w:p w14:paraId="539FA568"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55.93</w:t>
            </w:r>
          </w:p>
        </w:tc>
        <w:tc>
          <w:tcPr>
            <w:tcW w:w="691" w:type="pct"/>
            <w:shd w:val="clear" w:color="auto" w:fill="auto"/>
            <w:noWrap/>
            <w:vAlign w:val="center"/>
          </w:tcPr>
          <w:p w14:paraId="2E99623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11,034.15</w:t>
            </w:r>
          </w:p>
        </w:tc>
      </w:tr>
      <w:tr w:rsidR="00C02929" w14:paraId="4EE12641" w14:textId="77777777">
        <w:trPr>
          <w:trHeight w:val="397"/>
        </w:trPr>
        <w:tc>
          <w:tcPr>
            <w:tcW w:w="812" w:type="pct"/>
            <w:shd w:val="clear" w:color="auto" w:fill="auto"/>
            <w:noWrap/>
            <w:vAlign w:val="center"/>
          </w:tcPr>
          <w:p w14:paraId="65FE7C6A" w14:textId="77777777" w:rsidR="00C02929" w:rsidRDefault="006116D1">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海尔</w:t>
            </w:r>
          </w:p>
        </w:tc>
        <w:tc>
          <w:tcPr>
            <w:tcW w:w="665" w:type="pct"/>
            <w:shd w:val="clear" w:color="auto" w:fill="auto"/>
            <w:noWrap/>
            <w:vAlign w:val="center"/>
          </w:tcPr>
          <w:p w14:paraId="6EF7EAF6"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10,005.29</w:t>
            </w:r>
          </w:p>
        </w:tc>
        <w:tc>
          <w:tcPr>
            <w:tcW w:w="666" w:type="pct"/>
            <w:shd w:val="clear" w:color="auto" w:fill="auto"/>
            <w:noWrap/>
            <w:vAlign w:val="center"/>
          </w:tcPr>
          <w:p w14:paraId="37FDD44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9,104.64</w:t>
            </w:r>
          </w:p>
        </w:tc>
        <w:tc>
          <w:tcPr>
            <w:tcW w:w="500" w:type="pct"/>
            <w:shd w:val="clear" w:color="auto" w:fill="auto"/>
            <w:noWrap/>
            <w:vAlign w:val="center"/>
          </w:tcPr>
          <w:p w14:paraId="1FC4A93E"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67" w:type="pct"/>
            <w:shd w:val="clear" w:color="auto" w:fill="auto"/>
            <w:noWrap/>
            <w:vAlign w:val="center"/>
          </w:tcPr>
          <w:p w14:paraId="569D6B04"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12,389.38</w:t>
            </w:r>
          </w:p>
        </w:tc>
        <w:tc>
          <w:tcPr>
            <w:tcW w:w="415" w:type="pct"/>
            <w:shd w:val="clear" w:color="auto" w:fill="auto"/>
            <w:noWrap/>
            <w:vAlign w:val="center"/>
          </w:tcPr>
          <w:p w14:paraId="701F5AD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79%</w:t>
            </w:r>
          </w:p>
        </w:tc>
        <w:tc>
          <w:tcPr>
            <w:tcW w:w="584" w:type="pct"/>
            <w:shd w:val="clear" w:color="auto" w:fill="auto"/>
            <w:noWrap/>
            <w:vAlign w:val="center"/>
          </w:tcPr>
          <w:p w14:paraId="7DEC8A2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9,787.61</w:t>
            </w:r>
          </w:p>
        </w:tc>
        <w:tc>
          <w:tcPr>
            <w:tcW w:w="691" w:type="pct"/>
            <w:shd w:val="clear" w:color="auto" w:fill="auto"/>
            <w:noWrap/>
            <w:vAlign w:val="center"/>
          </w:tcPr>
          <w:p w14:paraId="767DB04B"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18,892.25</w:t>
            </w:r>
          </w:p>
        </w:tc>
      </w:tr>
      <w:tr w:rsidR="00C02929" w14:paraId="302F05FD" w14:textId="77777777">
        <w:trPr>
          <w:trHeight w:val="397"/>
        </w:trPr>
        <w:tc>
          <w:tcPr>
            <w:tcW w:w="812" w:type="pct"/>
            <w:shd w:val="clear" w:color="auto" w:fill="auto"/>
            <w:noWrap/>
            <w:vAlign w:val="center"/>
          </w:tcPr>
          <w:p w14:paraId="2E8572F1" w14:textId="77777777" w:rsidR="00C02929" w:rsidRDefault="006116D1">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海信</w:t>
            </w:r>
          </w:p>
        </w:tc>
        <w:tc>
          <w:tcPr>
            <w:tcW w:w="665" w:type="pct"/>
            <w:shd w:val="clear" w:color="auto" w:fill="auto"/>
            <w:noWrap/>
            <w:vAlign w:val="center"/>
          </w:tcPr>
          <w:p w14:paraId="50974D88"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312.39</w:t>
            </w:r>
          </w:p>
        </w:tc>
        <w:tc>
          <w:tcPr>
            <w:tcW w:w="666" w:type="pct"/>
            <w:shd w:val="clear" w:color="auto" w:fill="auto"/>
            <w:noWrap/>
            <w:vAlign w:val="center"/>
          </w:tcPr>
          <w:p w14:paraId="57864D4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394.69</w:t>
            </w:r>
          </w:p>
        </w:tc>
        <w:tc>
          <w:tcPr>
            <w:tcW w:w="500" w:type="pct"/>
            <w:shd w:val="clear" w:color="auto" w:fill="auto"/>
            <w:noWrap/>
            <w:vAlign w:val="center"/>
          </w:tcPr>
          <w:p w14:paraId="564F3B5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884.96</w:t>
            </w:r>
          </w:p>
        </w:tc>
        <w:tc>
          <w:tcPr>
            <w:tcW w:w="667" w:type="pct"/>
            <w:shd w:val="clear" w:color="auto" w:fill="auto"/>
            <w:noWrap/>
            <w:vAlign w:val="center"/>
          </w:tcPr>
          <w:p w14:paraId="38A53CD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141.59</w:t>
            </w:r>
          </w:p>
        </w:tc>
        <w:tc>
          <w:tcPr>
            <w:tcW w:w="415" w:type="pct"/>
            <w:shd w:val="clear" w:color="auto" w:fill="auto"/>
            <w:noWrap/>
            <w:vAlign w:val="center"/>
          </w:tcPr>
          <w:p w14:paraId="361B1C8E"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79%</w:t>
            </w:r>
          </w:p>
        </w:tc>
        <w:tc>
          <w:tcPr>
            <w:tcW w:w="584" w:type="pct"/>
            <w:shd w:val="clear" w:color="auto" w:fill="auto"/>
            <w:noWrap/>
            <w:vAlign w:val="center"/>
          </w:tcPr>
          <w:p w14:paraId="49234C6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111.86</w:t>
            </w:r>
          </w:p>
        </w:tc>
        <w:tc>
          <w:tcPr>
            <w:tcW w:w="691" w:type="pct"/>
            <w:shd w:val="clear" w:color="auto" w:fill="auto"/>
            <w:noWrap/>
            <w:vAlign w:val="center"/>
          </w:tcPr>
          <w:p w14:paraId="6A35E214"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1,391.50</w:t>
            </w:r>
          </w:p>
        </w:tc>
      </w:tr>
      <w:tr w:rsidR="00C02929" w14:paraId="2B2958AA" w14:textId="77777777">
        <w:trPr>
          <w:trHeight w:val="397"/>
        </w:trPr>
        <w:tc>
          <w:tcPr>
            <w:tcW w:w="812" w:type="pct"/>
            <w:shd w:val="clear" w:color="auto" w:fill="auto"/>
            <w:noWrap/>
            <w:vAlign w:val="center"/>
          </w:tcPr>
          <w:p w14:paraId="170583E5" w14:textId="77777777" w:rsidR="00C02929" w:rsidRDefault="006116D1">
            <w:pPr>
              <w:adjustRightInd w:val="0"/>
              <w:snapToGrid w:val="0"/>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崂山矿泉水</w:t>
            </w:r>
          </w:p>
        </w:tc>
        <w:tc>
          <w:tcPr>
            <w:tcW w:w="665" w:type="pct"/>
            <w:shd w:val="clear" w:color="auto" w:fill="auto"/>
            <w:noWrap/>
            <w:vAlign w:val="center"/>
          </w:tcPr>
          <w:p w14:paraId="49A1988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20.78</w:t>
            </w:r>
          </w:p>
        </w:tc>
        <w:tc>
          <w:tcPr>
            <w:tcW w:w="666" w:type="pct"/>
            <w:shd w:val="clear" w:color="auto" w:fill="auto"/>
            <w:noWrap/>
            <w:vAlign w:val="center"/>
          </w:tcPr>
          <w:p w14:paraId="5765063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00" w:type="pct"/>
            <w:shd w:val="clear" w:color="auto" w:fill="auto"/>
            <w:noWrap/>
            <w:vAlign w:val="center"/>
          </w:tcPr>
          <w:p w14:paraId="59ACA5B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67" w:type="pct"/>
            <w:shd w:val="clear" w:color="auto" w:fill="auto"/>
            <w:noWrap/>
            <w:vAlign w:val="center"/>
          </w:tcPr>
          <w:p w14:paraId="4F5EB56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415" w:type="pct"/>
            <w:shd w:val="clear" w:color="auto" w:fill="auto"/>
            <w:noWrap/>
            <w:vAlign w:val="center"/>
          </w:tcPr>
          <w:p w14:paraId="7F62DCC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84" w:type="pct"/>
            <w:shd w:val="clear" w:color="auto" w:fill="auto"/>
            <w:noWrap/>
            <w:vAlign w:val="center"/>
          </w:tcPr>
          <w:p w14:paraId="0EBDAC3F"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691" w:type="pct"/>
            <w:shd w:val="clear" w:color="auto" w:fill="auto"/>
            <w:noWrap/>
            <w:vAlign w:val="center"/>
          </w:tcPr>
          <w:p w14:paraId="1D85A576"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6B85FC65" w14:textId="77777777">
        <w:trPr>
          <w:trHeight w:val="397"/>
        </w:trPr>
        <w:tc>
          <w:tcPr>
            <w:tcW w:w="812" w:type="pct"/>
            <w:shd w:val="clear" w:color="auto" w:fill="auto"/>
            <w:noWrap/>
            <w:vAlign w:val="center"/>
          </w:tcPr>
          <w:p w14:paraId="6C3B3F75"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65" w:type="pct"/>
            <w:shd w:val="clear" w:color="auto" w:fill="auto"/>
            <w:noWrap/>
            <w:vAlign w:val="center"/>
          </w:tcPr>
          <w:p w14:paraId="37FE5335"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15,056.17</w:t>
            </w:r>
          </w:p>
        </w:tc>
        <w:tc>
          <w:tcPr>
            <w:tcW w:w="666" w:type="pct"/>
            <w:shd w:val="clear" w:color="auto" w:fill="auto"/>
            <w:noWrap/>
            <w:vAlign w:val="center"/>
          </w:tcPr>
          <w:p w14:paraId="32CADAB7"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20,477.55</w:t>
            </w:r>
          </w:p>
        </w:tc>
        <w:tc>
          <w:tcPr>
            <w:tcW w:w="500" w:type="pct"/>
            <w:shd w:val="clear" w:color="auto" w:fill="auto"/>
            <w:noWrap/>
            <w:vAlign w:val="center"/>
          </w:tcPr>
          <w:p w14:paraId="2B357CBE"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884.96</w:t>
            </w:r>
          </w:p>
        </w:tc>
        <w:tc>
          <w:tcPr>
            <w:tcW w:w="667" w:type="pct"/>
            <w:shd w:val="clear" w:color="auto" w:fill="auto"/>
            <w:noWrap/>
            <w:vAlign w:val="center"/>
          </w:tcPr>
          <w:p w14:paraId="3DFF4BD5"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12,601.77</w:t>
            </w:r>
          </w:p>
        </w:tc>
        <w:tc>
          <w:tcPr>
            <w:tcW w:w="415" w:type="pct"/>
            <w:shd w:val="clear" w:color="auto" w:fill="auto"/>
            <w:noWrap/>
            <w:vAlign w:val="center"/>
          </w:tcPr>
          <w:p w14:paraId="060CF6CF"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84" w:type="pct"/>
            <w:shd w:val="clear" w:color="auto" w:fill="auto"/>
            <w:noWrap/>
            <w:vAlign w:val="center"/>
          </w:tcPr>
          <w:p w14:paraId="3A65212A"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9,955.40</w:t>
            </w:r>
          </w:p>
        </w:tc>
        <w:tc>
          <w:tcPr>
            <w:tcW w:w="691" w:type="pct"/>
            <w:shd w:val="clear" w:color="auto" w:fill="auto"/>
            <w:noWrap/>
            <w:vAlign w:val="center"/>
          </w:tcPr>
          <w:p w14:paraId="54B62A6A"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31,317.91</w:t>
            </w:r>
          </w:p>
        </w:tc>
      </w:tr>
    </w:tbl>
    <w:p w14:paraId="0E30B15F"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color w:val="000000"/>
        </w:rPr>
        <w:t>标的公司</w:t>
      </w:r>
      <w:r>
        <w:rPr>
          <w:rFonts w:ascii="Times New Roman" w:hAnsi="Times New Roman" w:cs="Times New Roman" w:hint="eastAsia"/>
        </w:rPr>
        <w:t>业务可以覆盖冰箱、洗衣机、洗碗机、电热设备等白色家电主要产品，是少有的能提供多产品智能生产线及配套系统全流程服务的供应商，</w:t>
      </w:r>
      <w:r>
        <w:rPr>
          <w:rFonts w:ascii="Times New Roman" w:hAnsi="Times New Roman" w:cs="Times New Roman"/>
          <w:color w:val="000000"/>
        </w:rPr>
        <w:t>2021</w:t>
      </w:r>
      <w:r>
        <w:rPr>
          <w:rFonts w:ascii="Times New Roman" w:hAnsi="Times New Roman" w:cs="Times New Roman" w:hint="eastAsia"/>
          <w:color w:val="000000"/>
        </w:rPr>
        <w:t>年标的公司三大客户的在手订单预计收入较</w:t>
      </w:r>
      <w:r>
        <w:rPr>
          <w:rFonts w:ascii="Times New Roman" w:hAnsi="Times New Roman" w:cs="Times New Roman"/>
          <w:color w:val="000000"/>
        </w:rPr>
        <w:t>2020</w:t>
      </w:r>
      <w:r>
        <w:rPr>
          <w:rFonts w:ascii="Times New Roman" w:hAnsi="Times New Roman" w:cs="Times New Roman" w:hint="eastAsia"/>
          <w:color w:val="000000"/>
        </w:rPr>
        <w:t>年均成上升状态，</w:t>
      </w:r>
      <w:r>
        <w:rPr>
          <w:rFonts w:ascii="Times New Roman" w:hAnsi="Times New Roman" w:cs="Times New Roman" w:hint="eastAsia"/>
        </w:rPr>
        <w:t>客户黏性较高。</w:t>
      </w:r>
    </w:p>
    <w:p w14:paraId="7D113498" w14:textId="77777777" w:rsidR="00C02929" w:rsidRDefault="006116D1">
      <w:pPr>
        <w:spacing w:beforeLines="50" w:before="156" w:line="360" w:lineRule="auto"/>
        <w:ind w:firstLineChars="200" w:firstLine="482"/>
        <w:jc w:val="both"/>
        <w:outlineLvl w:val="2"/>
        <w:rPr>
          <w:rFonts w:ascii="Times New Roman" w:hAnsi="Times New Roman" w:cs="Times New Roman"/>
          <w:bCs/>
          <w:color w:val="000000"/>
          <w:szCs w:val="21"/>
        </w:rPr>
      </w:pPr>
      <w:r>
        <w:rPr>
          <w:rFonts w:ascii="Times New Roman" w:hAnsi="Times New Roman" w:cs="Times New Roman" w:hint="eastAsia"/>
          <w:b/>
          <w:color w:val="000000"/>
          <w:szCs w:val="21"/>
        </w:rPr>
        <w:lastRenderedPageBreak/>
        <w:t>五、标的公司资产预测期营业收入及利润预测的合理性</w:t>
      </w:r>
    </w:p>
    <w:p w14:paraId="181B9612"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对北洋天青未来预测收入及利润规模如下：</w:t>
      </w:r>
    </w:p>
    <w:p w14:paraId="7558E4E9"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105"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532"/>
        <w:gridCol w:w="8"/>
        <w:gridCol w:w="1077"/>
        <w:gridCol w:w="1015"/>
        <w:gridCol w:w="1015"/>
        <w:gridCol w:w="1015"/>
        <w:gridCol w:w="1034"/>
        <w:gridCol w:w="1016"/>
        <w:gridCol w:w="980"/>
        <w:gridCol w:w="9"/>
      </w:tblGrid>
      <w:tr w:rsidR="00C02929" w14:paraId="59F251ED" w14:textId="77777777">
        <w:trPr>
          <w:trHeight w:val="397"/>
          <w:tblHeader/>
        </w:trPr>
        <w:tc>
          <w:tcPr>
            <w:tcW w:w="881" w:type="pct"/>
            <w:vMerge w:val="restart"/>
            <w:shd w:val="clear" w:color="auto" w:fill="auto"/>
            <w:noWrap/>
            <w:vAlign w:val="center"/>
          </w:tcPr>
          <w:p w14:paraId="6E52BD92"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4119" w:type="pct"/>
            <w:gridSpan w:val="9"/>
            <w:shd w:val="clear" w:color="auto" w:fill="auto"/>
            <w:noWrap/>
            <w:vAlign w:val="center"/>
          </w:tcPr>
          <w:p w14:paraId="773F7ED9"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未来预测</w:t>
            </w:r>
          </w:p>
        </w:tc>
      </w:tr>
      <w:tr w:rsidR="00C02929" w14:paraId="727A9179" w14:textId="77777777">
        <w:trPr>
          <w:gridAfter w:val="1"/>
          <w:wAfter w:w="8" w:type="pct"/>
          <w:trHeight w:val="397"/>
          <w:tblHeader/>
        </w:trPr>
        <w:tc>
          <w:tcPr>
            <w:tcW w:w="881" w:type="pct"/>
            <w:vMerge/>
            <w:shd w:val="clear" w:color="auto" w:fill="auto"/>
            <w:vAlign w:val="center"/>
          </w:tcPr>
          <w:p w14:paraId="403DDE1E" w14:textId="77777777" w:rsidR="00C02929" w:rsidRDefault="00C02929">
            <w:pPr>
              <w:ind w:leftChars="-25" w:left="-60" w:rightChars="-25" w:right="-60"/>
              <w:rPr>
                <w:rFonts w:ascii="Times New Roman" w:hAnsi="Times New Roman" w:cs="Times New Roman"/>
                <w:b/>
                <w:bCs/>
                <w:sz w:val="21"/>
                <w:szCs w:val="21"/>
              </w:rPr>
            </w:pPr>
          </w:p>
        </w:tc>
        <w:tc>
          <w:tcPr>
            <w:tcW w:w="623" w:type="pct"/>
            <w:gridSpan w:val="2"/>
            <w:shd w:val="clear" w:color="auto" w:fill="auto"/>
            <w:vAlign w:val="center"/>
          </w:tcPr>
          <w:p w14:paraId="207F09C1"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83" w:type="pct"/>
            <w:shd w:val="clear" w:color="auto" w:fill="auto"/>
            <w:vAlign w:val="center"/>
          </w:tcPr>
          <w:p w14:paraId="44A5F752"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83" w:type="pct"/>
            <w:shd w:val="clear" w:color="auto" w:fill="auto"/>
            <w:vAlign w:val="center"/>
          </w:tcPr>
          <w:p w14:paraId="2E0DE632"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83" w:type="pct"/>
            <w:shd w:val="clear" w:color="auto" w:fill="auto"/>
            <w:vAlign w:val="center"/>
          </w:tcPr>
          <w:p w14:paraId="6644EB19"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94" w:type="pct"/>
            <w:shd w:val="clear" w:color="auto" w:fill="auto"/>
            <w:vAlign w:val="center"/>
          </w:tcPr>
          <w:p w14:paraId="7CFBFD3D"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84" w:type="pct"/>
            <w:shd w:val="clear" w:color="auto" w:fill="auto"/>
            <w:vAlign w:val="center"/>
          </w:tcPr>
          <w:p w14:paraId="6A2F0139"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63" w:type="pct"/>
            <w:shd w:val="clear" w:color="auto" w:fill="auto"/>
            <w:noWrap/>
            <w:vAlign w:val="center"/>
          </w:tcPr>
          <w:p w14:paraId="284ECF7C"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C02929" w14:paraId="6C26E965" w14:textId="77777777">
        <w:trPr>
          <w:gridAfter w:val="1"/>
          <w:wAfter w:w="8" w:type="pct"/>
          <w:trHeight w:val="397"/>
        </w:trPr>
        <w:tc>
          <w:tcPr>
            <w:tcW w:w="886" w:type="pct"/>
            <w:gridSpan w:val="2"/>
            <w:shd w:val="clear" w:color="auto" w:fill="auto"/>
            <w:noWrap/>
            <w:vAlign w:val="center"/>
          </w:tcPr>
          <w:p w14:paraId="632BCF75" w14:textId="77777777" w:rsidR="00C02929" w:rsidRDefault="00CD5E41">
            <w:pPr>
              <w:ind w:leftChars="-25" w:left="-60" w:rightChars="-25" w:right="-60"/>
              <w:rPr>
                <w:rFonts w:ascii="Times New Roman" w:hAnsi="Times New Roman" w:cs="Times New Roman"/>
                <w:b/>
                <w:bCs/>
                <w:sz w:val="21"/>
                <w:szCs w:val="21"/>
              </w:rPr>
            </w:pPr>
            <w:hyperlink r:id="rId29" w:anchor="营业收入!A1" w:history="1">
              <w:r w:rsidR="006116D1">
                <w:rPr>
                  <w:rFonts w:ascii="Times New Roman" w:hAnsi="Times New Roman" w:cs="Times New Roman" w:hint="eastAsia"/>
                  <w:b/>
                  <w:bCs/>
                  <w:sz w:val="21"/>
                  <w:szCs w:val="21"/>
                </w:rPr>
                <w:t>一、营业收入</w:t>
              </w:r>
            </w:hyperlink>
          </w:p>
        </w:tc>
        <w:tc>
          <w:tcPr>
            <w:tcW w:w="619" w:type="pct"/>
            <w:shd w:val="clear" w:color="auto" w:fill="auto"/>
            <w:noWrap/>
            <w:vAlign w:val="center"/>
          </w:tcPr>
          <w:p w14:paraId="22C2A92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11,665.26</w:t>
            </w:r>
          </w:p>
        </w:tc>
        <w:tc>
          <w:tcPr>
            <w:tcW w:w="583" w:type="pct"/>
            <w:shd w:val="clear" w:color="auto" w:fill="auto"/>
            <w:noWrap/>
            <w:vAlign w:val="center"/>
          </w:tcPr>
          <w:p w14:paraId="20DF008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29,249.24</w:t>
            </w:r>
          </w:p>
        </w:tc>
        <w:tc>
          <w:tcPr>
            <w:tcW w:w="583" w:type="pct"/>
            <w:shd w:val="clear" w:color="auto" w:fill="auto"/>
            <w:noWrap/>
            <w:vAlign w:val="center"/>
          </w:tcPr>
          <w:p w14:paraId="2622FA1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32,361.96</w:t>
            </w:r>
          </w:p>
        </w:tc>
        <w:tc>
          <w:tcPr>
            <w:tcW w:w="583" w:type="pct"/>
            <w:shd w:val="clear" w:color="auto" w:fill="auto"/>
            <w:noWrap/>
            <w:vAlign w:val="center"/>
          </w:tcPr>
          <w:p w14:paraId="26E19BD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34,790.00</w:t>
            </w:r>
          </w:p>
        </w:tc>
        <w:tc>
          <w:tcPr>
            <w:tcW w:w="594" w:type="pct"/>
            <w:shd w:val="clear" w:color="auto" w:fill="auto"/>
            <w:noWrap/>
            <w:vAlign w:val="center"/>
          </w:tcPr>
          <w:p w14:paraId="3824BCF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36,700.00</w:t>
            </w:r>
          </w:p>
        </w:tc>
        <w:tc>
          <w:tcPr>
            <w:tcW w:w="584" w:type="pct"/>
            <w:shd w:val="clear" w:color="auto" w:fill="auto"/>
            <w:noWrap/>
            <w:vAlign w:val="center"/>
          </w:tcPr>
          <w:p w14:paraId="7471D6C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c>
          <w:tcPr>
            <w:tcW w:w="563" w:type="pct"/>
            <w:shd w:val="clear" w:color="auto" w:fill="auto"/>
            <w:noWrap/>
            <w:vAlign w:val="center"/>
          </w:tcPr>
          <w:p w14:paraId="4E49469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r>
      <w:tr w:rsidR="00C02929" w14:paraId="097CD817" w14:textId="77777777">
        <w:trPr>
          <w:gridAfter w:val="1"/>
          <w:wAfter w:w="8" w:type="pct"/>
          <w:trHeight w:val="397"/>
        </w:trPr>
        <w:tc>
          <w:tcPr>
            <w:tcW w:w="886" w:type="pct"/>
            <w:gridSpan w:val="2"/>
            <w:shd w:val="clear" w:color="auto" w:fill="auto"/>
            <w:noWrap/>
            <w:vAlign w:val="center"/>
          </w:tcPr>
          <w:p w14:paraId="2BD4CB44" w14:textId="77777777" w:rsidR="00C02929" w:rsidRDefault="00CD5E41">
            <w:pPr>
              <w:ind w:leftChars="-25" w:left="-60" w:rightChars="-25" w:right="-60"/>
              <w:rPr>
                <w:rFonts w:ascii="Times New Roman" w:hAnsi="Times New Roman" w:cs="Times New Roman"/>
                <w:sz w:val="21"/>
                <w:szCs w:val="21"/>
              </w:rPr>
            </w:pPr>
            <w:hyperlink r:id="rId30" w:anchor="营业成本!A1" w:history="1">
              <w:r w:rsidR="006116D1">
                <w:rPr>
                  <w:rFonts w:ascii="Times New Roman" w:hAnsi="Times New Roman" w:cs="Times New Roman" w:hint="eastAsia"/>
                  <w:sz w:val="21"/>
                  <w:szCs w:val="21"/>
                </w:rPr>
                <w:t>减：营业成本</w:t>
              </w:r>
            </w:hyperlink>
          </w:p>
        </w:tc>
        <w:tc>
          <w:tcPr>
            <w:tcW w:w="619" w:type="pct"/>
            <w:shd w:val="clear" w:color="auto" w:fill="auto"/>
            <w:noWrap/>
            <w:vAlign w:val="center"/>
          </w:tcPr>
          <w:p w14:paraId="1D86C80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583" w:type="pct"/>
            <w:shd w:val="clear" w:color="auto" w:fill="auto"/>
            <w:noWrap/>
            <w:vAlign w:val="center"/>
          </w:tcPr>
          <w:p w14:paraId="56B52DC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583" w:type="pct"/>
            <w:shd w:val="clear" w:color="auto" w:fill="auto"/>
            <w:noWrap/>
            <w:vAlign w:val="center"/>
          </w:tcPr>
          <w:p w14:paraId="7FA9243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583" w:type="pct"/>
            <w:shd w:val="clear" w:color="auto" w:fill="auto"/>
            <w:noWrap/>
            <w:vAlign w:val="center"/>
          </w:tcPr>
          <w:p w14:paraId="16DE7F4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594" w:type="pct"/>
            <w:shd w:val="clear" w:color="auto" w:fill="auto"/>
            <w:noWrap/>
            <w:vAlign w:val="center"/>
          </w:tcPr>
          <w:p w14:paraId="70C4F2C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584" w:type="pct"/>
            <w:shd w:val="clear" w:color="auto" w:fill="auto"/>
            <w:noWrap/>
            <w:vAlign w:val="center"/>
          </w:tcPr>
          <w:p w14:paraId="4EA3648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563" w:type="pct"/>
            <w:shd w:val="clear" w:color="auto" w:fill="auto"/>
            <w:noWrap/>
            <w:vAlign w:val="center"/>
          </w:tcPr>
          <w:p w14:paraId="6D55A3E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r w:rsidR="00C02929" w14:paraId="17F446F3" w14:textId="77777777">
        <w:trPr>
          <w:gridAfter w:val="1"/>
          <w:wAfter w:w="8" w:type="pct"/>
          <w:trHeight w:val="397"/>
        </w:trPr>
        <w:tc>
          <w:tcPr>
            <w:tcW w:w="886" w:type="pct"/>
            <w:gridSpan w:val="2"/>
            <w:shd w:val="clear" w:color="auto" w:fill="auto"/>
            <w:noWrap/>
            <w:vAlign w:val="center"/>
          </w:tcPr>
          <w:p w14:paraId="157AACD2" w14:textId="77777777" w:rsidR="00C02929" w:rsidRDefault="00CD5E41">
            <w:pPr>
              <w:ind w:leftChars="-25" w:left="-60" w:rightChars="-25" w:right="-60"/>
              <w:rPr>
                <w:rFonts w:ascii="Times New Roman" w:hAnsi="Times New Roman" w:cs="Times New Roman"/>
                <w:sz w:val="21"/>
                <w:szCs w:val="21"/>
              </w:rPr>
            </w:pPr>
            <w:hyperlink r:id="rId31" w:anchor="RANGE!A1" w:history="1">
              <w:r w:rsidR="006116D1">
                <w:rPr>
                  <w:rFonts w:ascii="Times New Roman" w:hAnsi="Times New Roman" w:cs="Times New Roman" w:hint="eastAsia"/>
                  <w:sz w:val="21"/>
                  <w:szCs w:val="21"/>
                </w:rPr>
                <w:t>营业税金及附加</w:t>
              </w:r>
            </w:hyperlink>
          </w:p>
        </w:tc>
        <w:tc>
          <w:tcPr>
            <w:tcW w:w="619" w:type="pct"/>
            <w:shd w:val="clear" w:color="auto" w:fill="auto"/>
            <w:noWrap/>
            <w:vAlign w:val="center"/>
          </w:tcPr>
          <w:p w14:paraId="1E44AC3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67.03</w:t>
            </w:r>
          </w:p>
        </w:tc>
        <w:tc>
          <w:tcPr>
            <w:tcW w:w="583" w:type="pct"/>
            <w:shd w:val="clear" w:color="auto" w:fill="auto"/>
            <w:noWrap/>
            <w:vAlign w:val="center"/>
          </w:tcPr>
          <w:p w14:paraId="4B8E743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155.36</w:t>
            </w:r>
          </w:p>
        </w:tc>
        <w:tc>
          <w:tcPr>
            <w:tcW w:w="583" w:type="pct"/>
            <w:shd w:val="clear" w:color="auto" w:fill="auto"/>
            <w:noWrap/>
            <w:vAlign w:val="center"/>
          </w:tcPr>
          <w:p w14:paraId="330E615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172.05</w:t>
            </w:r>
          </w:p>
        </w:tc>
        <w:tc>
          <w:tcPr>
            <w:tcW w:w="583" w:type="pct"/>
            <w:shd w:val="clear" w:color="auto" w:fill="auto"/>
            <w:noWrap/>
            <w:vAlign w:val="center"/>
          </w:tcPr>
          <w:p w14:paraId="49B81E6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185.07</w:t>
            </w:r>
          </w:p>
        </w:tc>
        <w:tc>
          <w:tcPr>
            <w:tcW w:w="594" w:type="pct"/>
            <w:shd w:val="clear" w:color="auto" w:fill="auto"/>
            <w:noWrap/>
            <w:vAlign w:val="center"/>
          </w:tcPr>
          <w:p w14:paraId="3772C47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195.31</w:t>
            </w:r>
          </w:p>
        </w:tc>
        <w:tc>
          <w:tcPr>
            <w:tcW w:w="584" w:type="pct"/>
            <w:shd w:val="clear" w:color="auto" w:fill="auto"/>
            <w:noWrap/>
            <w:vAlign w:val="center"/>
          </w:tcPr>
          <w:p w14:paraId="48E8A0F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c>
          <w:tcPr>
            <w:tcW w:w="563" w:type="pct"/>
            <w:shd w:val="clear" w:color="auto" w:fill="auto"/>
            <w:noWrap/>
            <w:vAlign w:val="center"/>
          </w:tcPr>
          <w:p w14:paraId="1F72F38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r>
      <w:tr w:rsidR="00C02929" w14:paraId="085844FD" w14:textId="77777777">
        <w:trPr>
          <w:gridAfter w:val="1"/>
          <w:wAfter w:w="8" w:type="pct"/>
          <w:trHeight w:val="397"/>
        </w:trPr>
        <w:tc>
          <w:tcPr>
            <w:tcW w:w="886" w:type="pct"/>
            <w:gridSpan w:val="2"/>
            <w:shd w:val="clear" w:color="auto" w:fill="auto"/>
            <w:noWrap/>
            <w:vAlign w:val="center"/>
          </w:tcPr>
          <w:p w14:paraId="11529CC4" w14:textId="77777777" w:rsidR="00C02929" w:rsidRDefault="00CD5E41">
            <w:pPr>
              <w:ind w:leftChars="-25" w:left="-60" w:rightChars="-25" w:right="-60"/>
              <w:rPr>
                <w:rFonts w:ascii="Times New Roman" w:hAnsi="Times New Roman" w:cs="Times New Roman"/>
                <w:sz w:val="21"/>
                <w:szCs w:val="21"/>
              </w:rPr>
            </w:pPr>
            <w:hyperlink r:id="rId32" w:anchor="销售费用!A1" w:history="1">
              <w:r w:rsidR="006116D1">
                <w:rPr>
                  <w:rFonts w:ascii="Times New Roman" w:hAnsi="Times New Roman" w:cs="Times New Roman" w:hint="eastAsia"/>
                  <w:sz w:val="21"/>
                  <w:szCs w:val="21"/>
                </w:rPr>
                <w:t>销售费用</w:t>
              </w:r>
            </w:hyperlink>
          </w:p>
        </w:tc>
        <w:tc>
          <w:tcPr>
            <w:tcW w:w="619" w:type="pct"/>
            <w:shd w:val="clear" w:color="auto" w:fill="auto"/>
            <w:noWrap/>
            <w:vAlign w:val="center"/>
          </w:tcPr>
          <w:p w14:paraId="2954BF6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352.04</w:t>
            </w:r>
          </w:p>
        </w:tc>
        <w:tc>
          <w:tcPr>
            <w:tcW w:w="583" w:type="pct"/>
            <w:shd w:val="clear" w:color="auto" w:fill="auto"/>
            <w:noWrap/>
            <w:vAlign w:val="center"/>
          </w:tcPr>
          <w:p w14:paraId="3340A99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891.33</w:t>
            </w:r>
          </w:p>
        </w:tc>
        <w:tc>
          <w:tcPr>
            <w:tcW w:w="583" w:type="pct"/>
            <w:shd w:val="clear" w:color="auto" w:fill="auto"/>
            <w:noWrap/>
            <w:vAlign w:val="center"/>
          </w:tcPr>
          <w:p w14:paraId="52B6DC6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982.01</w:t>
            </w:r>
          </w:p>
        </w:tc>
        <w:tc>
          <w:tcPr>
            <w:tcW w:w="583" w:type="pct"/>
            <w:shd w:val="clear" w:color="auto" w:fill="auto"/>
            <w:noWrap/>
            <w:vAlign w:val="center"/>
          </w:tcPr>
          <w:p w14:paraId="4C32070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1,062.29</w:t>
            </w:r>
          </w:p>
        </w:tc>
        <w:tc>
          <w:tcPr>
            <w:tcW w:w="594" w:type="pct"/>
            <w:shd w:val="clear" w:color="auto" w:fill="auto"/>
            <w:noWrap/>
            <w:vAlign w:val="center"/>
          </w:tcPr>
          <w:p w14:paraId="3644667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1,116.15</w:t>
            </w:r>
          </w:p>
        </w:tc>
        <w:tc>
          <w:tcPr>
            <w:tcW w:w="584" w:type="pct"/>
            <w:shd w:val="clear" w:color="auto" w:fill="auto"/>
            <w:noWrap/>
            <w:vAlign w:val="center"/>
          </w:tcPr>
          <w:p w14:paraId="791AE12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c>
          <w:tcPr>
            <w:tcW w:w="563" w:type="pct"/>
            <w:shd w:val="clear" w:color="auto" w:fill="auto"/>
            <w:noWrap/>
            <w:vAlign w:val="center"/>
          </w:tcPr>
          <w:p w14:paraId="173C88C9"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r>
      <w:tr w:rsidR="00C02929" w14:paraId="581D8922" w14:textId="77777777">
        <w:trPr>
          <w:gridAfter w:val="1"/>
          <w:wAfter w:w="8" w:type="pct"/>
          <w:trHeight w:val="397"/>
        </w:trPr>
        <w:tc>
          <w:tcPr>
            <w:tcW w:w="886" w:type="pct"/>
            <w:gridSpan w:val="2"/>
            <w:shd w:val="clear" w:color="auto" w:fill="auto"/>
            <w:noWrap/>
            <w:vAlign w:val="center"/>
          </w:tcPr>
          <w:p w14:paraId="3D5B59B4" w14:textId="77777777" w:rsidR="00C02929" w:rsidRDefault="00CD5E41">
            <w:pPr>
              <w:ind w:leftChars="-25" w:left="-60" w:rightChars="-25" w:right="-60"/>
              <w:rPr>
                <w:rFonts w:ascii="Times New Roman" w:hAnsi="Times New Roman" w:cs="Times New Roman"/>
                <w:sz w:val="21"/>
                <w:szCs w:val="21"/>
              </w:rPr>
            </w:pPr>
            <w:hyperlink r:id="rId33" w:anchor="管理费用!A1" w:history="1">
              <w:r w:rsidR="006116D1">
                <w:rPr>
                  <w:rFonts w:ascii="Times New Roman" w:hAnsi="Times New Roman" w:cs="Times New Roman" w:hint="eastAsia"/>
                  <w:sz w:val="21"/>
                  <w:szCs w:val="21"/>
                </w:rPr>
                <w:t>管理费用</w:t>
              </w:r>
            </w:hyperlink>
          </w:p>
        </w:tc>
        <w:tc>
          <w:tcPr>
            <w:tcW w:w="619" w:type="pct"/>
            <w:shd w:val="clear" w:color="auto" w:fill="auto"/>
            <w:noWrap/>
            <w:vAlign w:val="center"/>
          </w:tcPr>
          <w:p w14:paraId="748D264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694.96</w:t>
            </w:r>
          </w:p>
        </w:tc>
        <w:tc>
          <w:tcPr>
            <w:tcW w:w="583" w:type="pct"/>
            <w:shd w:val="clear" w:color="auto" w:fill="auto"/>
            <w:noWrap/>
            <w:vAlign w:val="center"/>
          </w:tcPr>
          <w:p w14:paraId="6602747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2,053.60</w:t>
            </w:r>
          </w:p>
        </w:tc>
        <w:tc>
          <w:tcPr>
            <w:tcW w:w="583" w:type="pct"/>
            <w:shd w:val="clear" w:color="auto" w:fill="auto"/>
            <w:noWrap/>
            <w:vAlign w:val="center"/>
          </w:tcPr>
          <w:p w14:paraId="073AF10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2,324.17</w:t>
            </w:r>
          </w:p>
        </w:tc>
        <w:tc>
          <w:tcPr>
            <w:tcW w:w="583" w:type="pct"/>
            <w:shd w:val="clear" w:color="auto" w:fill="auto"/>
            <w:noWrap/>
            <w:vAlign w:val="center"/>
          </w:tcPr>
          <w:p w14:paraId="7B3DF77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2,545.42</w:t>
            </w:r>
          </w:p>
        </w:tc>
        <w:tc>
          <w:tcPr>
            <w:tcW w:w="594" w:type="pct"/>
            <w:shd w:val="clear" w:color="auto" w:fill="auto"/>
            <w:noWrap/>
            <w:vAlign w:val="center"/>
          </w:tcPr>
          <w:p w14:paraId="134C044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2,674.11</w:t>
            </w:r>
          </w:p>
        </w:tc>
        <w:tc>
          <w:tcPr>
            <w:tcW w:w="584" w:type="pct"/>
            <w:shd w:val="clear" w:color="auto" w:fill="auto"/>
            <w:noWrap/>
            <w:vAlign w:val="center"/>
          </w:tcPr>
          <w:p w14:paraId="664CBC2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c>
          <w:tcPr>
            <w:tcW w:w="563" w:type="pct"/>
            <w:shd w:val="clear" w:color="auto" w:fill="auto"/>
            <w:noWrap/>
            <w:vAlign w:val="center"/>
          </w:tcPr>
          <w:p w14:paraId="28DA41D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r>
      <w:tr w:rsidR="00C02929" w14:paraId="08CD875A" w14:textId="77777777">
        <w:trPr>
          <w:gridAfter w:val="1"/>
          <w:wAfter w:w="8" w:type="pct"/>
          <w:trHeight w:val="397"/>
        </w:trPr>
        <w:tc>
          <w:tcPr>
            <w:tcW w:w="886" w:type="pct"/>
            <w:gridSpan w:val="2"/>
            <w:shd w:val="clear" w:color="auto" w:fill="auto"/>
            <w:noWrap/>
            <w:vAlign w:val="center"/>
          </w:tcPr>
          <w:p w14:paraId="0022D2FE"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研发费用</w:t>
            </w:r>
          </w:p>
        </w:tc>
        <w:tc>
          <w:tcPr>
            <w:tcW w:w="619" w:type="pct"/>
            <w:shd w:val="clear" w:color="auto" w:fill="auto"/>
            <w:noWrap/>
            <w:vAlign w:val="center"/>
          </w:tcPr>
          <w:p w14:paraId="5305147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721.37</w:t>
            </w:r>
          </w:p>
        </w:tc>
        <w:tc>
          <w:tcPr>
            <w:tcW w:w="583" w:type="pct"/>
            <w:shd w:val="clear" w:color="auto" w:fill="auto"/>
            <w:noWrap/>
            <w:vAlign w:val="center"/>
          </w:tcPr>
          <w:p w14:paraId="04F004C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2,367.36</w:t>
            </w:r>
          </w:p>
        </w:tc>
        <w:tc>
          <w:tcPr>
            <w:tcW w:w="583" w:type="pct"/>
            <w:shd w:val="clear" w:color="auto" w:fill="auto"/>
            <w:noWrap/>
            <w:vAlign w:val="center"/>
          </w:tcPr>
          <w:p w14:paraId="06F4612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2,713.05</w:t>
            </w:r>
          </w:p>
        </w:tc>
        <w:tc>
          <w:tcPr>
            <w:tcW w:w="583" w:type="pct"/>
            <w:shd w:val="clear" w:color="auto" w:fill="auto"/>
            <w:noWrap/>
            <w:vAlign w:val="center"/>
          </w:tcPr>
          <w:p w14:paraId="684099C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2,977.88</w:t>
            </w:r>
          </w:p>
        </w:tc>
        <w:tc>
          <w:tcPr>
            <w:tcW w:w="594" w:type="pct"/>
            <w:shd w:val="clear" w:color="auto" w:fill="auto"/>
            <w:noWrap/>
            <w:vAlign w:val="center"/>
          </w:tcPr>
          <w:p w14:paraId="1157EAA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3,128.79</w:t>
            </w:r>
          </w:p>
        </w:tc>
        <w:tc>
          <w:tcPr>
            <w:tcW w:w="584" w:type="pct"/>
            <w:shd w:val="clear" w:color="auto" w:fill="auto"/>
            <w:noWrap/>
            <w:vAlign w:val="center"/>
          </w:tcPr>
          <w:p w14:paraId="74D25C4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c>
          <w:tcPr>
            <w:tcW w:w="563" w:type="pct"/>
            <w:shd w:val="clear" w:color="auto" w:fill="auto"/>
            <w:noWrap/>
            <w:vAlign w:val="center"/>
          </w:tcPr>
          <w:p w14:paraId="452A74B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r>
      <w:tr w:rsidR="00C02929" w14:paraId="40274F2D" w14:textId="77777777">
        <w:trPr>
          <w:gridAfter w:val="1"/>
          <w:wAfter w:w="8" w:type="pct"/>
          <w:trHeight w:val="397"/>
        </w:trPr>
        <w:tc>
          <w:tcPr>
            <w:tcW w:w="886" w:type="pct"/>
            <w:gridSpan w:val="2"/>
            <w:shd w:val="clear" w:color="auto" w:fill="auto"/>
            <w:noWrap/>
            <w:vAlign w:val="center"/>
          </w:tcPr>
          <w:p w14:paraId="4FCE3181" w14:textId="77777777" w:rsidR="00C02929" w:rsidRDefault="00CD5E41">
            <w:pPr>
              <w:ind w:leftChars="-25" w:left="-60" w:rightChars="-25" w:right="-60"/>
              <w:rPr>
                <w:rFonts w:ascii="Times New Roman" w:hAnsi="Times New Roman" w:cs="Times New Roman"/>
                <w:sz w:val="21"/>
                <w:szCs w:val="21"/>
              </w:rPr>
            </w:pPr>
            <w:hyperlink r:id="rId34" w:anchor="财务费用!A1" w:history="1">
              <w:r w:rsidR="006116D1">
                <w:rPr>
                  <w:rFonts w:ascii="Times New Roman" w:hAnsi="Times New Roman" w:cs="Times New Roman" w:hint="eastAsia"/>
                  <w:sz w:val="21"/>
                  <w:szCs w:val="21"/>
                </w:rPr>
                <w:t>财务费用</w:t>
              </w:r>
            </w:hyperlink>
          </w:p>
        </w:tc>
        <w:tc>
          <w:tcPr>
            <w:tcW w:w="619" w:type="pct"/>
            <w:shd w:val="clear" w:color="auto" w:fill="auto"/>
            <w:noWrap/>
            <w:vAlign w:val="center"/>
          </w:tcPr>
          <w:p w14:paraId="344E095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2.99</w:t>
            </w:r>
          </w:p>
        </w:tc>
        <w:tc>
          <w:tcPr>
            <w:tcW w:w="583" w:type="pct"/>
            <w:shd w:val="clear" w:color="auto" w:fill="auto"/>
            <w:noWrap/>
            <w:vAlign w:val="center"/>
          </w:tcPr>
          <w:p w14:paraId="30C9228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7.49</w:t>
            </w:r>
          </w:p>
        </w:tc>
        <w:tc>
          <w:tcPr>
            <w:tcW w:w="583" w:type="pct"/>
            <w:shd w:val="clear" w:color="auto" w:fill="auto"/>
            <w:noWrap/>
            <w:vAlign w:val="center"/>
          </w:tcPr>
          <w:p w14:paraId="2F3E594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8.29</w:t>
            </w:r>
          </w:p>
        </w:tc>
        <w:tc>
          <w:tcPr>
            <w:tcW w:w="583" w:type="pct"/>
            <w:shd w:val="clear" w:color="auto" w:fill="auto"/>
            <w:noWrap/>
            <w:vAlign w:val="center"/>
          </w:tcPr>
          <w:p w14:paraId="05F4CB0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w:t>
            </w:r>
          </w:p>
        </w:tc>
        <w:tc>
          <w:tcPr>
            <w:tcW w:w="594" w:type="pct"/>
            <w:shd w:val="clear" w:color="auto" w:fill="auto"/>
            <w:noWrap/>
            <w:vAlign w:val="center"/>
          </w:tcPr>
          <w:p w14:paraId="1B1D55D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9.40</w:t>
            </w:r>
          </w:p>
        </w:tc>
        <w:tc>
          <w:tcPr>
            <w:tcW w:w="584" w:type="pct"/>
            <w:shd w:val="clear" w:color="auto" w:fill="auto"/>
            <w:noWrap/>
            <w:vAlign w:val="center"/>
          </w:tcPr>
          <w:p w14:paraId="4F71BB9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c>
          <w:tcPr>
            <w:tcW w:w="563" w:type="pct"/>
            <w:shd w:val="clear" w:color="auto" w:fill="auto"/>
            <w:noWrap/>
            <w:vAlign w:val="center"/>
          </w:tcPr>
          <w:p w14:paraId="593778E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r>
      <w:tr w:rsidR="00C02929" w14:paraId="6C0F3513" w14:textId="77777777">
        <w:trPr>
          <w:gridAfter w:val="1"/>
          <w:wAfter w:w="8" w:type="pct"/>
          <w:trHeight w:val="397"/>
        </w:trPr>
        <w:tc>
          <w:tcPr>
            <w:tcW w:w="886" w:type="pct"/>
            <w:gridSpan w:val="2"/>
            <w:shd w:val="clear" w:color="auto" w:fill="auto"/>
            <w:noWrap/>
            <w:vAlign w:val="center"/>
          </w:tcPr>
          <w:p w14:paraId="3F154FD5"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信用减值损失</w:t>
            </w:r>
          </w:p>
        </w:tc>
        <w:tc>
          <w:tcPr>
            <w:tcW w:w="619" w:type="pct"/>
            <w:shd w:val="clear" w:color="auto" w:fill="auto"/>
            <w:noWrap/>
          </w:tcPr>
          <w:p w14:paraId="2FA47A18"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53ECAAC8"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960A01C"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AEB29C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3AAE04A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40F4E982"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0EAF099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4D6302B2" w14:textId="77777777">
        <w:trPr>
          <w:gridAfter w:val="1"/>
          <w:wAfter w:w="8" w:type="pct"/>
          <w:trHeight w:val="397"/>
        </w:trPr>
        <w:tc>
          <w:tcPr>
            <w:tcW w:w="886" w:type="pct"/>
            <w:gridSpan w:val="2"/>
            <w:shd w:val="clear" w:color="auto" w:fill="auto"/>
            <w:noWrap/>
            <w:vAlign w:val="center"/>
          </w:tcPr>
          <w:p w14:paraId="1E741097"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加：公允价值变动收益</w:t>
            </w:r>
          </w:p>
        </w:tc>
        <w:tc>
          <w:tcPr>
            <w:tcW w:w="619" w:type="pct"/>
            <w:shd w:val="clear" w:color="auto" w:fill="auto"/>
            <w:noWrap/>
          </w:tcPr>
          <w:p w14:paraId="65AD3FE7"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27972F6"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83C0C60"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2B3A3E1"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00A2C2E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7F1B314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513DDD6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5021F9E8" w14:textId="77777777">
        <w:trPr>
          <w:gridAfter w:val="1"/>
          <w:wAfter w:w="8" w:type="pct"/>
          <w:trHeight w:val="397"/>
        </w:trPr>
        <w:tc>
          <w:tcPr>
            <w:tcW w:w="886" w:type="pct"/>
            <w:gridSpan w:val="2"/>
            <w:shd w:val="clear" w:color="auto" w:fill="auto"/>
            <w:noWrap/>
            <w:vAlign w:val="center"/>
          </w:tcPr>
          <w:p w14:paraId="6A6B376F"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投资收益</w:t>
            </w:r>
          </w:p>
        </w:tc>
        <w:tc>
          <w:tcPr>
            <w:tcW w:w="619" w:type="pct"/>
            <w:shd w:val="clear" w:color="auto" w:fill="auto"/>
            <w:noWrap/>
          </w:tcPr>
          <w:p w14:paraId="2E3A962F"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18A0626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5BEB5D95"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6F72135D"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065DC8C1"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56EB523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1CBE6B2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45378C3A" w14:textId="77777777">
        <w:trPr>
          <w:gridAfter w:val="1"/>
          <w:wAfter w:w="8" w:type="pct"/>
          <w:trHeight w:val="397"/>
        </w:trPr>
        <w:tc>
          <w:tcPr>
            <w:tcW w:w="886" w:type="pct"/>
            <w:gridSpan w:val="2"/>
            <w:shd w:val="clear" w:color="auto" w:fill="auto"/>
            <w:vAlign w:val="center"/>
          </w:tcPr>
          <w:p w14:paraId="427D1658"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其中：对联营企业和合营企业的投资收益</w:t>
            </w:r>
          </w:p>
        </w:tc>
        <w:tc>
          <w:tcPr>
            <w:tcW w:w="619" w:type="pct"/>
            <w:shd w:val="clear" w:color="auto" w:fill="auto"/>
            <w:noWrap/>
          </w:tcPr>
          <w:p w14:paraId="53CEF85F"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61B3C8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1DED4BED"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38690E0"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4C70A9AE"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192A5CEB"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093B5BA5"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3E7E6824" w14:textId="77777777">
        <w:trPr>
          <w:gridAfter w:val="1"/>
          <w:wAfter w:w="8" w:type="pct"/>
          <w:trHeight w:val="397"/>
        </w:trPr>
        <w:tc>
          <w:tcPr>
            <w:tcW w:w="886" w:type="pct"/>
            <w:gridSpan w:val="2"/>
            <w:shd w:val="clear" w:color="auto" w:fill="auto"/>
            <w:noWrap/>
            <w:vAlign w:val="center"/>
          </w:tcPr>
          <w:p w14:paraId="7F0B6B40"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其他收益</w:t>
            </w:r>
          </w:p>
        </w:tc>
        <w:tc>
          <w:tcPr>
            <w:tcW w:w="619" w:type="pct"/>
            <w:shd w:val="clear" w:color="auto" w:fill="auto"/>
            <w:noWrap/>
          </w:tcPr>
          <w:p w14:paraId="741E82D0"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518D5C79"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72171FD"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191EBD32"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4B4CE92D"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609A3E29"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184F8A6E"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271D9C90" w14:textId="77777777">
        <w:trPr>
          <w:gridAfter w:val="1"/>
          <w:wAfter w:w="8" w:type="pct"/>
          <w:trHeight w:val="397"/>
        </w:trPr>
        <w:tc>
          <w:tcPr>
            <w:tcW w:w="886" w:type="pct"/>
            <w:gridSpan w:val="2"/>
            <w:shd w:val="clear" w:color="auto" w:fill="auto"/>
            <w:noWrap/>
            <w:vAlign w:val="center"/>
          </w:tcPr>
          <w:p w14:paraId="126E002D"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资产处置收益</w:t>
            </w:r>
          </w:p>
        </w:tc>
        <w:tc>
          <w:tcPr>
            <w:tcW w:w="619" w:type="pct"/>
            <w:shd w:val="clear" w:color="auto" w:fill="auto"/>
            <w:noWrap/>
          </w:tcPr>
          <w:p w14:paraId="210982AF"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04E7403B"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3697C3F1"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7744CA57"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25136AFC"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74FC174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0616789C"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3B5DD059" w14:textId="77777777">
        <w:trPr>
          <w:gridAfter w:val="1"/>
          <w:wAfter w:w="8" w:type="pct"/>
          <w:trHeight w:val="397"/>
        </w:trPr>
        <w:tc>
          <w:tcPr>
            <w:tcW w:w="886" w:type="pct"/>
            <w:gridSpan w:val="2"/>
            <w:shd w:val="clear" w:color="auto" w:fill="auto"/>
            <w:noWrap/>
            <w:vAlign w:val="center"/>
          </w:tcPr>
          <w:p w14:paraId="360C1A61" w14:textId="77777777" w:rsidR="00C02929" w:rsidRDefault="006116D1">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二、营业利润</w:t>
            </w:r>
          </w:p>
        </w:tc>
        <w:tc>
          <w:tcPr>
            <w:tcW w:w="619" w:type="pct"/>
            <w:shd w:val="clear" w:color="auto" w:fill="auto"/>
            <w:noWrap/>
            <w:vAlign w:val="center"/>
          </w:tcPr>
          <w:p w14:paraId="095CBB75"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3" w:type="pct"/>
            <w:shd w:val="clear" w:color="auto" w:fill="auto"/>
            <w:noWrap/>
            <w:vAlign w:val="center"/>
          </w:tcPr>
          <w:p w14:paraId="45901E2B"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83" w:type="pct"/>
            <w:shd w:val="clear" w:color="auto" w:fill="auto"/>
            <w:noWrap/>
            <w:vAlign w:val="center"/>
          </w:tcPr>
          <w:p w14:paraId="44E226F8"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83" w:type="pct"/>
            <w:shd w:val="clear" w:color="auto" w:fill="auto"/>
            <w:noWrap/>
            <w:vAlign w:val="center"/>
          </w:tcPr>
          <w:p w14:paraId="32FDDFA5"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94" w:type="pct"/>
            <w:shd w:val="clear" w:color="auto" w:fill="auto"/>
            <w:noWrap/>
            <w:vAlign w:val="center"/>
          </w:tcPr>
          <w:p w14:paraId="507997D4"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4" w:type="pct"/>
            <w:shd w:val="clear" w:color="auto" w:fill="auto"/>
            <w:noWrap/>
            <w:vAlign w:val="center"/>
          </w:tcPr>
          <w:p w14:paraId="63C28684"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63" w:type="pct"/>
            <w:shd w:val="clear" w:color="auto" w:fill="auto"/>
            <w:noWrap/>
            <w:vAlign w:val="center"/>
          </w:tcPr>
          <w:p w14:paraId="38AF6260"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C02929" w14:paraId="15CD7834" w14:textId="77777777">
        <w:trPr>
          <w:gridAfter w:val="1"/>
          <w:wAfter w:w="8" w:type="pct"/>
          <w:trHeight w:val="397"/>
        </w:trPr>
        <w:tc>
          <w:tcPr>
            <w:tcW w:w="886" w:type="pct"/>
            <w:gridSpan w:val="2"/>
            <w:shd w:val="clear" w:color="auto" w:fill="auto"/>
            <w:noWrap/>
            <w:vAlign w:val="center"/>
          </w:tcPr>
          <w:p w14:paraId="190EA726"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加：营业外收入</w:t>
            </w:r>
          </w:p>
        </w:tc>
        <w:tc>
          <w:tcPr>
            <w:tcW w:w="619" w:type="pct"/>
            <w:shd w:val="clear" w:color="auto" w:fill="auto"/>
            <w:noWrap/>
          </w:tcPr>
          <w:p w14:paraId="622F14D9"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433FC3F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004CB8B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1A57E96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39A0E2F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6C30E75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2B2717E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09DE071D" w14:textId="77777777">
        <w:trPr>
          <w:gridAfter w:val="1"/>
          <w:wAfter w:w="8" w:type="pct"/>
          <w:trHeight w:val="397"/>
        </w:trPr>
        <w:tc>
          <w:tcPr>
            <w:tcW w:w="886" w:type="pct"/>
            <w:gridSpan w:val="2"/>
            <w:shd w:val="clear" w:color="auto" w:fill="auto"/>
            <w:noWrap/>
            <w:vAlign w:val="center"/>
          </w:tcPr>
          <w:p w14:paraId="0689109A"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减：营业外支出</w:t>
            </w:r>
          </w:p>
        </w:tc>
        <w:tc>
          <w:tcPr>
            <w:tcW w:w="619" w:type="pct"/>
            <w:shd w:val="clear" w:color="auto" w:fill="auto"/>
            <w:noWrap/>
          </w:tcPr>
          <w:p w14:paraId="534E8FC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07EEA91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69D9FBD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3" w:type="pct"/>
            <w:shd w:val="clear" w:color="auto" w:fill="auto"/>
            <w:noWrap/>
          </w:tcPr>
          <w:p w14:paraId="6A9E9C0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94" w:type="pct"/>
            <w:shd w:val="clear" w:color="auto" w:fill="auto"/>
            <w:noWrap/>
          </w:tcPr>
          <w:p w14:paraId="61D4923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4" w:type="pct"/>
            <w:shd w:val="clear" w:color="auto" w:fill="auto"/>
            <w:noWrap/>
          </w:tcPr>
          <w:p w14:paraId="32FACB8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tcPr>
          <w:p w14:paraId="5A5F0209"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2065E478" w14:textId="77777777">
        <w:trPr>
          <w:gridAfter w:val="1"/>
          <w:wAfter w:w="8" w:type="pct"/>
          <w:trHeight w:val="397"/>
        </w:trPr>
        <w:tc>
          <w:tcPr>
            <w:tcW w:w="886" w:type="pct"/>
            <w:gridSpan w:val="2"/>
            <w:shd w:val="clear" w:color="auto" w:fill="auto"/>
            <w:vAlign w:val="center"/>
          </w:tcPr>
          <w:p w14:paraId="25C38FF8" w14:textId="77777777" w:rsidR="00C02929" w:rsidRDefault="006116D1">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三、利润总额</w:t>
            </w:r>
          </w:p>
        </w:tc>
        <w:tc>
          <w:tcPr>
            <w:tcW w:w="619" w:type="pct"/>
            <w:shd w:val="clear" w:color="auto" w:fill="auto"/>
            <w:noWrap/>
            <w:vAlign w:val="center"/>
          </w:tcPr>
          <w:p w14:paraId="5A76EBEB"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3" w:type="pct"/>
            <w:shd w:val="clear" w:color="auto" w:fill="auto"/>
            <w:noWrap/>
            <w:vAlign w:val="center"/>
          </w:tcPr>
          <w:p w14:paraId="1F457382"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83" w:type="pct"/>
            <w:shd w:val="clear" w:color="auto" w:fill="auto"/>
            <w:noWrap/>
            <w:vAlign w:val="center"/>
          </w:tcPr>
          <w:p w14:paraId="466D1399"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83" w:type="pct"/>
            <w:shd w:val="clear" w:color="auto" w:fill="auto"/>
            <w:noWrap/>
            <w:vAlign w:val="center"/>
          </w:tcPr>
          <w:p w14:paraId="6195B876"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94" w:type="pct"/>
            <w:shd w:val="clear" w:color="auto" w:fill="auto"/>
            <w:noWrap/>
            <w:vAlign w:val="center"/>
          </w:tcPr>
          <w:p w14:paraId="47D26594"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4" w:type="pct"/>
            <w:shd w:val="clear" w:color="auto" w:fill="auto"/>
            <w:noWrap/>
            <w:vAlign w:val="center"/>
          </w:tcPr>
          <w:p w14:paraId="6D8FA904"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63" w:type="pct"/>
            <w:shd w:val="clear" w:color="auto" w:fill="auto"/>
            <w:noWrap/>
            <w:vAlign w:val="center"/>
          </w:tcPr>
          <w:p w14:paraId="3B53FEE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C02929" w14:paraId="70F699DD" w14:textId="77777777">
        <w:trPr>
          <w:gridAfter w:val="1"/>
          <w:wAfter w:w="8" w:type="pct"/>
          <w:trHeight w:val="397"/>
        </w:trPr>
        <w:tc>
          <w:tcPr>
            <w:tcW w:w="886" w:type="pct"/>
            <w:gridSpan w:val="2"/>
            <w:shd w:val="clear" w:color="auto" w:fill="auto"/>
            <w:vAlign w:val="center"/>
          </w:tcPr>
          <w:p w14:paraId="7FFA8431"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研发费加计扣除</w:t>
            </w:r>
          </w:p>
        </w:tc>
        <w:tc>
          <w:tcPr>
            <w:tcW w:w="619" w:type="pct"/>
            <w:shd w:val="clear" w:color="auto" w:fill="auto"/>
            <w:noWrap/>
          </w:tcPr>
          <w:p w14:paraId="48AE3945"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3" w:type="pct"/>
            <w:shd w:val="clear" w:color="auto" w:fill="auto"/>
            <w:noWrap/>
          </w:tcPr>
          <w:p w14:paraId="5ED7F47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3" w:type="pct"/>
            <w:shd w:val="clear" w:color="auto" w:fill="auto"/>
            <w:noWrap/>
          </w:tcPr>
          <w:p w14:paraId="1DC96DDE"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3" w:type="pct"/>
            <w:shd w:val="clear" w:color="auto" w:fill="auto"/>
            <w:noWrap/>
          </w:tcPr>
          <w:p w14:paraId="538896D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94" w:type="pct"/>
            <w:shd w:val="clear" w:color="auto" w:fill="auto"/>
            <w:noWrap/>
          </w:tcPr>
          <w:p w14:paraId="3A0EC078"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4" w:type="pct"/>
            <w:shd w:val="clear" w:color="auto" w:fill="auto"/>
            <w:noWrap/>
          </w:tcPr>
          <w:p w14:paraId="62FA8EB0"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63" w:type="pct"/>
            <w:shd w:val="clear" w:color="auto" w:fill="auto"/>
            <w:noWrap/>
          </w:tcPr>
          <w:p w14:paraId="4140E0A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r>
      <w:tr w:rsidR="00C02929" w14:paraId="3D244686" w14:textId="77777777">
        <w:trPr>
          <w:gridAfter w:val="1"/>
          <w:wAfter w:w="8" w:type="pct"/>
          <w:trHeight w:val="397"/>
        </w:trPr>
        <w:tc>
          <w:tcPr>
            <w:tcW w:w="886" w:type="pct"/>
            <w:gridSpan w:val="2"/>
            <w:shd w:val="clear" w:color="auto" w:fill="auto"/>
            <w:vAlign w:val="center"/>
          </w:tcPr>
          <w:p w14:paraId="3F79AC85"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加计扣除后利润</w:t>
            </w:r>
          </w:p>
        </w:tc>
        <w:tc>
          <w:tcPr>
            <w:tcW w:w="619" w:type="pct"/>
            <w:shd w:val="clear" w:color="auto" w:fill="auto"/>
            <w:noWrap/>
            <w:vAlign w:val="center"/>
          </w:tcPr>
          <w:p w14:paraId="39DC404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583" w:type="pct"/>
            <w:shd w:val="clear" w:color="auto" w:fill="auto"/>
            <w:noWrap/>
            <w:vAlign w:val="center"/>
          </w:tcPr>
          <w:p w14:paraId="519A0AED"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83" w:type="pct"/>
            <w:shd w:val="clear" w:color="auto" w:fill="auto"/>
            <w:noWrap/>
            <w:vAlign w:val="center"/>
          </w:tcPr>
          <w:p w14:paraId="1DA215F8"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83" w:type="pct"/>
            <w:shd w:val="clear" w:color="auto" w:fill="auto"/>
            <w:noWrap/>
            <w:vAlign w:val="center"/>
          </w:tcPr>
          <w:p w14:paraId="6E3185D6"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94" w:type="pct"/>
            <w:shd w:val="clear" w:color="auto" w:fill="auto"/>
            <w:noWrap/>
            <w:vAlign w:val="center"/>
          </w:tcPr>
          <w:p w14:paraId="7CE84C2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584" w:type="pct"/>
            <w:shd w:val="clear" w:color="auto" w:fill="auto"/>
            <w:noWrap/>
            <w:vAlign w:val="center"/>
          </w:tcPr>
          <w:p w14:paraId="76BED6F9"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63" w:type="pct"/>
            <w:shd w:val="clear" w:color="auto" w:fill="auto"/>
            <w:noWrap/>
            <w:vAlign w:val="center"/>
          </w:tcPr>
          <w:p w14:paraId="124A0812"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C02929" w14:paraId="567AED16" w14:textId="77777777">
        <w:trPr>
          <w:gridAfter w:val="1"/>
          <w:wAfter w:w="8" w:type="pct"/>
          <w:trHeight w:val="397"/>
        </w:trPr>
        <w:tc>
          <w:tcPr>
            <w:tcW w:w="886" w:type="pct"/>
            <w:gridSpan w:val="2"/>
            <w:shd w:val="clear" w:color="auto" w:fill="auto"/>
            <w:vAlign w:val="center"/>
          </w:tcPr>
          <w:p w14:paraId="33B24E0F"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减：所得税费用（</w:t>
            </w:r>
            <w:r>
              <w:rPr>
                <w:rFonts w:ascii="Times New Roman" w:hAnsi="Times New Roman" w:cs="Times New Roman" w:hint="eastAsia"/>
                <w:sz w:val="21"/>
                <w:szCs w:val="21"/>
              </w:rPr>
              <w:t>1</w:t>
            </w:r>
            <w:r>
              <w:rPr>
                <w:rFonts w:ascii="Times New Roman" w:hAnsi="Times New Roman" w:cs="Times New Roman"/>
                <w:sz w:val="21"/>
                <w:szCs w:val="21"/>
              </w:rPr>
              <w:t>5</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619" w:type="pct"/>
            <w:shd w:val="clear" w:color="auto" w:fill="auto"/>
            <w:noWrap/>
            <w:vAlign w:val="center"/>
          </w:tcPr>
          <w:p w14:paraId="5A6964F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471.69</w:t>
            </w:r>
          </w:p>
        </w:tc>
        <w:tc>
          <w:tcPr>
            <w:tcW w:w="583" w:type="pct"/>
            <w:shd w:val="clear" w:color="auto" w:fill="auto"/>
            <w:noWrap/>
            <w:vAlign w:val="center"/>
          </w:tcPr>
          <w:p w14:paraId="18528D6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670.44</w:t>
            </w:r>
          </w:p>
        </w:tc>
        <w:tc>
          <w:tcPr>
            <w:tcW w:w="583" w:type="pct"/>
            <w:shd w:val="clear" w:color="auto" w:fill="auto"/>
            <w:noWrap/>
            <w:vAlign w:val="center"/>
          </w:tcPr>
          <w:p w14:paraId="32077B1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720.52</w:t>
            </w:r>
          </w:p>
        </w:tc>
        <w:tc>
          <w:tcPr>
            <w:tcW w:w="583" w:type="pct"/>
            <w:shd w:val="clear" w:color="auto" w:fill="auto"/>
            <w:noWrap/>
            <w:vAlign w:val="center"/>
          </w:tcPr>
          <w:p w14:paraId="6408FC1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757.35</w:t>
            </w:r>
          </w:p>
        </w:tc>
        <w:tc>
          <w:tcPr>
            <w:tcW w:w="594" w:type="pct"/>
            <w:shd w:val="clear" w:color="auto" w:fill="auto"/>
            <w:noWrap/>
            <w:vAlign w:val="center"/>
          </w:tcPr>
          <w:p w14:paraId="47BAD73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803.14</w:t>
            </w:r>
          </w:p>
        </w:tc>
        <w:tc>
          <w:tcPr>
            <w:tcW w:w="584" w:type="pct"/>
            <w:shd w:val="clear" w:color="auto" w:fill="auto"/>
            <w:noWrap/>
            <w:vAlign w:val="center"/>
          </w:tcPr>
          <w:p w14:paraId="65DE436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c>
          <w:tcPr>
            <w:tcW w:w="563" w:type="pct"/>
            <w:shd w:val="clear" w:color="auto" w:fill="auto"/>
            <w:noWrap/>
            <w:vAlign w:val="center"/>
          </w:tcPr>
          <w:p w14:paraId="1ACD7129"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r>
      <w:tr w:rsidR="00C02929" w14:paraId="5715012E" w14:textId="77777777">
        <w:trPr>
          <w:gridAfter w:val="1"/>
          <w:wAfter w:w="8" w:type="pct"/>
          <w:trHeight w:val="397"/>
        </w:trPr>
        <w:tc>
          <w:tcPr>
            <w:tcW w:w="886" w:type="pct"/>
            <w:gridSpan w:val="2"/>
            <w:shd w:val="clear" w:color="auto" w:fill="auto"/>
            <w:vAlign w:val="center"/>
          </w:tcPr>
          <w:p w14:paraId="44E651DD" w14:textId="77777777" w:rsidR="00C02929" w:rsidRDefault="006116D1">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四、净利润</w:t>
            </w:r>
          </w:p>
        </w:tc>
        <w:tc>
          <w:tcPr>
            <w:tcW w:w="619" w:type="pct"/>
            <w:shd w:val="clear" w:color="auto" w:fill="auto"/>
            <w:noWrap/>
            <w:vAlign w:val="center"/>
          </w:tcPr>
          <w:p w14:paraId="52DF623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2,519.71</w:t>
            </w:r>
          </w:p>
        </w:tc>
        <w:tc>
          <w:tcPr>
            <w:tcW w:w="583" w:type="pct"/>
            <w:shd w:val="clear" w:color="auto" w:fill="auto"/>
            <w:noWrap/>
            <w:vAlign w:val="center"/>
          </w:tcPr>
          <w:p w14:paraId="5EC7335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3,799.16</w:t>
            </w:r>
          </w:p>
        </w:tc>
        <w:tc>
          <w:tcPr>
            <w:tcW w:w="583" w:type="pct"/>
            <w:shd w:val="clear" w:color="auto" w:fill="auto"/>
            <w:noWrap/>
            <w:vAlign w:val="center"/>
          </w:tcPr>
          <w:p w14:paraId="1B097144"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4,082.97</w:t>
            </w:r>
          </w:p>
        </w:tc>
        <w:tc>
          <w:tcPr>
            <w:tcW w:w="583" w:type="pct"/>
            <w:shd w:val="clear" w:color="auto" w:fill="auto"/>
            <w:noWrap/>
            <w:vAlign w:val="center"/>
          </w:tcPr>
          <w:p w14:paraId="544AFD5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4,291.68</w:t>
            </w:r>
          </w:p>
        </w:tc>
        <w:tc>
          <w:tcPr>
            <w:tcW w:w="594" w:type="pct"/>
            <w:shd w:val="clear" w:color="auto" w:fill="auto"/>
            <w:noWrap/>
            <w:vAlign w:val="center"/>
          </w:tcPr>
          <w:p w14:paraId="5BE4EE6E"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4,551.10</w:t>
            </w:r>
          </w:p>
        </w:tc>
        <w:tc>
          <w:tcPr>
            <w:tcW w:w="584" w:type="pct"/>
            <w:shd w:val="clear" w:color="auto" w:fill="auto"/>
            <w:noWrap/>
            <w:vAlign w:val="center"/>
          </w:tcPr>
          <w:p w14:paraId="789BE246"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c>
          <w:tcPr>
            <w:tcW w:w="563" w:type="pct"/>
            <w:shd w:val="clear" w:color="auto" w:fill="auto"/>
            <w:noWrap/>
            <w:vAlign w:val="center"/>
          </w:tcPr>
          <w:p w14:paraId="0F44A25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r>
    </w:tbl>
    <w:p w14:paraId="5BDB1B2D"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北洋天青预测期营业收入大幅增长的原因主要为家电行业智能化、信息化和自动化需求强烈，未来具有较大的市场空间，标的公司报告期内业绩稳步上升、</w:t>
      </w:r>
      <w:r>
        <w:rPr>
          <w:rFonts w:ascii="Times New Roman" w:hAnsi="Times New Roman" w:cs="Times New Roman" w:hint="eastAsia"/>
          <w:color w:val="000000"/>
        </w:rPr>
        <w:lastRenderedPageBreak/>
        <w:t>新签订单规模增加，北洋天青作为少有的家电行业多产品的智能工厂综合方案提供商，客户黏性较高，老客户业务份额占比逐渐扩大。同时北洋天青也在家电行业、食品饮料行业和其他行业积极拓展新客户。</w:t>
      </w:r>
    </w:p>
    <w:p w14:paraId="7FAE628A"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北洋天青未来收入大幅增长具有合理性，符合标的公司经营实际。截至本核查意见出具日，北洋天青预计</w:t>
      </w:r>
      <w:r>
        <w:rPr>
          <w:rFonts w:ascii="Times New Roman" w:hAnsi="Times New Roman" w:cs="Times New Roman"/>
          <w:color w:val="000000"/>
        </w:rPr>
        <w:t>2021</w:t>
      </w:r>
      <w:r>
        <w:rPr>
          <w:rFonts w:ascii="Times New Roman" w:hAnsi="Times New Roman" w:cs="Times New Roman" w:hint="eastAsia"/>
          <w:color w:val="000000"/>
        </w:rPr>
        <w:t>年可确认在手订单收入规模已达</w:t>
      </w:r>
      <w:r>
        <w:rPr>
          <w:rFonts w:ascii="Times New Roman" w:hAnsi="Times New Roman" w:cs="Times New Roman"/>
          <w:color w:val="000000"/>
        </w:rPr>
        <w:t>3.13</w:t>
      </w:r>
      <w:r>
        <w:rPr>
          <w:rFonts w:ascii="Times New Roman" w:hAnsi="Times New Roman" w:cs="Times New Roman" w:hint="eastAsia"/>
          <w:color w:val="000000"/>
        </w:rPr>
        <w:t>亿元，已超过</w:t>
      </w:r>
      <w:r>
        <w:rPr>
          <w:rFonts w:ascii="Times New Roman" w:hAnsi="Times New Roman" w:cs="Times New Roman"/>
          <w:color w:val="000000"/>
        </w:rPr>
        <w:t>2021</w:t>
      </w:r>
      <w:r>
        <w:rPr>
          <w:rFonts w:ascii="Times New Roman" w:hAnsi="Times New Roman" w:cs="Times New Roman" w:hint="eastAsia"/>
          <w:color w:val="000000"/>
        </w:rPr>
        <w:t>年预测收入规模，标的公司预测收入、净利润和业绩承诺均具有可实现性。</w:t>
      </w:r>
    </w:p>
    <w:p w14:paraId="60073620"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六、补充披露情况</w:t>
      </w:r>
    </w:p>
    <w:p w14:paraId="0FB45C58" w14:textId="77777777" w:rsidR="00C02929" w:rsidRDefault="006116D1">
      <w:pPr>
        <w:suppressAutoHyphens/>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rPr>
        <w:t>以上内容已于重组报告书“第六节</w:t>
      </w:r>
      <w:r>
        <w:rPr>
          <w:rFonts w:ascii="Times New Roman" w:hAnsi="Times New Roman" w:cs="Times New Roman"/>
        </w:rPr>
        <w:t xml:space="preserve"> </w:t>
      </w:r>
      <w:r>
        <w:rPr>
          <w:rFonts w:ascii="Times New Roman" w:hAnsi="Times New Roman" w:cs="Times New Roman" w:hint="eastAsia"/>
        </w:rPr>
        <w:t>标的资产评估情况”之“三、收益法评估情况”之“（二）收益预测说明”中补充披露。</w:t>
      </w:r>
    </w:p>
    <w:p w14:paraId="154752F8" w14:textId="77777777" w:rsidR="00C02929" w:rsidRDefault="006116D1">
      <w:pPr>
        <w:spacing w:beforeLines="50" w:before="156" w:line="360" w:lineRule="auto"/>
        <w:ind w:firstLineChars="200" w:firstLine="482"/>
        <w:jc w:val="both"/>
        <w:outlineLvl w:val="1"/>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）结合前述情况，补充披露标的资产评估增值率较高的原因及合理性。请独立财务顾问和评估师核查并发表明确意见。</w:t>
      </w:r>
    </w:p>
    <w:p w14:paraId="6C46B401"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一、评估增值合理性分析</w:t>
      </w:r>
    </w:p>
    <w:p w14:paraId="6F74883E" w14:textId="77777777" w:rsidR="00C02929" w:rsidRDefault="006116D1">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（一）本次交易标的公司估值情况</w:t>
      </w:r>
    </w:p>
    <w:p w14:paraId="649B925B" w14:textId="77777777"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本次采用收益法及市场法对评估对象进行了评估，本次选用收益法结果作为最终评估结论，北洋天青的股东全部权益价值评估结果为</w:t>
      </w:r>
      <w:r>
        <w:rPr>
          <w:rFonts w:ascii="Times New Roman" w:hAnsi="Times New Roman" w:cs="Times New Roman"/>
          <w:color w:val="000000"/>
        </w:rPr>
        <w:t>30,800.00</w:t>
      </w:r>
      <w:r>
        <w:rPr>
          <w:rFonts w:ascii="Times New Roman" w:hAnsi="Times New Roman" w:cs="Times New Roman" w:hint="eastAsia"/>
          <w:color w:val="000000"/>
        </w:rPr>
        <w:t>万元，与评估对象账面价值相对评估增值</w:t>
      </w:r>
      <w:r>
        <w:rPr>
          <w:rFonts w:ascii="Times New Roman" w:hAnsi="Times New Roman" w:cs="Times New Roman"/>
          <w:color w:val="000000"/>
        </w:rPr>
        <w:t>24,444.20</w:t>
      </w:r>
      <w:r>
        <w:rPr>
          <w:rFonts w:ascii="Times New Roman" w:hAnsi="Times New Roman" w:cs="Times New Roman" w:hint="eastAsia"/>
          <w:color w:val="000000"/>
        </w:rPr>
        <w:t>万元，增值率为</w:t>
      </w:r>
      <w:r>
        <w:rPr>
          <w:rFonts w:ascii="Times New Roman" w:hAnsi="Times New Roman" w:cs="Times New Roman"/>
          <w:color w:val="000000"/>
        </w:rPr>
        <w:t>384.60%</w:t>
      </w:r>
      <w:r>
        <w:rPr>
          <w:rFonts w:ascii="Times New Roman" w:hAnsi="Times New Roman" w:cs="Times New Roman" w:hint="eastAsia"/>
          <w:color w:val="000000"/>
        </w:rPr>
        <w:t>。</w:t>
      </w:r>
    </w:p>
    <w:p w14:paraId="3F4A933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标的公司相对估值水平如下：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817"/>
        <w:gridCol w:w="2705"/>
      </w:tblGrid>
      <w:tr w:rsidR="00C02929" w14:paraId="607AEF58" w14:textId="77777777">
        <w:trPr>
          <w:trHeight w:val="397"/>
          <w:jc w:val="center"/>
        </w:trPr>
        <w:tc>
          <w:tcPr>
            <w:tcW w:w="3413" w:type="pct"/>
            <w:shd w:val="clear" w:color="auto" w:fill="auto"/>
            <w:vAlign w:val="center"/>
          </w:tcPr>
          <w:p w14:paraId="2AFD6205" w14:textId="77777777" w:rsidR="00C02929" w:rsidRDefault="006116D1">
            <w:pPr>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587" w:type="pct"/>
            <w:shd w:val="clear" w:color="auto" w:fill="auto"/>
            <w:vAlign w:val="center"/>
          </w:tcPr>
          <w:p w14:paraId="55A61B87" w14:textId="77777777" w:rsidR="00C02929" w:rsidRDefault="006116D1">
            <w:pPr>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估值结果</w:t>
            </w:r>
          </w:p>
        </w:tc>
      </w:tr>
      <w:tr w:rsidR="00C02929" w14:paraId="1E7E2E0A" w14:textId="77777777">
        <w:trPr>
          <w:trHeight w:val="397"/>
          <w:jc w:val="center"/>
        </w:trPr>
        <w:tc>
          <w:tcPr>
            <w:tcW w:w="3413" w:type="pct"/>
            <w:shd w:val="clear" w:color="auto" w:fill="auto"/>
            <w:vAlign w:val="center"/>
          </w:tcPr>
          <w:p w14:paraId="673CF2FC" w14:textId="77777777" w:rsidR="00C02929" w:rsidRDefault="006116D1">
            <w:pPr>
              <w:jc w:val="center"/>
              <w:outlineLvl w:val="1"/>
              <w:rPr>
                <w:rFonts w:ascii="Times New Roman" w:hAnsi="Times New Roman" w:cs="Times New Roman"/>
                <w:sz w:val="21"/>
                <w:szCs w:val="21"/>
              </w:rPr>
            </w:pPr>
            <w:r>
              <w:rPr>
                <w:rFonts w:ascii="Times New Roman" w:hAnsi="Times New Roman" w:cs="Times New Roman" w:hint="eastAsia"/>
                <w:bCs/>
                <w:sz w:val="21"/>
                <w:szCs w:val="21"/>
              </w:rPr>
              <w:t>评估值（万元）</w:t>
            </w:r>
          </w:p>
        </w:tc>
        <w:tc>
          <w:tcPr>
            <w:tcW w:w="1587" w:type="pct"/>
            <w:shd w:val="clear" w:color="auto" w:fill="auto"/>
            <w:vAlign w:val="center"/>
          </w:tcPr>
          <w:p w14:paraId="28429C9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30,800.00</w:t>
            </w:r>
          </w:p>
        </w:tc>
      </w:tr>
      <w:tr w:rsidR="00C02929" w14:paraId="7CCBC0F2" w14:textId="77777777">
        <w:trPr>
          <w:trHeight w:val="397"/>
          <w:jc w:val="center"/>
        </w:trPr>
        <w:tc>
          <w:tcPr>
            <w:tcW w:w="3413" w:type="pct"/>
            <w:shd w:val="clear" w:color="auto" w:fill="auto"/>
            <w:vAlign w:val="center"/>
          </w:tcPr>
          <w:p w14:paraId="69B8FFA9" w14:textId="77777777" w:rsidR="00C02929" w:rsidRDefault="006116D1">
            <w:pPr>
              <w:jc w:val="center"/>
              <w:outlineLvl w:val="1"/>
              <w:rPr>
                <w:rFonts w:ascii="Times New Roman" w:hAnsi="Times New Roman" w:cs="Times New Roman"/>
                <w:sz w:val="21"/>
                <w:szCs w:val="21"/>
              </w:rPr>
            </w:pPr>
            <w:r>
              <w:rPr>
                <w:rFonts w:ascii="Times New Roman" w:hAnsi="Times New Roman" w:cs="Times New Roman" w:hint="eastAsia"/>
                <w:bCs/>
                <w:sz w:val="21"/>
                <w:szCs w:val="21"/>
              </w:rPr>
              <w:t>2020</w:t>
            </w:r>
            <w:r>
              <w:rPr>
                <w:rFonts w:ascii="Times New Roman" w:hAnsi="Times New Roman" w:cs="Times New Roman" w:hint="eastAsia"/>
                <w:bCs/>
                <w:sz w:val="21"/>
                <w:szCs w:val="21"/>
              </w:rPr>
              <w:t>年净利润（万元）（合并口径）</w:t>
            </w:r>
          </w:p>
        </w:tc>
        <w:tc>
          <w:tcPr>
            <w:tcW w:w="1587" w:type="pct"/>
            <w:shd w:val="clear" w:color="auto" w:fill="auto"/>
            <w:vAlign w:val="center"/>
          </w:tcPr>
          <w:p w14:paraId="7934E1E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2,958.31</w:t>
            </w:r>
          </w:p>
        </w:tc>
      </w:tr>
      <w:tr w:rsidR="00C02929" w14:paraId="1290B26C" w14:textId="77777777">
        <w:trPr>
          <w:trHeight w:val="397"/>
          <w:jc w:val="center"/>
        </w:trPr>
        <w:tc>
          <w:tcPr>
            <w:tcW w:w="3413" w:type="pct"/>
            <w:shd w:val="clear" w:color="auto" w:fill="auto"/>
            <w:vAlign w:val="center"/>
          </w:tcPr>
          <w:p w14:paraId="2FB5F655" w14:textId="77777777" w:rsidR="00C02929" w:rsidRDefault="006116D1">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2020</w:t>
            </w:r>
            <w:r>
              <w:rPr>
                <w:rFonts w:ascii="Times New Roman" w:hAnsi="Times New Roman" w:cs="Times New Roman" w:hint="eastAsia"/>
                <w:bCs/>
                <w:sz w:val="21"/>
                <w:szCs w:val="21"/>
              </w:rPr>
              <w:t>年市盈率（倍）</w:t>
            </w:r>
          </w:p>
        </w:tc>
        <w:tc>
          <w:tcPr>
            <w:tcW w:w="1587" w:type="pct"/>
            <w:shd w:val="clear" w:color="auto" w:fill="auto"/>
            <w:vAlign w:val="center"/>
          </w:tcPr>
          <w:p w14:paraId="72B7DC7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10.41</w:t>
            </w:r>
          </w:p>
        </w:tc>
      </w:tr>
      <w:tr w:rsidR="00C02929" w14:paraId="77F56124" w14:textId="77777777">
        <w:trPr>
          <w:trHeight w:val="397"/>
          <w:jc w:val="center"/>
        </w:trPr>
        <w:tc>
          <w:tcPr>
            <w:tcW w:w="3413" w:type="pct"/>
            <w:shd w:val="clear" w:color="auto" w:fill="auto"/>
            <w:vAlign w:val="center"/>
          </w:tcPr>
          <w:p w14:paraId="541984EB" w14:textId="77777777" w:rsidR="00C02929" w:rsidRDefault="006116D1">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2019</w:t>
            </w:r>
            <w:r>
              <w:rPr>
                <w:rFonts w:ascii="Times New Roman" w:hAnsi="Times New Roman" w:cs="Times New Roman" w:hint="eastAsia"/>
                <w:bCs/>
                <w:sz w:val="21"/>
                <w:szCs w:val="21"/>
              </w:rPr>
              <w:t>年净利润（万元）（合并口径）</w:t>
            </w:r>
          </w:p>
        </w:tc>
        <w:tc>
          <w:tcPr>
            <w:tcW w:w="1587" w:type="pct"/>
            <w:shd w:val="clear" w:color="auto" w:fill="auto"/>
            <w:vAlign w:val="center"/>
          </w:tcPr>
          <w:p w14:paraId="720D013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1,347.67</w:t>
            </w:r>
          </w:p>
        </w:tc>
      </w:tr>
      <w:tr w:rsidR="00C02929" w14:paraId="5ACAFCFD" w14:textId="77777777">
        <w:trPr>
          <w:trHeight w:val="397"/>
          <w:jc w:val="center"/>
        </w:trPr>
        <w:tc>
          <w:tcPr>
            <w:tcW w:w="3413" w:type="pct"/>
            <w:shd w:val="clear" w:color="auto" w:fill="auto"/>
            <w:vAlign w:val="center"/>
          </w:tcPr>
          <w:p w14:paraId="1B9C9625" w14:textId="77777777" w:rsidR="00C02929" w:rsidRDefault="006116D1">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2019</w:t>
            </w:r>
            <w:r>
              <w:rPr>
                <w:rFonts w:ascii="Times New Roman" w:hAnsi="Times New Roman" w:cs="Times New Roman" w:hint="eastAsia"/>
                <w:bCs/>
                <w:sz w:val="21"/>
                <w:szCs w:val="21"/>
              </w:rPr>
              <w:t>年市盈率（倍）</w:t>
            </w:r>
          </w:p>
        </w:tc>
        <w:tc>
          <w:tcPr>
            <w:tcW w:w="1587" w:type="pct"/>
            <w:shd w:val="clear" w:color="auto" w:fill="auto"/>
            <w:vAlign w:val="center"/>
          </w:tcPr>
          <w:p w14:paraId="6138CAD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22.85</w:t>
            </w:r>
          </w:p>
        </w:tc>
      </w:tr>
      <w:tr w:rsidR="00C02929" w14:paraId="3F659230" w14:textId="77777777">
        <w:trPr>
          <w:trHeight w:val="397"/>
          <w:jc w:val="center"/>
        </w:trPr>
        <w:tc>
          <w:tcPr>
            <w:tcW w:w="3413" w:type="pct"/>
            <w:shd w:val="clear" w:color="auto" w:fill="auto"/>
            <w:vAlign w:val="center"/>
          </w:tcPr>
          <w:p w14:paraId="3858500D" w14:textId="77777777" w:rsidR="00C02929" w:rsidRDefault="006116D1">
            <w:pPr>
              <w:jc w:val="center"/>
              <w:outlineLvl w:val="1"/>
              <w:rPr>
                <w:rFonts w:ascii="Times New Roman" w:hAnsi="Times New Roman" w:cs="Times New Roman"/>
                <w:bCs/>
                <w:sz w:val="21"/>
                <w:szCs w:val="21"/>
              </w:rPr>
            </w:pPr>
            <w:r>
              <w:rPr>
                <w:rFonts w:ascii="Times New Roman" w:hAnsi="Times New Roman" w:cs="Times New Roman" w:hint="eastAsia"/>
                <w:bCs/>
                <w:sz w:val="21"/>
                <w:szCs w:val="21"/>
              </w:rPr>
              <w:t>增值率（相对评估基准日合并净资产）</w:t>
            </w:r>
          </w:p>
        </w:tc>
        <w:tc>
          <w:tcPr>
            <w:tcW w:w="1587" w:type="pct"/>
            <w:shd w:val="clear" w:color="auto" w:fill="auto"/>
            <w:vAlign w:val="center"/>
          </w:tcPr>
          <w:p w14:paraId="2F03C9E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384.60%</w:t>
            </w:r>
          </w:p>
        </w:tc>
      </w:tr>
    </w:tbl>
    <w:p w14:paraId="36A60B29"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注：市盈率</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估值</w:t>
      </w:r>
      <w:r>
        <w:rPr>
          <w:rFonts w:ascii="Times New Roman" w:hAnsi="Times New Roman" w:cs="Times New Roman" w:hint="eastAsia"/>
          <w:bCs/>
          <w:color w:val="000000"/>
          <w:sz w:val="21"/>
          <w:szCs w:val="21"/>
          <w:lang w:val="en-GB"/>
        </w:rPr>
        <w:t>/</w:t>
      </w:r>
      <w:r>
        <w:rPr>
          <w:rFonts w:ascii="Times New Roman" w:hAnsi="Times New Roman" w:cs="Times New Roman" w:hint="eastAsia"/>
          <w:bCs/>
          <w:color w:val="000000"/>
          <w:sz w:val="21"/>
          <w:szCs w:val="21"/>
          <w:lang w:val="en-GB"/>
        </w:rPr>
        <w:t>年度净利润。</w:t>
      </w:r>
    </w:p>
    <w:p w14:paraId="1B0707ED" w14:textId="77777777" w:rsidR="00C02929" w:rsidRDefault="006116D1">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（二）可比上市公司的估值情况</w:t>
      </w:r>
    </w:p>
    <w:p w14:paraId="77C7D561" w14:textId="14C1FF40"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lastRenderedPageBreak/>
        <w:t>本次交易标的公司的主营业务为定制化集成业务和机器人</w:t>
      </w:r>
      <w:r w:rsidR="00504445">
        <w:rPr>
          <w:rFonts w:ascii="Times New Roman" w:hAnsi="Times New Roman" w:cs="Times New Roman" w:hint="eastAsia"/>
          <w:color w:val="000000"/>
        </w:rPr>
        <w:t>及</w:t>
      </w:r>
      <w:r>
        <w:rPr>
          <w:rFonts w:ascii="Times New Roman" w:hAnsi="Times New Roman" w:cs="Times New Roman" w:hint="eastAsia"/>
          <w:color w:val="000000"/>
        </w:rPr>
        <w:t>配套业务，按细分行业难以找到主营业务与北洋天青完全一致的可比上市公司。根据标的公司所处行业、主营业务和主要产品情况，选取有相似业务的可比上市公司如下：</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69"/>
        <w:gridCol w:w="5457"/>
        <w:gridCol w:w="1396"/>
      </w:tblGrid>
      <w:tr w:rsidR="00C02929" w14:paraId="1B8CE138" w14:textId="77777777">
        <w:trPr>
          <w:trHeight w:val="397"/>
          <w:tblHeader/>
          <w:jc w:val="center"/>
        </w:trPr>
        <w:tc>
          <w:tcPr>
            <w:tcW w:w="979" w:type="pct"/>
            <w:shd w:val="clear" w:color="auto" w:fill="auto"/>
            <w:vAlign w:val="center"/>
          </w:tcPr>
          <w:p w14:paraId="4851D29D"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可比上市公司</w:t>
            </w:r>
          </w:p>
        </w:tc>
        <w:tc>
          <w:tcPr>
            <w:tcW w:w="3202" w:type="pct"/>
            <w:shd w:val="clear" w:color="auto" w:fill="auto"/>
            <w:vAlign w:val="center"/>
          </w:tcPr>
          <w:p w14:paraId="0609ABED"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主营业务</w:t>
            </w:r>
          </w:p>
        </w:tc>
        <w:tc>
          <w:tcPr>
            <w:tcW w:w="819" w:type="pct"/>
            <w:shd w:val="clear" w:color="auto" w:fill="auto"/>
            <w:vAlign w:val="center"/>
          </w:tcPr>
          <w:p w14:paraId="3C15633D" w14:textId="77777777" w:rsidR="00C02929" w:rsidRDefault="006116D1">
            <w:pPr>
              <w:adjustRightInd w:val="0"/>
              <w:snapToGrid w:val="0"/>
              <w:jc w:val="center"/>
              <w:outlineLvl w:val="1"/>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年末市盈率（倍）</w:t>
            </w:r>
          </w:p>
        </w:tc>
      </w:tr>
      <w:tr w:rsidR="00C02929" w14:paraId="1F1D3A49" w14:textId="77777777">
        <w:trPr>
          <w:trHeight w:val="397"/>
          <w:jc w:val="center"/>
        </w:trPr>
        <w:tc>
          <w:tcPr>
            <w:tcW w:w="979" w:type="pct"/>
            <w:shd w:val="clear" w:color="auto" w:fill="auto"/>
            <w:vAlign w:val="center"/>
          </w:tcPr>
          <w:p w14:paraId="06A8F4D1" w14:textId="77777777" w:rsidR="00C02929" w:rsidRDefault="006116D1">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快克股份（</w:t>
            </w:r>
            <w:r>
              <w:rPr>
                <w:rFonts w:ascii="Times New Roman" w:hAnsi="Times New Roman" w:cs="Times New Roman" w:hint="eastAsia"/>
                <w:sz w:val="21"/>
                <w:szCs w:val="21"/>
              </w:rPr>
              <w:t>603203.SH</w:t>
            </w:r>
            <w:r>
              <w:rPr>
                <w:rFonts w:ascii="Times New Roman" w:hAnsi="Times New Roman" w:cs="Times New Roman" w:hint="eastAsia"/>
                <w:sz w:val="21"/>
                <w:szCs w:val="21"/>
              </w:rPr>
              <w:t>）</w:t>
            </w:r>
          </w:p>
        </w:tc>
        <w:tc>
          <w:tcPr>
            <w:tcW w:w="3202" w:type="pct"/>
            <w:shd w:val="clear" w:color="auto" w:fill="auto"/>
            <w:vAlign w:val="center"/>
          </w:tcPr>
          <w:p w14:paraId="1AC4B6BE" w14:textId="77777777" w:rsidR="00C02929" w:rsidRDefault="006116D1">
            <w:pPr>
              <w:adjustRightInd w:val="0"/>
              <w:snapToGrid w:val="0"/>
              <w:ind w:right="210"/>
              <w:rPr>
                <w:rFonts w:ascii="Times New Roman" w:hAnsi="Times New Roman" w:cs="Times New Roman"/>
                <w:sz w:val="21"/>
                <w:szCs w:val="21"/>
              </w:rPr>
            </w:pPr>
            <w:r>
              <w:rPr>
                <w:rFonts w:ascii="Times New Roman" w:hAnsi="Times New Roman" w:cs="Times New Roman" w:hint="eastAsia"/>
                <w:bCs/>
                <w:sz w:val="21"/>
                <w:szCs w:val="21"/>
                <w:lang w:val="en-GB"/>
              </w:rPr>
              <w:t>锡焊技术为核心的电子装联专用设备的研发、生产和销售。提供的产品和服务包括锡焊工具和机器人、装联作业的关联性设备以及柔性自动化生产线</w:t>
            </w:r>
          </w:p>
        </w:tc>
        <w:tc>
          <w:tcPr>
            <w:tcW w:w="819" w:type="pct"/>
            <w:shd w:val="clear" w:color="auto" w:fill="auto"/>
            <w:vAlign w:val="center"/>
          </w:tcPr>
          <w:p w14:paraId="07A34F13"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25.09</w:t>
            </w:r>
          </w:p>
        </w:tc>
      </w:tr>
      <w:tr w:rsidR="00C02929" w14:paraId="3D9BDECC" w14:textId="77777777">
        <w:trPr>
          <w:trHeight w:val="397"/>
          <w:jc w:val="center"/>
        </w:trPr>
        <w:tc>
          <w:tcPr>
            <w:tcW w:w="979" w:type="pct"/>
            <w:shd w:val="clear" w:color="auto" w:fill="auto"/>
            <w:vAlign w:val="center"/>
          </w:tcPr>
          <w:p w14:paraId="3F51C6B4" w14:textId="77777777" w:rsidR="00C02929" w:rsidRDefault="006116D1">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拓斯达（</w:t>
            </w:r>
            <w:r>
              <w:rPr>
                <w:rFonts w:ascii="Times New Roman" w:hAnsi="Times New Roman" w:cs="Times New Roman" w:hint="eastAsia"/>
                <w:sz w:val="21"/>
                <w:szCs w:val="21"/>
              </w:rPr>
              <w:t>300607.SZ</w:t>
            </w:r>
            <w:r>
              <w:rPr>
                <w:rFonts w:ascii="Times New Roman" w:hAnsi="Times New Roman" w:cs="Times New Roman" w:hint="eastAsia"/>
                <w:sz w:val="21"/>
                <w:szCs w:val="21"/>
              </w:rPr>
              <w:t>）</w:t>
            </w:r>
          </w:p>
        </w:tc>
        <w:tc>
          <w:tcPr>
            <w:tcW w:w="3202" w:type="pct"/>
            <w:shd w:val="clear" w:color="auto" w:fill="auto"/>
            <w:vAlign w:val="center"/>
          </w:tcPr>
          <w:p w14:paraId="3F40CC78"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工业机器人及自动化应用系统，注塑机、配套设备及自动供料系统，智能能源及环境管理系统</w:t>
            </w:r>
          </w:p>
        </w:tc>
        <w:tc>
          <w:tcPr>
            <w:tcW w:w="819" w:type="pct"/>
            <w:shd w:val="clear" w:color="auto" w:fill="auto"/>
            <w:vAlign w:val="center"/>
          </w:tcPr>
          <w:p w14:paraId="33F0F2B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37.90</w:t>
            </w:r>
          </w:p>
        </w:tc>
      </w:tr>
      <w:tr w:rsidR="00C02929" w14:paraId="7BF56E2C" w14:textId="77777777">
        <w:trPr>
          <w:trHeight w:val="397"/>
          <w:jc w:val="center"/>
        </w:trPr>
        <w:tc>
          <w:tcPr>
            <w:tcW w:w="979" w:type="pct"/>
            <w:shd w:val="clear" w:color="auto" w:fill="auto"/>
            <w:vAlign w:val="center"/>
          </w:tcPr>
          <w:p w14:paraId="1FBF182B" w14:textId="77777777" w:rsidR="00C02929" w:rsidRDefault="006116D1">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bCs/>
                <w:sz w:val="21"/>
                <w:szCs w:val="21"/>
              </w:rPr>
              <w:t>永创智能（</w:t>
            </w:r>
            <w:r>
              <w:rPr>
                <w:rFonts w:ascii="Times New Roman" w:hAnsi="Times New Roman" w:cs="Times New Roman" w:hint="eastAsia"/>
                <w:bCs/>
                <w:sz w:val="21"/>
                <w:szCs w:val="21"/>
              </w:rPr>
              <w:t>603901.SH</w:t>
            </w:r>
            <w:r>
              <w:rPr>
                <w:rFonts w:ascii="Times New Roman" w:hAnsi="Times New Roman" w:cs="Times New Roman" w:hint="eastAsia"/>
                <w:bCs/>
                <w:sz w:val="21"/>
                <w:szCs w:val="21"/>
              </w:rPr>
              <w:t>）</w:t>
            </w:r>
          </w:p>
        </w:tc>
        <w:tc>
          <w:tcPr>
            <w:tcW w:w="3202" w:type="pct"/>
            <w:shd w:val="clear" w:color="auto" w:fill="auto"/>
          </w:tcPr>
          <w:p w14:paraId="010EFE38"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国内大型整套包装生产线解决方案提供商，为客户提供离散</w:t>
            </w:r>
            <w:r>
              <w:rPr>
                <w:rFonts w:ascii="Times New Roman" w:hAnsi="Times New Roman" w:cs="Times New Roman" w:hint="eastAsia"/>
                <w:sz w:val="21"/>
                <w:szCs w:val="21"/>
              </w:rPr>
              <w:t>/</w:t>
            </w:r>
            <w:r>
              <w:rPr>
                <w:rFonts w:ascii="Times New Roman" w:hAnsi="Times New Roman" w:cs="Times New Roman" w:hint="eastAsia"/>
                <w:sz w:val="21"/>
                <w:szCs w:val="21"/>
              </w:rPr>
              <w:t>混合型智能包装系统</w:t>
            </w:r>
          </w:p>
        </w:tc>
        <w:tc>
          <w:tcPr>
            <w:tcW w:w="819" w:type="pct"/>
            <w:shd w:val="clear" w:color="auto" w:fill="auto"/>
            <w:vAlign w:val="center"/>
          </w:tcPr>
          <w:p w14:paraId="373B6098"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47.44</w:t>
            </w:r>
          </w:p>
        </w:tc>
      </w:tr>
      <w:tr w:rsidR="00C02929" w14:paraId="0C9E0D06" w14:textId="77777777">
        <w:trPr>
          <w:trHeight w:val="397"/>
          <w:jc w:val="center"/>
        </w:trPr>
        <w:tc>
          <w:tcPr>
            <w:tcW w:w="979" w:type="pct"/>
            <w:shd w:val="clear" w:color="auto" w:fill="auto"/>
            <w:vAlign w:val="center"/>
          </w:tcPr>
          <w:p w14:paraId="11909A2E" w14:textId="77777777" w:rsidR="00C02929" w:rsidRDefault="006116D1">
            <w:pPr>
              <w:adjustRightInd w:val="0"/>
              <w:snapToGrid w:val="0"/>
              <w:jc w:val="center"/>
              <w:outlineLvl w:val="1"/>
              <w:rPr>
                <w:rFonts w:ascii="Times New Roman" w:hAnsi="Times New Roman" w:cs="Times New Roman"/>
                <w:bCs/>
                <w:sz w:val="21"/>
                <w:szCs w:val="21"/>
              </w:rPr>
            </w:pPr>
            <w:r>
              <w:rPr>
                <w:rFonts w:ascii="Times New Roman" w:hAnsi="Times New Roman" w:cs="Times New Roman" w:hint="eastAsia"/>
                <w:sz w:val="21"/>
                <w:szCs w:val="21"/>
              </w:rPr>
              <w:t>埃斯顿（</w:t>
            </w:r>
            <w:r>
              <w:rPr>
                <w:rFonts w:ascii="Times New Roman" w:hAnsi="Times New Roman" w:cs="Times New Roman" w:hint="eastAsia"/>
                <w:sz w:val="21"/>
                <w:szCs w:val="21"/>
              </w:rPr>
              <w:t>002747.SZ</w:t>
            </w:r>
            <w:r>
              <w:rPr>
                <w:rFonts w:ascii="Times New Roman" w:hAnsi="Times New Roman" w:cs="Times New Roman" w:hint="eastAsia"/>
                <w:sz w:val="21"/>
                <w:szCs w:val="21"/>
              </w:rPr>
              <w:t>）</w:t>
            </w:r>
          </w:p>
        </w:tc>
        <w:tc>
          <w:tcPr>
            <w:tcW w:w="3202" w:type="pct"/>
            <w:shd w:val="clear" w:color="auto" w:fill="auto"/>
            <w:vAlign w:val="center"/>
          </w:tcPr>
          <w:p w14:paraId="7377847D"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公司业务主要分为两个核心业务模块：一是自动化核心部件及运动控制系统，二是工业机器人及智能制造系统</w:t>
            </w:r>
          </w:p>
        </w:tc>
        <w:tc>
          <w:tcPr>
            <w:tcW w:w="819" w:type="pct"/>
            <w:shd w:val="clear" w:color="auto" w:fill="auto"/>
            <w:vAlign w:val="center"/>
          </w:tcPr>
          <w:p w14:paraId="4B22AEF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92.87</w:t>
            </w:r>
          </w:p>
        </w:tc>
      </w:tr>
      <w:tr w:rsidR="00C02929" w14:paraId="20CF29EF" w14:textId="77777777">
        <w:trPr>
          <w:trHeight w:val="397"/>
          <w:jc w:val="center"/>
        </w:trPr>
        <w:tc>
          <w:tcPr>
            <w:tcW w:w="979" w:type="pct"/>
            <w:shd w:val="clear" w:color="auto" w:fill="auto"/>
            <w:vAlign w:val="center"/>
          </w:tcPr>
          <w:p w14:paraId="26665EDF" w14:textId="77777777" w:rsidR="00C02929" w:rsidRDefault="006116D1">
            <w:pPr>
              <w:adjustRightInd w:val="0"/>
              <w:snapToGrid w:val="0"/>
              <w:jc w:val="center"/>
              <w:outlineLvl w:val="1"/>
              <w:rPr>
                <w:rFonts w:ascii="Times New Roman" w:hAnsi="Times New Roman" w:cs="Times New Roman"/>
                <w:sz w:val="21"/>
                <w:szCs w:val="21"/>
              </w:rPr>
            </w:pPr>
            <w:r>
              <w:rPr>
                <w:rFonts w:ascii="Times New Roman" w:hAnsi="Times New Roman" w:cs="Times New Roman" w:hint="eastAsia"/>
                <w:sz w:val="21"/>
                <w:szCs w:val="21"/>
              </w:rPr>
              <w:t>机器人（</w:t>
            </w:r>
            <w:r>
              <w:rPr>
                <w:rFonts w:ascii="Times New Roman" w:hAnsi="Times New Roman" w:cs="Times New Roman" w:hint="eastAsia"/>
                <w:sz w:val="21"/>
                <w:szCs w:val="21"/>
              </w:rPr>
              <w:t>300024.SZ</w:t>
            </w:r>
            <w:r>
              <w:rPr>
                <w:rFonts w:ascii="Times New Roman" w:hAnsi="Times New Roman" w:cs="Times New Roman" w:hint="eastAsia"/>
                <w:sz w:val="21"/>
                <w:szCs w:val="21"/>
              </w:rPr>
              <w:t>）</w:t>
            </w:r>
          </w:p>
        </w:tc>
        <w:tc>
          <w:tcPr>
            <w:tcW w:w="3202" w:type="pct"/>
            <w:shd w:val="clear" w:color="auto" w:fill="auto"/>
            <w:vAlign w:val="center"/>
          </w:tcPr>
          <w:p w14:paraId="405253A0" w14:textId="77777777" w:rsidR="00C02929" w:rsidRDefault="006116D1">
            <w:pPr>
              <w:adjustRightInd w:val="0"/>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以自主核心技术、关键零部件、领先产品及行业系统解决方案为一体的完整产业链，并将产业战略提升到涵盖产品全生命周期的数字化、智能化制造全过程</w:t>
            </w:r>
          </w:p>
        </w:tc>
        <w:tc>
          <w:tcPr>
            <w:tcW w:w="819" w:type="pct"/>
            <w:shd w:val="clear" w:color="auto" w:fill="auto"/>
            <w:vAlign w:val="center"/>
          </w:tcPr>
          <w:p w14:paraId="315EE6F6"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48.61</w:t>
            </w:r>
          </w:p>
        </w:tc>
      </w:tr>
      <w:tr w:rsidR="00C02929" w14:paraId="3E77F3D4" w14:textId="77777777">
        <w:trPr>
          <w:trHeight w:val="397"/>
          <w:jc w:val="center"/>
        </w:trPr>
        <w:tc>
          <w:tcPr>
            <w:tcW w:w="4181" w:type="pct"/>
            <w:gridSpan w:val="2"/>
            <w:shd w:val="clear" w:color="auto" w:fill="auto"/>
            <w:vAlign w:val="center"/>
          </w:tcPr>
          <w:p w14:paraId="46888300"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平均值</w:t>
            </w:r>
          </w:p>
        </w:tc>
        <w:tc>
          <w:tcPr>
            <w:tcW w:w="819" w:type="pct"/>
            <w:shd w:val="clear" w:color="auto" w:fill="auto"/>
            <w:vAlign w:val="center"/>
          </w:tcPr>
          <w:p w14:paraId="7E167448" w14:textId="77777777" w:rsidR="00C02929" w:rsidRDefault="006116D1">
            <w:pPr>
              <w:adjustRightInd w:val="0"/>
              <w:snapToGrid w:val="0"/>
              <w:jc w:val="right"/>
              <w:rPr>
                <w:rFonts w:ascii="Times New Roman" w:hAnsi="Times New Roman" w:cs="Times New Roman"/>
                <w:b/>
                <w:sz w:val="21"/>
                <w:szCs w:val="21"/>
              </w:rPr>
            </w:pPr>
            <w:r>
              <w:rPr>
                <w:rFonts w:ascii="Times New Roman" w:hAnsi="Times New Roman" w:cs="Times New Roman"/>
                <w:b/>
                <w:sz w:val="21"/>
                <w:szCs w:val="21"/>
              </w:rPr>
              <w:t>50.38</w:t>
            </w:r>
          </w:p>
        </w:tc>
      </w:tr>
      <w:tr w:rsidR="00C02929" w14:paraId="5E8255BF" w14:textId="77777777">
        <w:trPr>
          <w:trHeight w:val="397"/>
          <w:jc w:val="center"/>
        </w:trPr>
        <w:tc>
          <w:tcPr>
            <w:tcW w:w="979" w:type="pct"/>
            <w:shd w:val="clear" w:color="auto" w:fill="auto"/>
            <w:vAlign w:val="center"/>
          </w:tcPr>
          <w:p w14:paraId="1AD1E7A8" w14:textId="77777777" w:rsidR="00C02929" w:rsidRDefault="006116D1">
            <w:pPr>
              <w:adjustRightInd w:val="0"/>
              <w:snapToGrid w:val="0"/>
              <w:jc w:val="center"/>
              <w:rPr>
                <w:rFonts w:ascii="Times New Roman" w:hAnsi="Times New Roman" w:cs="Times New Roman"/>
                <w:b/>
                <w:sz w:val="21"/>
                <w:szCs w:val="21"/>
              </w:rPr>
            </w:pPr>
            <w:r>
              <w:rPr>
                <w:rFonts w:ascii="Times New Roman" w:hAnsi="Times New Roman" w:cs="Times New Roman" w:hint="eastAsia"/>
                <w:b/>
                <w:sz w:val="21"/>
                <w:szCs w:val="21"/>
              </w:rPr>
              <w:t>北洋天青</w:t>
            </w:r>
          </w:p>
        </w:tc>
        <w:tc>
          <w:tcPr>
            <w:tcW w:w="3202" w:type="pct"/>
            <w:shd w:val="clear" w:color="auto" w:fill="auto"/>
            <w:vAlign w:val="center"/>
          </w:tcPr>
          <w:p w14:paraId="01B0D121" w14:textId="77777777" w:rsidR="00C02929" w:rsidRDefault="006116D1">
            <w:pPr>
              <w:adjustRightInd w:val="0"/>
              <w:snapToGrid w:val="0"/>
              <w:rPr>
                <w:rFonts w:ascii="Times New Roman" w:hAnsi="Times New Roman" w:cs="Times New Roman"/>
                <w:b/>
                <w:sz w:val="21"/>
                <w:szCs w:val="21"/>
              </w:rPr>
            </w:pPr>
            <w:r>
              <w:rPr>
                <w:rFonts w:ascii="Times New Roman" w:hAnsi="Times New Roman" w:cs="Times New Roman" w:hint="eastAsia"/>
                <w:b/>
                <w:sz w:val="21"/>
                <w:szCs w:val="21"/>
              </w:rPr>
              <w:t>家电行业生产线的智能化建设、升级、改造整体解决方案</w:t>
            </w:r>
          </w:p>
        </w:tc>
        <w:tc>
          <w:tcPr>
            <w:tcW w:w="819" w:type="pct"/>
            <w:shd w:val="clear" w:color="auto" w:fill="auto"/>
            <w:vAlign w:val="center"/>
          </w:tcPr>
          <w:p w14:paraId="7753A232"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22.85</w:t>
            </w:r>
          </w:p>
        </w:tc>
      </w:tr>
    </w:tbl>
    <w:p w14:paraId="49205B6D"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796032AB"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与标的公司业务相近的可比上市公司</w:t>
      </w:r>
      <w:r>
        <w:rPr>
          <w:rFonts w:ascii="Times New Roman" w:hAnsi="Times New Roman" w:cs="Times New Roman"/>
        </w:rPr>
        <w:t>2019</w:t>
      </w:r>
      <w:r>
        <w:rPr>
          <w:rFonts w:ascii="Times New Roman" w:hAnsi="Times New Roman" w:cs="Times New Roman" w:hint="eastAsia"/>
        </w:rPr>
        <w:t>年末市盈率最高为</w:t>
      </w:r>
      <w:r>
        <w:rPr>
          <w:rFonts w:ascii="Times New Roman" w:hAnsi="Times New Roman" w:cs="Times New Roman"/>
        </w:rPr>
        <w:t>92.87</w:t>
      </w:r>
      <w:r>
        <w:rPr>
          <w:rFonts w:ascii="Times New Roman" w:hAnsi="Times New Roman" w:cs="Times New Roman" w:hint="eastAsia"/>
        </w:rPr>
        <w:t>倍，最低为</w:t>
      </w:r>
      <w:r>
        <w:rPr>
          <w:rFonts w:ascii="Times New Roman" w:hAnsi="Times New Roman" w:cs="Times New Roman"/>
        </w:rPr>
        <w:t>25.09</w:t>
      </w:r>
      <w:r>
        <w:rPr>
          <w:rFonts w:ascii="Times New Roman" w:hAnsi="Times New Roman" w:cs="Times New Roman" w:hint="eastAsia"/>
        </w:rPr>
        <w:t>倍，平均为</w:t>
      </w:r>
      <w:r>
        <w:rPr>
          <w:rFonts w:ascii="Times New Roman" w:hAnsi="Times New Roman" w:cs="Times New Roman"/>
        </w:rPr>
        <w:t>50.38</w:t>
      </w:r>
      <w:r>
        <w:rPr>
          <w:rFonts w:ascii="Times New Roman" w:hAnsi="Times New Roman" w:cs="Times New Roman" w:hint="eastAsia"/>
        </w:rPr>
        <w:t>倍。由于标的公司股权流动性较差，</w:t>
      </w:r>
      <w:r>
        <w:rPr>
          <w:rFonts w:ascii="Times New Roman" w:hAnsi="Times New Roman" w:cs="Times New Roman"/>
        </w:rPr>
        <w:t>100%</w:t>
      </w:r>
      <w:r>
        <w:rPr>
          <w:rFonts w:ascii="Times New Roman" w:hAnsi="Times New Roman" w:cs="Times New Roman" w:hint="eastAsia"/>
        </w:rPr>
        <w:t>股权评估值市盈率低于可比上市公司。</w:t>
      </w:r>
    </w:p>
    <w:p w14:paraId="7A84D4A9" w14:textId="77777777" w:rsidR="00C02929" w:rsidRDefault="006116D1">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（三）可比交易案例的估值情况</w:t>
      </w:r>
    </w:p>
    <w:p w14:paraId="54DF520D" w14:textId="716A027A" w:rsidR="00C02929" w:rsidRDefault="006116D1">
      <w:pPr>
        <w:spacing w:beforeLines="50" w:before="156" w:line="360" w:lineRule="auto"/>
        <w:ind w:firstLineChars="200" w:firstLine="480"/>
        <w:jc w:val="both"/>
        <w:rPr>
          <w:rFonts w:ascii="Times New Roman" w:hAnsi="Times New Roman" w:cs="Times New Roman"/>
          <w:color w:val="000000"/>
        </w:rPr>
      </w:pPr>
      <w:r>
        <w:rPr>
          <w:rFonts w:ascii="Times New Roman" w:hAnsi="Times New Roman" w:cs="Times New Roman" w:hint="eastAsia"/>
          <w:color w:val="000000"/>
        </w:rPr>
        <w:t>本次交易标的公司的主营业务为定制化集成业务和机器人</w:t>
      </w:r>
      <w:r w:rsidR="00504445">
        <w:rPr>
          <w:rFonts w:ascii="Times New Roman" w:hAnsi="Times New Roman" w:cs="Times New Roman" w:hint="eastAsia"/>
          <w:color w:val="000000"/>
        </w:rPr>
        <w:t>及</w:t>
      </w:r>
      <w:r>
        <w:rPr>
          <w:rFonts w:ascii="Times New Roman" w:hAnsi="Times New Roman" w:cs="Times New Roman" w:hint="eastAsia"/>
          <w:color w:val="000000"/>
        </w:rPr>
        <w:t>配套业务，根据细分行业难以找到主营业务与北洋天青完全一致的可比交易案例，根据标的公司所处行业、主营业务和主要产品情况，选取的近年相似业务的可比交易如下：</w:t>
      </w:r>
    </w:p>
    <w:tbl>
      <w:tblPr>
        <w:tblW w:w="4933"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84"/>
        <w:gridCol w:w="1532"/>
        <w:gridCol w:w="3839"/>
        <w:gridCol w:w="849"/>
        <w:gridCol w:w="1004"/>
      </w:tblGrid>
      <w:tr w:rsidR="00C02929" w14:paraId="0FB29DBE" w14:textId="77777777">
        <w:trPr>
          <w:trHeight w:val="397"/>
          <w:tblHeader/>
          <w:jc w:val="center"/>
        </w:trPr>
        <w:tc>
          <w:tcPr>
            <w:tcW w:w="704" w:type="pct"/>
            <w:shd w:val="clear" w:color="auto" w:fill="auto"/>
            <w:vAlign w:val="center"/>
          </w:tcPr>
          <w:p w14:paraId="165BA3E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上市公司</w:t>
            </w:r>
          </w:p>
        </w:tc>
        <w:tc>
          <w:tcPr>
            <w:tcW w:w="911" w:type="pct"/>
            <w:shd w:val="clear" w:color="auto" w:fill="auto"/>
            <w:vAlign w:val="center"/>
          </w:tcPr>
          <w:p w14:paraId="54AB8CF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标的资产</w:t>
            </w:r>
          </w:p>
        </w:tc>
        <w:tc>
          <w:tcPr>
            <w:tcW w:w="2281" w:type="pct"/>
            <w:vAlign w:val="center"/>
          </w:tcPr>
          <w:p w14:paraId="544BB479"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标的公司的主营业务</w:t>
            </w:r>
          </w:p>
        </w:tc>
        <w:tc>
          <w:tcPr>
            <w:tcW w:w="504" w:type="pct"/>
            <w:shd w:val="clear" w:color="auto" w:fill="auto"/>
            <w:vAlign w:val="center"/>
          </w:tcPr>
          <w:p w14:paraId="77577081"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市盈率（倍）</w:t>
            </w:r>
          </w:p>
        </w:tc>
        <w:tc>
          <w:tcPr>
            <w:tcW w:w="597" w:type="pct"/>
            <w:shd w:val="clear" w:color="auto" w:fill="auto"/>
            <w:vAlign w:val="center"/>
          </w:tcPr>
          <w:p w14:paraId="7083E9F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评估增值率</w:t>
            </w:r>
          </w:p>
        </w:tc>
      </w:tr>
      <w:tr w:rsidR="00C02929" w14:paraId="332B1371" w14:textId="77777777">
        <w:trPr>
          <w:trHeight w:val="397"/>
          <w:jc w:val="center"/>
        </w:trPr>
        <w:tc>
          <w:tcPr>
            <w:tcW w:w="704" w:type="pct"/>
            <w:shd w:val="clear" w:color="auto" w:fill="auto"/>
            <w:vAlign w:val="center"/>
          </w:tcPr>
          <w:p w14:paraId="525A37B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拓斯达</w:t>
            </w:r>
          </w:p>
        </w:tc>
        <w:tc>
          <w:tcPr>
            <w:tcW w:w="911" w:type="pct"/>
            <w:shd w:val="clear" w:color="auto" w:fill="auto"/>
            <w:vAlign w:val="center"/>
          </w:tcPr>
          <w:p w14:paraId="6A197D4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东莞市野田智能装备有限公司</w:t>
            </w:r>
          </w:p>
        </w:tc>
        <w:tc>
          <w:tcPr>
            <w:tcW w:w="2281" w:type="pct"/>
            <w:vAlign w:val="center"/>
          </w:tcPr>
          <w:p w14:paraId="6EE87717"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研发、制造、销售：工业机器人、无人化车间设计，解决方案系统、智能焊接设备、智能自动化生产线、</w:t>
            </w:r>
          </w:p>
        </w:tc>
        <w:tc>
          <w:tcPr>
            <w:tcW w:w="504" w:type="pct"/>
            <w:shd w:val="clear" w:color="auto" w:fill="auto"/>
            <w:vAlign w:val="center"/>
          </w:tcPr>
          <w:p w14:paraId="672DAD2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27.02</w:t>
            </w:r>
          </w:p>
        </w:tc>
        <w:tc>
          <w:tcPr>
            <w:tcW w:w="597" w:type="pct"/>
            <w:shd w:val="clear" w:color="auto" w:fill="auto"/>
            <w:vAlign w:val="center"/>
          </w:tcPr>
          <w:p w14:paraId="5E59B96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977.83%</w:t>
            </w:r>
          </w:p>
        </w:tc>
      </w:tr>
      <w:tr w:rsidR="00C02929" w14:paraId="203B7038" w14:textId="77777777">
        <w:trPr>
          <w:trHeight w:val="397"/>
          <w:jc w:val="center"/>
        </w:trPr>
        <w:tc>
          <w:tcPr>
            <w:tcW w:w="704" w:type="pct"/>
            <w:shd w:val="clear" w:color="auto" w:fill="auto"/>
            <w:vAlign w:val="center"/>
          </w:tcPr>
          <w:p w14:paraId="16959A2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德新交运</w:t>
            </w:r>
          </w:p>
        </w:tc>
        <w:tc>
          <w:tcPr>
            <w:tcW w:w="911" w:type="pct"/>
            <w:shd w:val="clear" w:color="auto" w:fill="auto"/>
            <w:vAlign w:val="center"/>
          </w:tcPr>
          <w:p w14:paraId="0447F50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东莞致宏精密模具有限公司</w:t>
            </w:r>
          </w:p>
        </w:tc>
        <w:tc>
          <w:tcPr>
            <w:tcW w:w="2281" w:type="pct"/>
            <w:vAlign w:val="center"/>
          </w:tcPr>
          <w:p w14:paraId="578F069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产销：高精密锂电池自动裁切模具、精密工具装夹具、治具、工业机器人、新能源材料生产的辅助设备；非标自动化设备及零部件的研发、生产及销售</w:t>
            </w:r>
          </w:p>
        </w:tc>
        <w:tc>
          <w:tcPr>
            <w:tcW w:w="504" w:type="pct"/>
            <w:shd w:val="clear" w:color="auto" w:fill="auto"/>
            <w:vAlign w:val="center"/>
          </w:tcPr>
          <w:p w14:paraId="24FCF04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13.97</w:t>
            </w:r>
          </w:p>
        </w:tc>
        <w:tc>
          <w:tcPr>
            <w:tcW w:w="597" w:type="pct"/>
            <w:shd w:val="clear" w:color="auto" w:fill="auto"/>
            <w:vAlign w:val="center"/>
          </w:tcPr>
          <w:p w14:paraId="1699AAD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661.50%</w:t>
            </w:r>
          </w:p>
        </w:tc>
      </w:tr>
      <w:tr w:rsidR="00C02929" w14:paraId="75B64D4B" w14:textId="77777777">
        <w:trPr>
          <w:trHeight w:val="397"/>
          <w:jc w:val="center"/>
        </w:trPr>
        <w:tc>
          <w:tcPr>
            <w:tcW w:w="704" w:type="pct"/>
            <w:shd w:val="clear" w:color="auto" w:fill="auto"/>
            <w:vAlign w:val="center"/>
          </w:tcPr>
          <w:p w14:paraId="234CC8B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东土科技</w:t>
            </w:r>
          </w:p>
        </w:tc>
        <w:tc>
          <w:tcPr>
            <w:tcW w:w="911" w:type="pct"/>
            <w:shd w:val="clear" w:color="auto" w:fill="auto"/>
            <w:vAlign w:val="center"/>
          </w:tcPr>
          <w:p w14:paraId="53BD1368"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北京佰能电气技术有限公司</w:t>
            </w:r>
          </w:p>
        </w:tc>
        <w:tc>
          <w:tcPr>
            <w:tcW w:w="2281" w:type="pct"/>
            <w:vAlign w:val="center"/>
          </w:tcPr>
          <w:p w14:paraId="179E717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冶金工业领域的电气自动化控制技术和设备的开发和应用，为客户提供包含硬</w:t>
            </w:r>
            <w:r>
              <w:rPr>
                <w:rFonts w:ascii="Times New Roman" w:hAnsi="Times New Roman" w:cs="Times New Roman" w:hint="eastAsia"/>
                <w:sz w:val="21"/>
                <w:szCs w:val="21"/>
              </w:rPr>
              <w:lastRenderedPageBreak/>
              <w:t>件设备和软件产品的整体电气自动化控制系统解决方案</w:t>
            </w:r>
          </w:p>
        </w:tc>
        <w:tc>
          <w:tcPr>
            <w:tcW w:w="504" w:type="pct"/>
            <w:shd w:val="clear" w:color="auto" w:fill="auto"/>
            <w:vAlign w:val="center"/>
          </w:tcPr>
          <w:p w14:paraId="3472F52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lastRenderedPageBreak/>
              <w:t>19.89</w:t>
            </w:r>
          </w:p>
        </w:tc>
        <w:tc>
          <w:tcPr>
            <w:tcW w:w="597" w:type="pct"/>
            <w:shd w:val="clear" w:color="auto" w:fill="auto"/>
            <w:vAlign w:val="center"/>
          </w:tcPr>
          <w:p w14:paraId="3933079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236.26%</w:t>
            </w:r>
          </w:p>
        </w:tc>
      </w:tr>
      <w:tr w:rsidR="00C02929" w14:paraId="01F9CE2B" w14:textId="77777777">
        <w:trPr>
          <w:trHeight w:val="397"/>
          <w:jc w:val="center"/>
        </w:trPr>
        <w:tc>
          <w:tcPr>
            <w:tcW w:w="704" w:type="pct"/>
            <w:shd w:val="clear" w:color="auto" w:fill="auto"/>
            <w:vAlign w:val="center"/>
          </w:tcPr>
          <w:p w14:paraId="6DC02D9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矩子科技</w:t>
            </w:r>
          </w:p>
        </w:tc>
        <w:tc>
          <w:tcPr>
            <w:tcW w:w="911" w:type="pct"/>
            <w:shd w:val="clear" w:color="auto" w:fill="auto"/>
            <w:vAlign w:val="center"/>
          </w:tcPr>
          <w:p w14:paraId="00A27AC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苏州矩度电子科技有限公司</w:t>
            </w:r>
          </w:p>
        </w:tc>
        <w:tc>
          <w:tcPr>
            <w:tcW w:w="2281" w:type="pct"/>
            <w:vAlign w:val="center"/>
          </w:tcPr>
          <w:p w14:paraId="744D450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智能设备及组件的研发、生产和销售，主要产品为控制线缆组件和智能设备</w:t>
            </w:r>
          </w:p>
        </w:tc>
        <w:tc>
          <w:tcPr>
            <w:tcW w:w="504" w:type="pct"/>
            <w:shd w:val="clear" w:color="auto" w:fill="auto"/>
            <w:vAlign w:val="center"/>
          </w:tcPr>
          <w:p w14:paraId="535D75A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13.06</w:t>
            </w:r>
          </w:p>
        </w:tc>
        <w:tc>
          <w:tcPr>
            <w:tcW w:w="597" w:type="pct"/>
            <w:shd w:val="clear" w:color="auto" w:fill="auto"/>
            <w:vAlign w:val="center"/>
          </w:tcPr>
          <w:p w14:paraId="437887A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223.65%</w:t>
            </w:r>
          </w:p>
        </w:tc>
      </w:tr>
      <w:tr w:rsidR="00C02929" w14:paraId="63BC696C" w14:textId="77777777">
        <w:trPr>
          <w:trHeight w:val="397"/>
          <w:jc w:val="center"/>
        </w:trPr>
        <w:tc>
          <w:tcPr>
            <w:tcW w:w="704" w:type="pct"/>
            <w:shd w:val="clear" w:color="auto" w:fill="auto"/>
            <w:vAlign w:val="center"/>
          </w:tcPr>
          <w:p w14:paraId="676704B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三丰智能</w:t>
            </w:r>
          </w:p>
        </w:tc>
        <w:tc>
          <w:tcPr>
            <w:tcW w:w="911" w:type="pct"/>
            <w:shd w:val="clear" w:color="auto" w:fill="auto"/>
            <w:vAlign w:val="center"/>
          </w:tcPr>
          <w:p w14:paraId="762BAF3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合肥天海小松自动化设备有限公司</w:t>
            </w:r>
          </w:p>
        </w:tc>
        <w:tc>
          <w:tcPr>
            <w:tcW w:w="2281" w:type="pct"/>
            <w:vAlign w:val="center"/>
          </w:tcPr>
          <w:p w14:paraId="04ED318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自动化物流系统方案设计、咨询及系统集成；自动化物流设备及其控制软件系统设计、生产、销售等</w:t>
            </w:r>
          </w:p>
        </w:tc>
        <w:tc>
          <w:tcPr>
            <w:tcW w:w="504" w:type="pct"/>
            <w:shd w:val="clear" w:color="auto" w:fill="auto"/>
            <w:vAlign w:val="center"/>
          </w:tcPr>
          <w:p w14:paraId="1A913D5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29.24</w:t>
            </w:r>
          </w:p>
        </w:tc>
        <w:tc>
          <w:tcPr>
            <w:tcW w:w="597" w:type="pct"/>
            <w:shd w:val="clear" w:color="auto" w:fill="auto"/>
            <w:vAlign w:val="center"/>
          </w:tcPr>
          <w:p w14:paraId="50EB08C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115.57%</w:t>
            </w:r>
          </w:p>
        </w:tc>
      </w:tr>
      <w:tr w:rsidR="00C02929" w14:paraId="70036420" w14:textId="77777777">
        <w:trPr>
          <w:trHeight w:val="397"/>
          <w:jc w:val="center"/>
        </w:trPr>
        <w:tc>
          <w:tcPr>
            <w:tcW w:w="3898" w:type="pct"/>
            <w:gridSpan w:val="3"/>
            <w:shd w:val="clear" w:color="auto" w:fill="auto"/>
            <w:vAlign w:val="center"/>
          </w:tcPr>
          <w:p w14:paraId="4E2537B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平均值</w:t>
            </w:r>
          </w:p>
        </w:tc>
        <w:tc>
          <w:tcPr>
            <w:tcW w:w="504" w:type="pct"/>
            <w:shd w:val="clear" w:color="auto" w:fill="auto"/>
            <w:vAlign w:val="center"/>
          </w:tcPr>
          <w:p w14:paraId="04D82FE5"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20.64</w:t>
            </w:r>
          </w:p>
        </w:tc>
        <w:tc>
          <w:tcPr>
            <w:tcW w:w="597" w:type="pct"/>
            <w:shd w:val="clear" w:color="auto" w:fill="auto"/>
            <w:vAlign w:val="center"/>
          </w:tcPr>
          <w:p w14:paraId="74B21CAF"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442.96%</w:t>
            </w:r>
          </w:p>
        </w:tc>
      </w:tr>
      <w:tr w:rsidR="00C02929" w14:paraId="152DAF24" w14:textId="77777777">
        <w:trPr>
          <w:trHeight w:val="397"/>
          <w:jc w:val="center"/>
        </w:trPr>
        <w:tc>
          <w:tcPr>
            <w:tcW w:w="3898" w:type="pct"/>
            <w:gridSpan w:val="3"/>
            <w:shd w:val="clear" w:color="auto" w:fill="auto"/>
            <w:vAlign w:val="center"/>
          </w:tcPr>
          <w:p w14:paraId="4D2517E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北洋天青</w:t>
            </w:r>
          </w:p>
        </w:tc>
        <w:tc>
          <w:tcPr>
            <w:tcW w:w="504" w:type="pct"/>
            <w:shd w:val="clear" w:color="auto" w:fill="auto"/>
            <w:vAlign w:val="center"/>
          </w:tcPr>
          <w:p w14:paraId="23122779" w14:textId="77777777" w:rsidR="00C02929" w:rsidRDefault="006116D1">
            <w:pPr>
              <w:jc w:val="right"/>
              <w:rPr>
                <w:rFonts w:ascii="Times New Roman" w:hAnsi="Times New Roman" w:cs="Times New Roman"/>
                <w:sz w:val="21"/>
                <w:szCs w:val="21"/>
              </w:rPr>
            </w:pPr>
            <w:r>
              <w:rPr>
                <w:rFonts w:ascii="Times New Roman" w:hAnsi="Times New Roman" w:cs="Times New Roman"/>
                <w:b/>
                <w:bCs/>
                <w:sz w:val="21"/>
                <w:szCs w:val="21"/>
              </w:rPr>
              <w:t>22.85</w:t>
            </w:r>
          </w:p>
        </w:tc>
        <w:tc>
          <w:tcPr>
            <w:tcW w:w="597" w:type="pct"/>
            <w:shd w:val="clear" w:color="auto" w:fill="auto"/>
            <w:vAlign w:val="center"/>
          </w:tcPr>
          <w:p w14:paraId="0A8115CA" w14:textId="77777777" w:rsidR="00C02929" w:rsidRDefault="006116D1">
            <w:pPr>
              <w:jc w:val="right"/>
              <w:rPr>
                <w:rFonts w:ascii="Times New Roman" w:hAnsi="Times New Roman" w:cs="Times New Roman"/>
                <w:sz w:val="21"/>
                <w:szCs w:val="21"/>
              </w:rPr>
            </w:pPr>
            <w:r>
              <w:rPr>
                <w:rFonts w:ascii="Times New Roman" w:hAnsi="Times New Roman" w:cs="Times New Roman"/>
                <w:b/>
                <w:bCs/>
                <w:sz w:val="21"/>
                <w:szCs w:val="21"/>
              </w:rPr>
              <w:t>384.60%</w:t>
            </w:r>
          </w:p>
        </w:tc>
      </w:tr>
    </w:tbl>
    <w:p w14:paraId="14A4B9DE"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0E7B3F8F"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近年上市公司收购的可比案例中，标的公司市盈率为</w:t>
      </w:r>
      <w:r>
        <w:rPr>
          <w:rFonts w:ascii="Times New Roman" w:hAnsi="Times New Roman" w:cs="Times New Roman"/>
          <w:bCs/>
          <w:color w:val="000000"/>
          <w:szCs w:val="21"/>
        </w:rPr>
        <w:t>22.85</w:t>
      </w:r>
      <w:r>
        <w:rPr>
          <w:rFonts w:ascii="Times New Roman" w:hAnsi="Times New Roman" w:cs="Times New Roman" w:hint="eastAsia"/>
          <w:bCs/>
          <w:color w:val="000000"/>
          <w:szCs w:val="21"/>
        </w:rPr>
        <w:t>倍，与被交易市盈率均值</w:t>
      </w:r>
      <w:r>
        <w:rPr>
          <w:rFonts w:ascii="Times New Roman" w:hAnsi="Times New Roman" w:cs="Times New Roman"/>
          <w:bCs/>
          <w:color w:val="000000"/>
          <w:szCs w:val="21"/>
        </w:rPr>
        <w:t>20.64</w:t>
      </w:r>
      <w:r>
        <w:rPr>
          <w:rFonts w:ascii="Times New Roman" w:hAnsi="Times New Roman" w:cs="Times New Roman" w:hint="eastAsia"/>
          <w:bCs/>
          <w:color w:val="000000"/>
          <w:szCs w:val="21"/>
        </w:rPr>
        <w:t>倍相近。评估增值率平均值为</w:t>
      </w:r>
      <w:r>
        <w:rPr>
          <w:rFonts w:ascii="Times New Roman" w:hAnsi="Times New Roman" w:cs="Times New Roman"/>
          <w:bCs/>
          <w:color w:val="000000"/>
          <w:szCs w:val="21"/>
        </w:rPr>
        <w:t>442.96%</w:t>
      </w:r>
      <w:r>
        <w:rPr>
          <w:rFonts w:ascii="Times New Roman" w:hAnsi="Times New Roman" w:cs="Times New Roman" w:hint="eastAsia"/>
          <w:bCs/>
          <w:color w:val="000000"/>
          <w:szCs w:val="21"/>
        </w:rPr>
        <w:t>。标的公司预评估增值率为</w:t>
      </w:r>
      <w:r>
        <w:rPr>
          <w:rFonts w:ascii="Times New Roman" w:hAnsi="Times New Roman" w:cs="Times New Roman"/>
          <w:bCs/>
          <w:color w:val="000000"/>
          <w:szCs w:val="21"/>
        </w:rPr>
        <w:t>384.60%</w:t>
      </w:r>
      <w:r>
        <w:rPr>
          <w:rFonts w:ascii="Times New Roman" w:hAnsi="Times New Roman" w:cs="Times New Roman" w:hint="eastAsia"/>
          <w:bCs/>
          <w:color w:val="000000"/>
          <w:szCs w:val="21"/>
        </w:rPr>
        <w:t>，与可比案例平均值相近。</w:t>
      </w:r>
    </w:p>
    <w:p w14:paraId="2942167C" w14:textId="77777777" w:rsidR="00C02929" w:rsidRDefault="006116D1">
      <w:pPr>
        <w:suppressAutoHyphens/>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t>（四）评估增值率较高的原因及合理性</w:t>
      </w:r>
    </w:p>
    <w:p w14:paraId="67655C1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北洋天青所处行业未来具有较大的发展空间，</w:t>
      </w:r>
      <w:bookmarkStart w:id="93" w:name="_Hlk69804481"/>
      <w:r>
        <w:rPr>
          <w:rFonts w:ascii="Times New Roman" w:hAnsi="Times New Roman" w:cs="Times New Roman" w:hint="eastAsia"/>
          <w:bCs/>
          <w:color w:val="000000"/>
          <w:szCs w:val="21"/>
        </w:rPr>
        <w:t>标的公司</w:t>
      </w:r>
      <w:bookmarkEnd w:id="93"/>
      <w:r>
        <w:rPr>
          <w:rFonts w:ascii="Times New Roman" w:hAnsi="Times New Roman" w:cs="Times New Roman" w:hint="eastAsia"/>
          <w:bCs/>
          <w:color w:val="000000"/>
          <w:szCs w:val="21"/>
        </w:rPr>
        <w:t>近几年业绩持续增长，在手订单充足，在可预计的未来年度具有较强的盈利能力，北洋天青作为少有的家电行业多产品的智能工厂综合方案提供商，客户黏性较高，老客户业务份额占比逐渐扩大。同时北洋天青也在家电行业、食品饮料行业和其他行业积极拓展新客户。北洋天青预测收入及利润大幅增长具有合理性和可实现性，为本次评估增值提供了有利支撑。</w:t>
      </w:r>
    </w:p>
    <w:p w14:paraId="368B2F1B" w14:textId="68070864"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收益法在评估过程中不仅考虑了</w:t>
      </w:r>
      <w:r w:rsidR="002A3C21">
        <w:rPr>
          <w:rFonts w:ascii="Times New Roman" w:hAnsi="Times New Roman" w:cs="Times New Roman" w:hint="eastAsia"/>
          <w:bCs/>
          <w:color w:val="000000"/>
          <w:szCs w:val="21"/>
        </w:rPr>
        <w:t>标的公司</w:t>
      </w:r>
      <w:r>
        <w:rPr>
          <w:rFonts w:ascii="Times New Roman" w:hAnsi="Times New Roman" w:cs="Times New Roman" w:hint="eastAsia"/>
          <w:bCs/>
          <w:color w:val="000000"/>
          <w:szCs w:val="21"/>
        </w:rPr>
        <w:t>申报的账内账外资产，同时也考虑了如企业积累的客户资源、科学的经营管理水平等各项表外不可辨识资产对获利能力产生重大影响的因素，以及企业在手及新签合同订单情况。账面净资产价值为历史成本的计量，未考虑企业未来获利对账面股东全部权益价值的影响。标的公司作为轻资产公司，账面净资产较小，因此造成资产账面价值与评估结论存在较大差异。</w:t>
      </w:r>
    </w:p>
    <w:p w14:paraId="149AFA99"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同时，上述可比上市公司的市盈率平均值为</w:t>
      </w:r>
      <w:r>
        <w:rPr>
          <w:rFonts w:ascii="Times New Roman" w:hAnsi="Times New Roman" w:cs="Times New Roman"/>
          <w:bCs/>
          <w:color w:val="000000"/>
          <w:szCs w:val="21"/>
        </w:rPr>
        <w:t>50.38</w:t>
      </w:r>
      <w:r>
        <w:rPr>
          <w:rFonts w:ascii="Times New Roman" w:hAnsi="Times New Roman" w:cs="Times New Roman" w:hint="eastAsia"/>
          <w:bCs/>
          <w:color w:val="000000"/>
          <w:szCs w:val="21"/>
        </w:rPr>
        <w:t>倍，可比交易案例的市盈率平均值为</w:t>
      </w:r>
      <w:r>
        <w:rPr>
          <w:rFonts w:ascii="Times New Roman" w:hAnsi="Times New Roman" w:cs="Times New Roman"/>
          <w:bCs/>
          <w:color w:val="000000"/>
          <w:szCs w:val="21"/>
        </w:rPr>
        <w:t>20.64</w:t>
      </w:r>
      <w:r>
        <w:rPr>
          <w:rFonts w:ascii="Times New Roman" w:hAnsi="Times New Roman" w:cs="Times New Roman" w:hint="eastAsia"/>
          <w:bCs/>
          <w:color w:val="000000"/>
          <w:szCs w:val="21"/>
        </w:rPr>
        <w:t>倍，评估增值率平均值为</w:t>
      </w:r>
      <w:r>
        <w:rPr>
          <w:rFonts w:ascii="Times New Roman" w:hAnsi="Times New Roman" w:cs="Times New Roman"/>
          <w:bCs/>
          <w:color w:val="000000"/>
          <w:szCs w:val="21"/>
        </w:rPr>
        <w:t>442.96%</w:t>
      </w:r>
      <w:r>
        <w:rPr>
          <w:rFonts w:ascii="Times New Roman" w:hAnsi="Times New Roman" w:cs="Times New Roman" w:hint="eastAsia"/>
          <w:bCs/>
          <w:color w:val="000000"/>
          <w:szCs w:val="21"/>
        </w:rPr>
        <w:t>。新三板公司作为交易标的</w:t>
      </w:r>
      <w:r>
        <w:rPr>
          <w:rFonts w:ascii="Times New Roman" w:hAnsi="Times New Roman" w:cs="Times New Roman" w:hint="eastAsia"/>
          <w:bCs/>
          <w:color w:val="000000"/>
          <w:szCs w:val="21"/>
        </w:rPr>
        <w:lastRenderedPageBreak/>
        <w:t>的评估值绝大多数较摘牌前有不同幅度的提高。本次交易估值所对应的北洋天青市盈率为</w:t>
      </w:r>
      <w:r>
        <w:rPr>
          <w:rFonts w:ascii="Times New Roman" w:hAnsi="Times New Roman" w:cs="Times New Roman"/>
          <w:bCs/>
          <w:color w:val="000000"/>
          <w:szCs w:val="21"/>
        </w:rPr>
        <w:t>22.85</w:t>
      </w:r>
      <w:r>
        <w:rPr>
          <w:rFonts w:ascii="Times New Roman" w:hAnsi="Times New Roman" w:cs="Times New Roman" w:hint="eastAsia"/>
          <w:bCs/>
          <w:color w:val="000000"/>
          <w:szCs w:val="21"/>
        </w:rPr>
        <w:t>倍，增值率为</w:t>
      </w:r>
      <w:r>
        <w:rPr>
          <w:rFonts w:ascii="Times New Roman" w:hAnsi="Times New Roman" w:cs="Times New Roman"/>
          <w:bCs/>
          <w:color w:val="000000"/>
          <w:szCs w:val="21"/>
        </w:rPr>
        <w:t>384.60%</w:t>
      </w:r>
      <w:r>
        <w:rPr>
          <w:rFonts w:ascii="Times New Roman" w:hAnsi="Times New Roman" w:cs="Times New Roman" w:hint="eastAsia"/>
          <w:bCs/>
          <w:color w:val="000000"/>
          <w:szCs w:val="21"/>
        </w:rPr>
        <w:t>。</w:t>
      </w:r>
    </w:p>
    <w:p w14:paraId="188C869E"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标的公司估值水平略低于同行业可比上市公司的平均估值水平。标的公司深耕家电自动化领域，主要从事家电行业的生产线智能化、信息化建设、升级和改造，与相似业务的可比交易标的公司的市盈率、评估增值率相近。</w:t>
      </w:r>
    </w:p>
    <w:p w14:paraId="6215165E"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color w:val="000000"/>
          <w:szCs w:val="21"/>
        </w:rPr>
        <w:t>综上所述，本次交易估值综合考虑标的公司业绩增长、近年发展规模、所处行业情况等因素，因此本次评估增值率较高具有合理性。</w:t>
      </w:r>
    </w:p>
    <w:p w14:paraId="5E07EC1D"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二、补充披露情况</w:t>
      </w:r>
    </w:p>
    <w:p w14:paraId="70F9F7D0" w14:textId="77777777" w:rsidR="00C02929" w:rsidRDefault="006116D1">
      <w:pPr>
        <w:suppressAutoHyphens/>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以上内容已于重组报告书“第六节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标的资产评估情况”之“一、评估的基本情况”之“（二）两种评估方法结果差异及评估增值的主要原因”中补充披露。</w:t>
      </w:r>
    </w:p>
    <w:p w14:paraId="40A4DA41" w14:textId="0DBF3113" w:rsidR="00C02929" w:rsidRDefault="006116D1">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三、</w:t>
      </w:r>
      <w:r w:rsidR="006D3F66" w:rsidRPr="00AA3DAA">
        <w:rPr>
          <w:rFonts w:ascii="Times New Roman" w:hAnsi="Times New Roman" w:cs="Times New Roman" w:hint="eastAsia"/>
          <w:b/>
          <w:color w:val="000000"/>
          <w:szCs w:val="21"/>
        </w:rPr>
        <w:t>独立财务顾问</w:t>
      </w:r>
      <w:r>
        <w:rPr>
          <w:rFonts w:ascii="Times New Roman" w:hAnsi="Times New Roman" w:cs="Times New Roman" w:hint="eastAsia"/>
          <w:b/>
          <w:bCs/>
          <w:color w:val="000000"/>
          <w:kern w:val="1"/>
        </w:rPr>
        <w:t>核查意见</w:t>
      </w:r>
    </w:p>
    <w:p w14:paraId="0F55B47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经核查，独立财务顾问认为：北洋天青预测期营业收入大幅增长的原因主要为家电行业智能化、信息化和自动化需求强烈，未来具有较大的市场空间，标的公司报告期内业绩稳步上升、新签订单规模增加，北洋天青作为少有的家电行业多产品的智能工厂综合方案提供商，客户黏性较高，老客户业务份额占比逐渐扩大。同时北洋天青也在家电行业、食品饮料行业和其他行业积极拓展新客户。</w:t>
      </w:r>
    </w:p>
    <w:p w14:paraId="65F95D06"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北洋天青未来收入大幅增长具有合理性，符合标的公司经营实际。截至本核查意见出具日，北洋天青预计</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年可确认在手订单收入规模已达</w:t>
      </w:r>
      <w:r>
        <w:rPr>
          <w:rFonts w:ascii="Times New Roman" w:hAnsi="Times New Roman" w:cs="Times New Roman" w:hint="eastAsia"/>
          <w:bCs/>
          <w:color w:val="000000"/>
          <w:szCs w:val="21"/>
        </w:rPr>
        <w:t>3.1</w:t>
      </w:r>
      <w:r>
        <w:rPr>
          <w:rFonts w:ascii="Times New Roman" w:hAnsi="Times New Roman" w:cs="Times New Roman"/>
          <w:bCs/>
          <w:color w:val="000000"/>
          <w:szCs w:val="21"/>
        </w:rPr>
        <w:t>3</w:t>
      </w:r>
      <w:r>
        <w:rPr>
          <w:rFonts w:ascii="Times New Roman" w:hAnsi="Times New Roman" w:cs="Times New Roman" w:hint="eastAsia"/>
          <w:bCs/>
          <w:color w:val="000000"/>
          <w:szCs w:val="21"/>
        </w:rPr>
        <w:t>亿元，已超过</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年预测收入规模，标的公司预测收入、净利润和业绩承诺均具有可实现性。</w:t>
      </w:r>
    </w:p>
    <w:p w14:paraId="2A728B9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本次交易标的公司估值水平略低于同行业可比上市公司的平均估值水平。标的公司深耕家电自动化领域，主要从事家电行业的生产线智能化、信息化建设、升级和改造，与相似业务的可比交易标的公司的市盈率、评估增值率相近。</w:t>
      </w:r>
    </w:p>
    <w:p w14:paraId="07611218"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综上所述，本次交易估值综合考虑标的公司业绩增长、近年发展规模、所处行业情况等因素，因此本次评估增值率较高具有合理性。</w:t>
      </w:r>
    </w:p>
    <w:p w14:paraId="31FFE315" w14:textId="77777777" w:rsidR="00C02929" w:rsidRDefault="00C02929">
      <w:pPr>
        <w:spacing w:beforeLines="50" w:before="156" w:line="360" w:lineRule="auto"/>
        <w:ind w:firstLineChars="200" w:firstLine="562"/>
        <w:jc w:val="both"/>
        <w:outlineLvl w:val="0"/>
        <w:rPr>
          <w:rFonts w:ascii="Times New Roman" w:eastAsia="黑体" w:hAnsi="Times New Roman" w:cs="Times New Roman"/>
          <w:b/>
          <w:color w:val="000000"/>
          <w:sz w:val="28"/>
          <w:szCs w:val="28"/>
        </w:rPr>
        <w:sectPr w:rsidR="00C02929">
          <w:pgSz w:w="11906" w:h="16838"/>
          <w:pgMar w:top="1440" w:right="1800" w:bottom="1440" w:left="1800" w:header="851" w:footer="992" w:gutter="0"/>
          <w:cols w:space="720"/>
          <w:docGrid w:type="lines" w:linePitch="312"/>
        </w:sectPr>
      </w:pPr>
      <w:bookmarkStart w:id="94" w:name="_Toc69256861"/>
      <w:bookmarkStart w:id="95" w:name="_Toc69256879"/>
      <w:bookmarkEnd w:id="90"/>
      <w:bookmarkEnd w:id="91"/>
    </w:p>
    <w:p w14:paraId="40B77798" w14:textId="77777777" w:rsidR="00C02929" w:rsidRDefault="006116D1">
      <w:pPr>
        <w:spacing w:beforeLines="50" w:before="156" w:line="360" w:lineRule="auto"/>
        <w:ind w:firstLineChars="200" w:firstLine="562"/>
        <w:jc w:val="both"/>
        <w:outlineLvl w:val="0"/>
        <w:rPr>
          <w:rFonts w:ascii="Times New Roman" w:eastAsia="黑体" w:hAnsi="Times New Roman" w:cs="Times New Roman"/>
          <w:b/>
          <w:color w:val="000000"/>
          <w:sz w:val="28"/>
          <w:szCs w:val="28"/>
        </w:rPr>
      </w:pPr>
      <w:r>
        <w:rPr>
          <w:rFonts w:ascii="Times New Roman" w:eastAsia="黑体" w:hAnsi="Times New Roman" w:cs="Times New Roman" w:hint="eastAsia"/>
          <w:b/>
          <w:color w:val="000000"/>
          <w:sz w:val="28"/>
          <w:szCs w:val="28"/>
        </w:rPr>
        <w:lastRenderedPageBreak/>
        <w:t>第十三题</w:t>
      </w:r>
    </w:p>
    <w:p w14:paraId="5973C953"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申请文件显示，报告期内各期，标的资产毛利率分别为</w:t>
      </w:r>
      <w:r>
        <w:rPr>
          <w:rFonts w:ascii="Times New Roman" w:eastAsia="黑体" w:hAnsi="Times New Roman" w:cs="Times New Roman" w:hint="eastAsia"/>
          <w:b/>
          <w:color w:val="000000"/>
          <w:szCs w:val="21"/>
        </w:rPr>
        <w:t>32.63%</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33.06%</w:t>
      </w:r>
      <w:r>
        <w:rPr>
          <w:rFonts w:ascii="Times New Roman" w:eastAsia="黑体" w:hAnsi="Times New Roman" w:cs="Times New Roman" w:hint="eastAsia"/>
          <w:b/>
          <w:color w:val="000000"/>
          <w:szCs w:val="21"/>
        </w:rPr>
        <w:t>和</w:t>
      </w:r>
      <w:r>
        <w:rPr>
          <w:rFonts w:ascii="Times New Roman" w:eastAsia="黑体" w:hAnsi="Times New Roman" w:cs="Times New Roman" w:hint="eastAsia"/>
          <w:b/>
          <w:color w:val="000000"/>
          <w:szCs w:val="21"/>
        </w:rPr>
        <w:t>26.69%</w:t>
      </w:r>
      <w:r>
        <w:rPr>
          <w:rFonts w:ascii="Times New Roman" w:eastAsia="黑体" w:hAnsi="Times New Roman" w:cs="Times New Roman" w:hint="eastAsia"/>
          <w:b/>
          <w:color w:val="000000"/>
          <w:szCs w:val="21"/>
        </w:rPr>
        <w:t>。其中，定制化集成业务和机器人及配套业务的毛利率均下滑明显。</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7-12</w:t>
      </w:r>
      <w:r>
        <w:rPr>
          <w:rFonts w:ascii="Times New Roman" w:eastAsia="黑体" w:hAnsi="Times New Roman" w:cs="Times New Roman" w:hint="eastAsia"/>
          <w:b/>
          <w:color w:val="000000"/>
          <w:szCs w:val="21"/>
        </w:rPr>
        <w:t>月预测毛利率为</w:t>
      </w:r>
      <w:r>
        <w:rPr>
          <w:rFonts w:ascii="Times New Roman" w:eastAsia="黑体" w:hAnsi="Times New Roman" w:cs="Times New Roman" w:hint="eastAsia"/>
          <w:b/>
          <w:color w:val="000000"/>
          <w:szCs w:val="21"/>
        </w:rPr>
        <w:t>41.4%</w:t>
      </w:r>
      <w:r>
        <w:rPr>
          <w:rFonts w:ascii="Times New Roman" w:eastAsia="黑体" w:hAnsi="Times New Roman" w:cs="Times New Roman" w:hint="eastAsia"/>
          <w:b/>
          <w:color w:val="000000"/>
          <w:szCs w:val="21"/>
        </w:rPr>
        <w:t>，</w:t>
      </w:r>
      <w:r>
        <w:rPr>
          <w:rFonts w:ascii="Times New Roman" w:eastAsia="黑体" w:hAnsi="Times New Roman" w:cs="Times New Roman" w:hint="eastAsia"/>
          <w:b/>
          <w:color w:val="000000"/>
          <w:szCs w:val="21"/>
        </w:rPr>
        <w:t>2021</w:t>
      </w:r>
      <w:r>
        <w:rPr>
          <w:rFonts w:ascii="Times New Roman" w:eastAsia="黑体" w:hAnsi="Times New Roman" w:cs="Times New Roman" w:hint="eastAsia"/>
          <w:b/>
          <w:color w:val="000000"/>
          <w:szCs w:val="21"/>
        </w:rPr>
        <w:t>年及之后期间预测毛利率为</w:t>
      </w:r>
      <w:r>
        <w:rPr>
          <w:rFonts w:ascii="Times New Roman" w:eastAsia="黑体" w:hAnsi="Times New Roman" w:cs="Times New Roman" w:hint="eastAsia"/>
          <w:b/>
          <w:color w:val="000000"/>
          <w:szCs w:val="21"/>
        </w:rPr>
        <w:t>34%</w:t>
      </w:r>
      <w:r>
        <w:rPr>
          <w:rFonts w:ascii="Times New Roman" w:eastAsia="黑体" w:hAnsi="Times New Roman" w:cs="Times New Roman" w:hint="eastAsia"/>
          <w:b/>
          <w:color w:val="000000"/>
          <w:szCs w:val="21"/>
        </w:rPr>
        <w:t>。请你公司：结合报告期毛利率、两业务模块毛利率不断下降的情况及行业竞争情况，补充披露预测期毛利率较高的依据及合理性。请独立财务顾问和评估师核查并发表明确意见。</w:t>
      </w:r>
    </w:p>
    <w:p w14:paraId="49FF5D74" w14:textId="77777777" w:rsidR="00C02929" w:rsidRDefault="006116D1">
      <w:pPr>
        <w:pStyle w:val="affffd"/>
        <w:spacing w:before="156"/>
        <w:ind w:firstLine="482"/>
        <w:rPr>
          <w:b/>
        </w:rPr>
      </w:pPr>
      <w:r>
        <w:rPr>
          <w:rFonts w:hint="eastAsia"/>
          <w:b/>
        </w:rPr>
        <w:t>【回复说明】</w:t>
      </w:r>
    </w:p>
    <w:p w14:paraId="64B0FEFC"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一、北洋天青报告期内毛利率情况</w:t>
      </w:r>
    </w:p>
    <w:p w14:paraId="7532ED33"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北洋天青定制化集成业务和机器人及配套业务的毛利率情况如下表：</w:t>
      </w:r>
    </w:p>
    <w:p w14:paraId="3DC2ADB2"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214"/>
        <w:gridCol w:w="2103"/>
        <w:gridCol w:w="2103"/>
        <w:gridCol w:w="2102"/>
      </w:tblGrid>
      <w:tr w:rsidR="00C02929" w14:paraId="7F39D884" w14:textId="77777777">
        <w:trPr>
          <w:trHeight w:val="397"/>
          <w:tblHeader/>
        </w:trPr>
        <w:tc>
          <w:tcPr>
            <w:tcW w:w="1299" w:type="pct"/>
            <w:shd w:val="clear" w:color="auto" w:fill="auto"/>
            <w:vAlign w:val="center"/>
          </w:tcPr>
          <w:p w14:paraId="708E5C5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合同分类</w:t>
            </w:r>
          </w:p>
        </w:tc>
        <w:tc>
          <w:tcPr>
            <w:tcW w:w="1234" w:type="pct"/>
            <w:shd w:val="clear" w:color="auto" w:fill="auto"/>
            <w:vAlign w:val="center"/>
          </w:tcPr>
          <w:p w14:paraId="2079EEF8"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年度</w:t>
            </w:r>
          </w:p>
        </w:tc>
        <w:tc>
          <w:tcPr>
            <w:tcW w:w="1234" w:type="pct"/>
            <w:shd w:val="clear" w:color="auto" w:fill="auto"/>
            <w:vAlign w:val="center"/>
          </w:tcPr>
          <w:p w14:paraId="00D166C1"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w:t>
            </w:r>
          </w:p>
        </w:tc>
        <w:tc>
          <w:tcPr>
            <w:tcW w:w="1233" w:type="pct"/>
            <w:shd w:val="clear" w:color="auto" w:fill="auto"/>
            <w:vAlign w:val="center"/>
          </w:tcPr>
          <w:p w14:paraId="7C5FB89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w:t>
            </w:r>
          </w:p>
        </w:tc>
      </w:tr>
      <w:tr w:rsidR="00C02929" w14:paraId="62A97024" w14:textId="77777777">
        <w:trPr>
          <w:trHeight w:val="397"/>
          <w:tblHeader/>
        </w:trPr>
        <w:tc>
          <w:tcPr>
            <w:tcW w:w="1299" w:type="pct"/>
            <w:shd w:val="clear" w:color="auto" w:fill="auto"/>
            <w:vAlign w:val="center"/>
          </w:tcPr>
          <w:p w14:paraId="69342CF9" w14:textId="77777777" w:rsidR="00C02929" w:rsidRDefault="00C02929">
            <w:pPr>
              <w:rPr>
                <w:rFonts w:ascii="Times New Roman" w:hAnsi="Times New Roman" w:cs="Times New Roman"/>
                <w:b/>
                <w:bCs/>
                <w:sz w:val="21"/>
                <w:szCs w:val="21"/>
              </w:rPr>
            </w:pPr>
          </w:p>
        </w:tc>
        <w:tc>
          <w:tcPr>
            <w:tcW w:w="3701" w:type="pct"/>
            <w:gridSpan w:val="3"/>
            <w:shd w:val="clear" w:color="auto" w:fill="auto"/>
            <w:vAlign w:val="center"/>
          </w:tcPr>
          <w:p w14:paraId="11AE3163"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收入</w:t>
            </w:r>
          </w:p>
        </w:tc>
      </w:tr>
      <w:tr w:rsidR="00C02929" w14:paraId="026D9C88" w14:textId="77777777">
        <w:trPr>
          <w:trHeight w:val="397"/>
        </w:trPr>
        <w:tc>
          <w:tcPr>
            <w:tcW w:w="1299" w:type="pct"/>
            <w:shd w:val="clear" w:color="auto" w:fill="auto"/>
            <w:vAlign w:val="center"/>
          </w:tcPr>
          <w:p w14:paraId="193FF25E"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234" w:type="pct"/>
            <w:shd w:val="clear" w:color="auto" w:fill="auto"/>
            <w:noWrap/>
            <w:vAlign w:val="center"/>
          </w:tcPr>
          <w:p w14:paraId="4541B91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15,056.17</w:t>
            </w:r>
          </w:p>
        </w:tc>
        <w:tc>
          <w:tcPr>
            <w:tcW w:w="1234" w:type="pct"/>
            <w:shd w:val="clear" w:color="auto" w:fill="auto"/>
            <w:noWrap/>
            <w:vAlign w:val="center"/>
          </w:tcPr>
          <w:p w14:paraId="0566A95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10,326.14</w:t>
            </w:r>
          </w:p>
        </w:tc>
        <w:tc>
          <w:tcPr>
            <w:tcW w:w="1233" w:type="pct"/>
            <w:shd w:val="clear" w:color="auto" w:fill="auto"/>
            <w:noWrap/>
            <w:vAlign w:val="center"/>
          </w:tcPr>
          <w:p w14:paraId="4E7BE78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6,106.09</w:t>
            </w:r>
          </w:p>
        </w:tc>
      </w:tr>
      <w:tr w:rsidR="00C02929" w14:paraId="6F7A3FB9" w14:textId="77777777">
        <w:trPr>
          <w:trHeight w:val="397"/>
        </w:trPr>
        <w:tc>
          <w:tcPr>
            <w:tcW w:w="1299" w:type="pct"/>
            <w:shd w:val="clear" w:color="auto" w:fill="auto"/>
            <w:vAlign w:val="center"/>
          </w:tcPr>
          <w:p w14:paraId="421ABE42"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234" w:type="pct"/>
            <w:shd w:val="clear" w:color="auto" w:fill="auto"/>
            <w:noWrap/>
            <w:vAlign w:val="center"/>
          </w:tcPr>
          <w:p w14:paraId="1701D44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8,324.40</w:t>
            </w:r>
          </w:p>
        </w:tc>
        <w:tc>
          <w:tcPr>
            <w:tcW w:w="1234" w:type="pct"/>
            <w:shd w:val="clear" w:color="auto" w:fill="auto"/>
            <w:noWrap/>
            <w:vAlign w:val="center"/>
          </w:tcPr>
          <w:p w14:paraId="3C3A752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8,544.53</w:t>
            </w:r>
          </w:p>
        </w:tc>
        <w:tc>
          <w:tcPr>
            <w:tcW w:w="1233" w:type="pct"/>
            <w:shd w:val="clear" w:color="auto" w:fill="auto"/>
            <w:noWrap/>
            <w:vAlign w:val="center"/>
          </w:tcPr>
          <w:p w14:paraId="29AD113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890.75</w:t>
            </w:r>
          </w:p>
        </w:tc>
      </w:tr>
      <w:tr w:rsidR="00C02929" w14:paraId="4042BE30" w14:textId="77777777">
        <w:trPr>
          <w:trHeight w:val="397"/>
        </w:trPr>
        <w:tc>
          <w:tcPr>
            <w:tcW w:w="1299" w:type="pct"/>
            <w:shd w:val="clear" w:color="auto" w:fill="auto"/>
            <w:vAlign w:val="center"/>
          </w:tcPr>
          <w:p w14:paraId="3FEB86C1"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234" w:type="pct"/>
            <w:shd w:val="clear" w:color="auto" w:fill="auto"/>
            <w:noWrap/>
            <w:vAlign w:val="center"/>
          </w:tcPr>
          <w:p w14:paraId="499D7F5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6,731.77</w:t>
            </w:r>
          </w:p>
        </w:tc>
        <w:tc>
          <w:tcPr>
            <w:tcW w:w="1234" w:type="pct"/>
            <w:shd w:val="clear" w:color="auto" w:fill="auto"/>
            <w:noWrap/>
            <w:vAlign w:val="center"/>
          </w:tcPr>
          <w:p w14:paraId="3A2B15A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1,781.61</w:t>
            </w:r>
          </w:p>
        </w:tc>
        <w:tc>
          <w:tcPr>
            <w:tcW w:w="1233" w:type="pct"/>
            <w:shd w:val="clear" w:color="auto" w:fill="auto"/>
            <w:noWrap/>
            <w:vAlign w:val="center"/>
          </w:tcPr>
          <w:p w14:paraId="21EA9AD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5,215.34</w:t>
            </w:r>
          </w:p>
        </w:tc>
      </w:tr>
      <w:tr w:rsidR="00C02929" w14:paraId="0C7FB28E" w14:textId="77777777">
        <w:trPr>
          <w:trHeight w:val="397"/>
        </w:trPr>
        <w:tc>
          <w:tcPr>
            <w:tcW w:w="1299" w:type="pct"/>
            <w:shd w:val="clear" w:color="auto" w:fill="auto"/>
            <w:noWrap/>
            <w:vAlign w:val="center"/>
          </w:tcPr>
          <w:p w14:paraId="5B8704FD" w14:textId="77777777" w:rsidR="00C02929" w:rsidRDefault="00C02929">
            <w:pPr>
              <w:rPr>
                <w:rFonts w:ascii="Times New Roman" w:hAnsi="Times New Roman" w:cs="Times New Roman"/>
                <w:color w:val="000000"/>
                <w:sz w:val="21"/>
                <w:szCs w:val="21"/>
              </w:rPr>
            </w:pPr>
          </w:p>
        </w:tc>
        <w:tc>
          <w:tcPr>
            <w:tcW w:w="3701" w:type="pct"/>
            <w:gridSpan w:val="3"/>
            <w:shd w:val="clear" w:color="auto" w:fill="auto"/>
            <w:vAlign w:val="center"/>
          </w:tcPr>
          <w:p w14:paraId="65D737AC"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成本</w:t>
            </w:r>
          </w:p>
        </w:tc>
      </w:tr>
      <w:tr w:rsidR="00C02929" w14:paraId="76CEB9D7" w14:textId="77777777">
        <w:trPr>
          <w:trHeight w:val="397"/>
        </w:trPr>
        <w:tc>
          <w:tcPr>
            <w:tcW w:w="1299" w:type="pct"/>
            <w:shd w:val="clear" w:color="auto" w:fill="auto"/>
            <w:vAlign w:val="center"/>
          </w:tcPr>
          <w:p w14:paraId="19F1A8BC"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234" w:type="pct"/>
            <w:shd w:val="clear" w:color="auto" w:fill="auto"/>
            <w:noWrap/>
            <w:vAlign w:val="center"/>
          </w:tcPr>
          <w:p w14:paraId="66E3022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9,300.70</w:t>
            </w:r>
          </w:p>
        </w:tc>
        <w:tc>
          <w:tcPr>
            <w:tcW w:w="1234" w:type="pct"/>
            <w:shd w:val="clear" w:color="auto" w:fill="auto"/>
            <w:noWrap/>
            <w:vAlign w:val="center"/>
          </w:tcPr>
          <w:p w14:paraId="2DD63B1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6,911.95</w:t>
            </w:r>
          </w:p>
        </w:tc>
        <w:tc>
          <w:tcPr>
            <w:tcW w:w="1233" w:type="pct"/>
            <w:shd w:val="clear" w:color="auto" w:fill="auto"/>
            <w:noWrap/>
            <w:vAlign w:val="center"/>
          </w:tcPr>
          <w:p w14:paraId="0EA54ED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4,113.44</w:t>
            </w:r>
          </w:p>
        </w:tc>
      </w:tr>
      <w:tr w:rsidR="00C02929" w14:paraId="15724AE2" w14:textId="77777777">
        <w:trPr>
          <w:trHeight w:val="397"/>
        </w:trPr>
        <w:tc>
          <w:tcPr>
            <w:tcW w:w="1299" w:type="pct"/>
            <w:shd w:val="clear" w:color="auto" w:fill="auto"/>
            <w:vAlign w:val="center"/>
          </w:tcPr>
          <w:p w14:paraId="73BC533B"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234" w:type="pct"/>
            <w:shd w:val="clear" w:color="auto" w:fill="auto"/>
            <w:noWrap/>
            <w:vAlign w:val="center"/>
          </w:tcPr>
          <w:p w14:paraId="1AD1EE7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4,184.73</w:t>
            </w:r>
          </w:p>
        </w:tc>
        <w:tc>
          <w:tcPr>
            <w:tcW w:w="1234" w:type="pct"/>
            <w:shd w:val="clear" w:color="auto" w:fill="auto"/>
            <w:noWrap/>
            <w:vAlign w:val="center"/>
          </w:tcPr>
          <w:p w14:paraId="02B5A0E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5,620.31</w:t>
            </w:r>
          </w:p>
        </w:tc>
        <w:tc>
          <w:tcPr>
            <w:tcW w:w="1233" w:type="pct"/>
            <w:shd w:val="clear" w:color="auto" w:fill="auto"/>
            <w:noWrap/>
            <w:vAlign w:val="center"/>
          </w:tcPr>
          <w:p w14:paraId="0CEA595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437.38</w:t>
            </w:r>
          </w:p>
        </w:tc>
      </w:tr>
      <w:tr w:rsidR="00C02929" w14:paraId="14E923DD" w14:textId="77777777">
        <w:trPr>
          <w:trHeight w:val="397"/>
        </w:trPr>
        <w:tc>
          <w:tcPr>
            <w:tcW w:w="1299" w:type="pct"/>
            <w:shd w:val="clear" w:color="auto" w:fill="auto"/>
            <w:vAlign w:val="center"/>
          </w:tcPr>
          <w:p w14:paraId="5CAF7644"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234" w:type="pct"/>
            <w:shd w:val="clear" w:color="auto" w:fill="auto"/>
            <w:noWrap/>
            <w:vAlign w:val="center"/>
          </w:tcPr>
          <w:p w14:paraId="5258E5C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5,115.97</w:t>
            </w:r>
          </w:p>
        </w:tc>
        <w:tc>
          <w:tcPr>
            <w:tcW w:w="1234" w:type="pct"/>
            <w:shd w:val="clear" w:color="auto" w:fill="auto"/>
            <w:noWrap/>
            <w:vAlign w:val="center"/>
          </w:tcPr>
          <w:p w14:paraId="377502E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1,291.64</w:t>
            </w:r>
          </w:p>
        </w:tc>
        <w:tc>
          <w:tcPr>
            <w:tcW w:w="1233" w:type="pct"/>
            <w:shd w:val="clear" w:color="auto" w:fill="auto"/>
            <w:noWrap/>
            <w:vAlign w:val="center"/>
          </w:tcPr>
          <w:p w14:paraId="1EFE17F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3,676.06</w:t>
            </w:r>
          </w:p>
        </w:tc>
      </w:tr>
      <w:tr w:rsidR="00C02929" w14:paraId="1F6769A3" w14:textId="77777777">
        <w:trPr>
          <w:trHeight w:val="397"/>
        </w:trPr>
        <w:tc>
          <w:tcPr>
            <w:tcW w:w="1299" w:type="pct"/>
            <w:shd w:val="clear" w:color="auto" w:fill="auto"/>
            <w:noWrap/>
            <w:vAlign w:val="center"/>
          </w:tcPr>
          <w:p w14:paraId="4F118850" w14:textId="77777777" w:rsidR="00C02929" w:rsidRDefault="00C02929">
            <w:pPr>
              <w:rPr>
                <w:rFonts w:ascii="Times New Roman" w:hAnsi="Times New Roman" w:cs="Times New Roman"/>
                <w:sz w:val="21"/>
                <w:szCs w:val="21"/>
              </w:rPr>
            </w:pPr>
          </w:p>
        </w:tc>
        <w:tc>
          <w:tcPr>
            <w:tcW w:w="3701" w:type="pct"/>
            <w:gridSpan w:val="3"/>
            <w:shd w:val="clear" w:color="auto" w:fill="auto"/>
            <w:vAlign w:val="center"/>
          </w:tcPr>
          <w:p w14:paraId="6EA73349"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毛利率</w:t>
            </w:r>
          </w:p>
        </w:tc>
      </w:tr>
      <w:tr w:rsidR="00C02929" w14:paraId="20575C3C" w14:textId="77777777">
        <w:trPr>
          <w:trHeight w:val="397"/>
        </w:trPr>
        <w:tc>
          <w:tcPr>
            <w:tcW w:w="1299" w:type="pct"/>
            <w:shd w:val="clear" w:color="auto" w:fill="auto"/>
            <w:vAlign w:val="center"/>
          </w:tcPr>
          <w:p w14:paraId="5D4C5E44"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234" w:type="pct"/>
            <w:shd w:val="clear" w:color="auto" w:fill="auto"/>
            <w:noWrap/>
            <w:vAlign w:val="center"/>
          </w:tcPr>
          <w:p w14:paraId="55C93E8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38.23%</w:t>
            </w:r>
          </w:p>
        </w:tc>
        <w:tc>
          <w:tcPr>
            <w:tcW w:w="1234" w:type="pct"/>
            <w:shd w:val="clear" w:color="auto" w:fill="auto"/>
            <w:noWrap/>
            <w:vAlign w:val="center"/>
          </w:tcPr>
          <w:p w14:paraId="24719DF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33.06%</w:t>
            </w:r>
          </w:p>
        </w:tc>
        <w:tc>
          <w:tcPr>
            <w:tcW w:w="1233" w:type="pct"/>
            <w:shd w:val="clear" w:color="auto" w:fill="auto"/>
            <w:noWrap/>
            <w:vAlign w:val="center"/>
          </w:tcPr>
          <w:p w14:paraId="35C6A29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32.63%</w:t>
            </w:r>
          </w:p>
        </w:tc>
      </w:tr>
      <w:tr w:rsidR="00C02929" w14:paraId="23B6700A" w14:textId="77777777">
        <w:trPr>
          <w:trHeight w:val="397"/>
        </w:trPr>
        <w:tc>
          <w:tcPr>
            <w:tcW w:w="1299" w:type="pct"/>
            <w:shd w:val="clear" w:color="auto" w:fill="auto"/>
            <w:vAlign w:val="center"/>
          </w:tcPr>
          <w:p w14:paraId="527A2F2E"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234" w:type="pct"/>
            <w:shd w:val="clear" w:color="auto" w:fill="auto"/>
            <w:noWrap/>
            <w:vAlign w:val="center"/>
          </w:tcPr>
          <w:p w14:paraId="3470D93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49.73%</w:t>
            </w:r>
          </w:p>
        </w:tc>
        <w:tc>
          <w:tcPr>
            <w:tcW w:w="1234" w:type="pct"/>
            <w:shd w:val="clear" w:color="auto" w:fill="auto"/>
            <w:noWrap/>
            <w:vAlign w:val="center"/>
          </w:tcPr>
          <w:p w14:paraId="684912B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34.22%</w:t>
            </w:r>
          </w:p>
        </w:tc>
        <w:tc>
          <w:tcPr>
            <w:tcW w:w="1233" w:type="pct"/>
            <w:shd w:val="clear" w:color="auto" w:fill="auto"/>
            <w:noWrap/>
            <w:vAlign w:val="center"/>
          </w:tcPr>
          <w:p w14:paraId="565F5E6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50.90%</w:t>
            </w:r>
          </w:p>
        </w:tc>
      </w:tr>
      <w:tr w:rsidR="00C02929" w14:paraId="3BD6157B" w14:textId="77777777">
        <w:trPr>
          <w:trHeight w:val="397"/>
        </w:trPr>
        <w:tc>
          <w:tcPr>
            <w:tcW w:w="1299" w:type="pct"/>
            <w:shd w:val="clear" w:color="auto" w:fill="auto"/>
            <w:vAlign w:val="center"/>
          </w:tcPr>
          <w:p w14:paraId="28F4ED73"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234" w:type="pct"/>
            <w:shd w:val="clear" w:color="auto" w:fill="auto"/>
            <w:noWrap/>
            <w:vAlign w:val="center"/>
          </w:tcPr>
          <w:p w14:paraId="574628F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24.00%</w:t>
            </w:r>
          </w:p>
        </w:tc>
        <w:tc>
          <w:tcPr>
            <w:tcW w:w="1234" w:type="pct"/>
            <w:shd w:val="clear" w:color="auto" w:fill="auto"/>
            <w:noWrap/>
            <w:vAlign w:val="center"/>
          </w:tcPr>
          <w:p w14:paraId="399F9EC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27.50%</w:t>
            </w:r>
          </w:p>
        </w:tc>
        <w:tc>
          <w:tcPr>
            <w:tcW w:w="1233" w:type="pct"/>
            <w:shd w:val="clear" w:color="auto" w:fill="auto"/>
            <w:noWrap/>
            <w:vAlign w:val="center"/>
          </w:tcPr>
          <w:p w14:paraId="3B9AC72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29.51%</w:t>
            </w:r>
          </w:p>
        </w:tc>
      </w:tr>
    </w:tbl>
    <w:p w14:paraId="1F02D705"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由上表可以看出，北洋天青历史年度自</w:t>
      </w:r>
      <w:r>
        <w:rPr>
          <w:rFonts w:ascii="Times New Roman" w:hAnsi="Times New Roman" w:cs="Times New Roman" w:hint="eastAsia"/>
          <w:bCs/>
          <w:color w:val="000000"/>
          <w:szCs w:val="21"/>
        </w:rPr>
        <w:t>2018</w:t>
      </w:r>
      <w:r>
        <w:rPr>
          <w:rFonts w:ascii="Times New Roman" w:hAnsi="Times New Roman" w:cs="Times New Roman" w:hint="eastAsia"/>
          <w:bCs/>
          <w:color w:val="000000"/>
          <w:szCs w:val="21"/>
        </w:rPr>
        <w:t>年至</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年间毛利率逐年增长、</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年全年毛利水平达到</w:t>
      </w:r>
      <w:r>
        <w:rPr>
          <w:rFonts w:ascii="Times New Roman" w:hAnsi="Times New Roman" w:cs="Times New Roman" w:hint="eastAsia"/>
          <w:bCs/>
          <w:color w:val="000000"/>
          <w:szCs w:val="21"/>
        </w:rPr>
        <w:t>38.23%</w:t>
      </w:r>
      <w:r>
        <w:rPr>
          <w:rFonts w:ascii="Times New Roman" w:hAnsi="Times New Roman" w:cs="Times New Roman" w:hint="eastAsia"/>
          <w:bCs/>
          <w:color w:val="000000"/>
          <w:szCs w:val="21"/>
        </w:rPr>
        <w:t>。</w:t>
      </w:r>
    </w:p>
    <w:p w14:paraId="4AFF8B4B"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（一）定制化集成业务</w:t>
      </w:r>
    </w:p>
    <w:p w14:paraId="488FAA17"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报告期内，标的公司定制化集成业务的毛利及毛利率情况如下：</w:t>
      </w:r>
    </w:p>
    <w:p w14:paraId="4A7D1922"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lastRenderedPageBreak/>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106"/>
        <w:gridCol w:w="1069"/>
        <w:gridCol w:w="1070"/>
        <w:gridCol w:w="1069"/>
        <w:gridCol w:w="1070"/>
        <w:gridCol w:w="1069"/>
        <w:gridCol w:w="1069"/>
      </w:tblGrid>
      <w:tr w:rsidR="00C02929" w14:paraId="4BDCF9A2" w14:textId="77777777">
        <w:trPr>
          <w:trHeight w:val="397"/>
          <w:tblHeader/>
          <w:jc w:val="center"/>
        </w:trPr>
        <w:tc>
          <w:tcPr>
            <w:tcW w:w="1236" w:type="pct"/>
            <w:vMerge w:val="restart"/>
            <w:tcBorders>
              <w:top w:val="single" w:sz="12" w:space="0" w:color="auto"/>
              <w:left w:val="nil"/>
              <w:bottom w:val="single" w:sz="4" w:space="0" w:color="auto"/>
              <w:right w:val="single" w:sz="4" w:space="0" w:color="auto"/>
            </w:tcBorders>
            <w:vAlign w:val="center"/>
          </w:tcPr>
          <w:p w14:paraId="3C3A12F4"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定制化集成业务</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1AF6002C"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w:t>
            </w:r>
          </w:p>
        </w:tc>
        <w:tc>
          <w:tcPr>
            <w:tcW w:w="1255" w:type="pct"/>
            <w:gridSpan w:val="2"/>
            <w:tcBorders>
              <w:top w:val="single" w:sz="12" w:space="0" w:color="auto"/>
              <w:left w:val="single" w:sz="4" w:space="0" w:color="auto"/>
              <w:bottom w:val="single" w:sz="4" w:space="0" w:color="auto"/>
              <w:right w:val="single" w:sz="4" w:space="0" w:color="auto"/>
            </w:tcBorders>
            <w:vAlign w:val="center"/>
          </w:tcPr>
          <w:p w14:paraId="6A71502E"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254" w:type="pct"/>
            <w:gridSpan w:val="2"/>
            <w:tcBorders>
              <w:top w:val="single" w:sz="12" w:space="0" w:color="auto"/>
              <w:left w:val="single" w:sz="4" w:space="0" w:color="auto"/>
              <w:bottom w:val="single" w:sz="4" w:space="0" w:color="auto"/>
              <w:right w:val="nil"/>
            </w:tcBorders>
            <w:vAlign w:val="center"/>
          </w:tcPr>
          <w:p w14:paraId="181DD765"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C02929" w14:paraId="74DC9BE1" w14:textId="77777777">
        <w:trPr>
          <w:trHeight w:val="397"/>
          <w:tblHeader/>
          <w:jc w:val="center"/>
        </w:trPr>
        <w:tc>
          <w:tcPr>
            <w:tcW w:w="1236" w:type="pct"/>
            <w:vMerge/>
            <w:tcBorders>
              <w:top w:val="single" w:sz="12" w:space="0" w:color="auto"/>
              <w:left w:val="nil"/>
              <w:bottom w:val="single" w:sz="4" w:space="0" w:color="auto"/>
              <w:right w:val="single" w:sz="4" w:space="0" w:color="auto"/>
            </w:tcBorders>
            <w:vAlign w:val="center"/>
          </w:tcPr>
          <w:p w14:paraId="7761A1AD" w14:textId="77777777" w:rsidR="00C02929" w:rsidRDefault="00C02929">
            <w:pPr>
              <w:rPr>
                <w:rFonts w:ascii="Times New Roman" w:hAnsi="Times New Roman" w:cs="Times New Roman"/>
                <w:b/>
                <w:bCs/>
                <w:color w:val="000000"/>
                <w:sz w:val="21"/>
                <w:szCs w:val="21"/>
              </w:rPr>
            </w:pPr>
          </w:p>
        </w:tc>
        <w:tc>
          <w:tcPr>
            <w:tcW w:w="627" w:type="pct"/>
            <w:tcBorders>
              <w:top w:val="single" w:sz="4" w:space="0" w:color="auto"/>
              <w:left w:val="single" w:sz="4" w:space="0" w:color="auto"/>
              <w:bottom w:val="single" w:sz="4" w:space="0" w:color="auto"/>
              <w:right w:val="single" w:sz="4" w:space="0" w:color="auto"/>
            </w:tcBorders>
            <w:noWrap/>
            <w:vAlign w:val="center"/>
          </w:tcPr>
          <w:p w14:paraId="77846447"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2D07F081"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24A25051"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8" w:type="pct"/>
            <w:tcBorders>
              <w:top w:val="single" w:sz="4" w:space="0" w:color="auto"/>
              <w:left w:val="single" w:sz="4" w:space="0" w:color="auto"/>
              <w:bottom w:val="single" w:sz="4" w:space="0" w:color="auto"/>
              <w:right w:val="single" w:sz="4" w:space="0" w:color="auto"/>
            </w:tcBorders>
            <w:noWrap/>
            <w:vAlign w:val="center"/>
          </w:tcPr>
          <w:p w14:paraId="01F009E6"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627" w:type="pct"/>
            <w:tcBorders>
              <w:top w:val="single" w:sz="4" w:space="0" w:color="auto"/>
              <w:left w:val="single" w:sz="4" w:space="0" w:color="auto"/>
              <w:bottom w:val="single" w:sz="4" w:space="0" w:color="auto"/>
              <w:right w:val="single" w:sz="4" w:space="0" w:color="auto"/>
            </w:tcBorders>
            <w:noWrap/>
            <w:vAlign w:val="center"/>
          </w:tcPr>
          <w:p w14:paraId="70B86131"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627" w:type="pct"/>
            <w:tcBorders>
              <w:top w:val="single" w:sz="4" w:space="0" w:color="auto"/>
              <w:left w:val="single" w:sz="4" w:space="0" w:color="auto"/>
              <w:bottom w:val="single" w:sz="4" w:space="0" w:color="auto"/>
              <w:right w:val="nil"/>
            </w:tcBorders>
            <w:noWrap/>
            <w:vAlign w:val="center"/>
          </w:tcPr>
          <w:p w14:paraId="6C758E2F"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C02929" w14:paraId="2B92E5B6"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4E54FBDA"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测试系统集成</w:t>
            </w:r>
          </w:p>
        </w:tc>
        <w:tc>
          <w:tcPr>
            <w:tcW w:w="627" w:type="pct"/>
            <w:tcBorders>
              <w:top w:val="single" w:sz="4" w:space="0" w:color="auto"/>
              <w:left w:val="single" w:sz="4" w:space="0" w:color="auto"/>
              <w:bottom w:val="single" w:sz="4" w:space="0" w:color="auto"/>
              <w:right w:val="single" w:sz="4" w:space="0" w:color="auto"/>
            </w:tcBorders>
            <w:vAlign w:val="center"/>
          </w:tcPr>
          <w:p w14:paraId="2D4EB070"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3ED39526"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560DB230"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8" w:type="pct"/>
            <w:tcBorders>
              <w:top w:val="single" w:sz="4" w:space="0" w:color="auto"/>
              <w:left w:val="single" w:sz="4" w:space="0" w:color="auto"/>
              <w:bottom w:val="single" w:sz="4" w:space="0" w:color="auto"/>
              <w:right w:val="single" w:sz="4" w:space="0" w:color="auto"/>
            </w:tcBorders>
            <w:vAlign w:val="center"/>
          </w:tcPr>
          <w:p w14:paraId="6679BE0B"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single" w:sz="4" w:space="0" w:color="auto"/>
            </w:tcBorders>
            <w:vAlign w:val="center"/>
          </w:tcPr>
          <w:p w14:paraId="677C8755"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36.49</w:t>
            </w:r>
          </w:p>
        </w:tc>
        <w:tc>
          <w:tcPr>
            <w:tcW w:w="627" w:type="pct"/>
            <w:tcBorders>
              <w:top w:val="single" w:sz="4" w:space="0" w:color="auto"/>
              <w:left w:val="single" w:sz="4" w:space="0" w:color="auto"/>
              <w:bottom w:val="single" w:sz="4" w:space="0" w:color="auto"/>
              <w:right w:val="nil"/>
            </w:tcBorders>
            <w:noWrap/>
            <w:vAlign w:val="center"/>
          </w:tcPr>
          <w:p w14:paraId="2F60B1D4"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79.06%</w:t>
            </w:r>
          </w:p>
        </w:tc>
      </w:tr>
      <w:tr w:rsidR="00C02929" w14:paraId="1014F479"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3D834CD6"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企业信息化</w:t>
            </w:r>
          </w:p>
        </w:tc>
        <w:tc>
          <w:tcPr>
            <w:tcW w:w="627" w:type="pct"/>
            <w:tcBorders>
              <w:top w:val="single" w:sz="4" w:space="0" w:color="auto"/>
              <w:left w:val="single" w:sz="4" w:space="0" w:color="auto"/>
              <w:bottom w:val="single" w:sz="4" w:space="0" w:color="auto"/>
              <w:right w:val="single" w:sz="4" w:space="0" w:color="auto"/>
            </w:tcBorders>
            <w:vAlign w:val="center"/>
          </w:tcPr>
          <w:p w14:paraId="71277FC9"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2,722.79</w:t>
            </w:r>
          </w:p>
        </w:tc>
        <w:tc>
          <w:tcPr>
            <w:tcW w:w="628" w:type="pct"/>
            <w:tcBorders>
              <w:top w:val="single" w:sz="4" w:space="0" w:color="auto"/>
              <w:left w:val="single" w:sz="4" w:space="0" w:color="auto"/>
              <w:bottom w:val="single" w:sz="4" w:space="0" w:color="auto"/>
              <w:right w:val="single" w:sz="4" w:space="0" w:color="auto"/>
            </w:tcBorders>
            <w:vAlign w:val="center"/>
          </w:tcPr>
          <w:p w14:paraId="135E3E41"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68.19%</w:t>
            </w:r>
          </w:p>
        </w:tc>
        <w:tc>
          <w:tcPr>
            <w:tcW w:w="627" w:type="pct"/>
            <w:tcBorders>
              <w:top w:val="single" w:sz="4" w:space="0" w:color="auto"/>
              <w:left w:val="single" w:sz="4" w:space="0" w:color="auto"/>
              <w:bottom w:val="single" w:sz="4" w:space="0" w:color="auto"/>
              <w:right w:val="single" w:sz="4" w:space="0" w:color="auto"/>
            </w:tcBorders>
            <w:vAlign w:val="center"/>
          </w:tcPr>
          <w:p w14:paraId="2186FD63"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29.47</w:t>
            </w:r>
          </w:p>
        </w:tc>
        <w:tc>
          <w:tcPr>
            <w:tcW w:w="628" w:type="pct"/>
            <w:tcBorders>
              <w:top w:val="single" w:sz="4" w:space="0" w:color="auto"/>
              <w:left w:val="single" w:sz="4" w:space="0" w:color="auto"/>
              <w:bottom w:val="single" w:sz="4" w:space="0" w:color="auto"/>
              <w:right w:val="single" w:sz="4" w:space="0" w:color="auto"/>
            </w:tcBorders>
            <w:vAlign w:val="center"/>
          </w:tcPr>
          <w:p w14:paraId="52B3742A"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87.70%</w:t>
            </w:r>
          </w:p>
        </w:tc>
        <w:tc>
          <w:tcPr>
            <w:tcW w:w="627" w:type="pct"/>
            <w:tcBorders>
              <w:top w:val="single" w:sz="4" w:space="0" w:color="auto"/>
              <w:left w:val="single" w:sz="4" w:space="0" w:color="auto"/>
              <w:bottom w:val="single" w:sz="4" w:space="0" w:color="auto"/>
              <w:right w:val="single" w:sz="4" w:space="0" w:color="auto"/>
            </w:tcBorders>
            <w:vAlign w:val="center"/>
          </w:tcPr>
          <w:p w14:paraId="497C47BF"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165.12</w:t>
            </w:r>
          </w:p>
        </w:tc>
        <w:tc>
          <w:tcPr>
            <w:tcW w:w="627" w:type="pct"/>
            <w:tcBorders>
              <w:top w:val="single" w:sz="4" w:space="0" w:color="auto"/>
              <w:left w:val="single" w:sz="4" w:space="0" w:color="auto"/>
              <w:bottom w:val="single" w:sz="4" w:space="0" w:color="auto"/>
              <w:right w:val="nil"/>
            </w:tcBorders>
            <w:noWrap/>
            <w:vAlign w:val="center"/>
          </w:tcPr>
          <w:p w14:paraId="3FD95815"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93.89%</w:t>
            </w:r>
          </w:p>
        </w:tc>
      </w:tr>
      <w:tr w:rsidR="00C02929" w14:paraId="7E3BD5FB"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0EF38D71"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物流悬挂输送系统</w:t>
            </w:r>
          </w:p>
        </w:tc>
        <w:tc>
          <w:tcPr>
            <w:tcW w:w="627" w:type="pct"/>
            <w:tcBorders>
              <w:top w:val="single" w:sz="4" w:space="0" w:color="auto"/>
              <w:left w:val="single" w:sz="4" w:space="0" w:color="auto"/>
              <w:bottom w:val="single" w:sz="4" w:space="0" w:color="auto"/>
              <w:right w:val="single" w:sz="4" w:space="0" w:color="auto"/>
            </w:tcBorders>
            <w:vAlign w:val="center"/>
          </w:tcPr>
          <w:p w14:paraId="3085E678" w14:textId="77777777" w:rsidR="00C02929" w:rsidRDefault="006116D1">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646.13</w:t>
            </w:r>
          </w:p>
        </w:tc>
        <w:tc>
          <w:tcPr>
            <w:tcW w:w="628" w:type="pct"/>
            <w:tcBorders>
              <w:top w:val="single" w:sz="4" w:space="0" w:color="auto"/>
              <w:left w:val="single" w:sz="4" w:space="0" w:color="auto"/>
              <w:bottom w:val="single" w:sz="4" w:space="0" w:color="auto"/>
              <w:right w:val="single" w:sz="4" w:space="0" w:color="auto"/>
            </w:tcBorders>
            <w:vAlign w:val="center"/>
          </w:tcPr>
          <w:p w14:paraId="1BE748D6" w14:textId="77777777" w:rsidR="00C02929" w:rsidRDefault="006116D1">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32.67%</w:t>
            </w:r>
          </w:p>
        </w:tc>
        <w:tc>
          <w:tcPr>
            <w:tcW w:w="627" w:type="pct"/>
            <w:tcBorders>
              <w:top w:val="single" w:sz="4" w:space="0" w:color="auto"/>
              <w:left w:val="single" w:sz="4" w:space="0" w:color="auto"/>
              <w:bottom w:val="single" w:sz="4" w:space="0" w:color="auto"/>
              <w:right w:val="single" w:sz="4" w:space="0" w:color="auto"/>
            </w:tcBorders>
            <w:vAlign w:val="center"/>
          </w:tcPr>
          <w:p w14:paraId="12E1F8E9"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357.93</w:t>
            </w:r>
          </w:p>
        </w:tc>
        <w:tc>
          <w:tcPr>
            <w:tcW w:w="628" w:type="pct"/>
            <w:tcBorders>
              <w:top w:val="single" w:sz="4" w:space="0" w:color="auto"/>
              <w:left w:val="single" w:sz="4" w:space="0" w:color="auto"/>
              <w:bottom w:val="single" w:sz="4" w:space="0" w:color="auto"/>
              <w:right w:val="single" w:sz="4" w:space="0" w:color="auto"/>
            </w:tcBorders>
            <w:vAlign w:val="center"/>
          </w:tcPr>
          <w:p w14:paraId="0216BAD8"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32.95%</w:t>
            </w:r>
          </w:p>
        </w:tc>
        <w:tc>
          <w:tcPr>
            <w:tcW w:w="627" w:type="pct"/>
            <w:tcBorders>
              <w:top w:val="single" w:sz="4" w:space="0" w:color="auto"/>
              <w:left w:val="single" w:sz="4" w:space="0" w:color="auto"/>
              <w:bottom w:val="single" w:sz="4" w:space="0" w:color="auto"/>
              <w:right w:val="single" w:sz="4" w:space="0" w:color="auto"/>
            </w:tcBorders>
            <w:vAlign w:val="center"/>
          </w:tcPr>
          <w:p w14:paraId="3D0AACC9"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627" w:type="pct"/>
            <w:tcBorders>
              <w:top w:val="single" w:sz="4" w:space="0" w:color="auto"/>
              <w:left w:val="single" w:sz="4" w:space="0" w:color="auto"/>
              <w:bottom w:val="single" w:sz="4" w:space="0" w:color="auto"/>
              <w:right w:val="nil"/>
            </w:tcBorders>
            <w:noWrap/>
            <w:vAlign w:val="center"/>
          </w:tcPr>
          <w:p w14:paraId="5D937D54"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w:t>
            </w:r>
          </w:p>
        </w:tc>
      </w:tr>
      <w:tr w:rsidR="00C02929" w14:paraId="197699E9" w14:textId="77777777">
        <w:trPr>
          <w:trHeight w:val="397"/>
          <w:jc w:val="center"/>
        </w:trPr>
        <w:tc>
          <w:tcPr>
            <w:tcW w:w="1236" w:type="pct"/>
            <w:tcBorders>
              <w:top w:val="single" w:sz="4" w:space="0" w:color="auto"/>
              <w:left w:val="nil"/>
              <w:bottom w:val="single" w:sz="4" w:space="0" w:color="auto"/>
              <w:right w:val="single" w:sz="4" w:space="0" w:color="auto"/>
            </w:tcBorders>
            <w:vAlign w:val="center"/>
          </w:tcPr>
          <w:p w14:paraId="588CEF8D" w14:textId="77777777" w:rsidR="00C02929" w:rsidRDefault="006116D1">
            <w:pPr>
              <w:snapToGrid w:val="0"/>
              <w:jc w:val="both"/>
              <w:rPr>
                <w:rFonts w:ascii="Times New Roman" w:hAnsi="Times New Roman" w:cs="Times New Roman"/>
                <w:color w:val="000000"/>
                <w:sz w:val="21"/>
                <w:szCs w:val="21"/>
              </w:rPr>
            </w:pPr>
            <w:r>
              <w:rPr>
                <w:rFonts w:ascii="Times New Roman" w:hAnsi="Times New Roman" w:cs="Times New Roman" w:hint="eastAsia"/>
                <w:color w:val="000000"/>
                <w:sz w:val="21"/>
                <w:szCs w:val="21"/>
              </w:rPr>
              <w:t>智能制造装备</w:t>
            </w:r>
          </w:p>
        </w:tc>
        <w:tc>
          <w:tcPr>
            <w:tcW w:w="627" w:type="pct"/>
            <w:tcBorders>
              <w:top w:val="single" w:sz="4" w:space="0" w:color="auto"/>
              <w:left w:val="single" w:sz="4" w:space="0" w:color="auto"/>
              <w:bottom w:val="single" w:sz="4" w:space="0" w:color="auto"/>
              <w:right w:val="single" w:sz="4" w:space="0" w:color="auto"/>
            </w:tcBorders>
            <w:vAlign w:val="center"/>
          </w:tcPr>
          <w:p w14:paraId="31CEC752" w14:textId="77777777" w:rsidR="00C02929" w:rsidRDefault="006116D1">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770.75</w:t>
            </w:r>
          </w:p>
        </w:tc>
        <w:tc>
          <w:tcPr>
            <w:tcW w:w="628" w:type="pct"/>
            <w:tcBorders>
              <w:top w:val="single" w:sz="4" w:space="0" w:color="auto"/>
              <w:left w:val="single" w:sz="4" w:space="0" w:color="auto"/>
              <w:bottom w:val="single" w:sz="4" w:space="0" w:color="auto"/>
              <w:right w:val="single" w:sz="4" w:space="0" w:color="auto"/>
            </w:tcBorders>
            <w:vAlign w:val="center"/>
          </w:tcPr>
          <w:p w14:paraId="64C1591F" w14:textId="77777777" w:rsidR="00C02929" w:rsidRDefault="006116D1">
            <w:pPr>
              <w:snapToGrid w:val="0"/>
              <w:jc w:val="right"/>
              <w:rPr>
                <w:rFonts w:ascii="Times New Roman" w:hAnsi="Times New Roman" w:cs="Times New Roman"/>
                <w:color w:val="000000"/>
                <w:sz w:val="21"/>
                <w:szCs w:val="21"/>
              </w:rPr>
            </w:pPr>
            <w:r>
              <w:rPr>
                <w:rFonts w:ascii="Times New Roman" w:eastAsia="楷体" w:hAnsi="Times New Roman" w:cs="Times New Roman"/>
                <w:color w:val="000000"/>
                <w:sz w:val="21"/>
                <w:szCs w:val="21"/>
              </w:rPr>
              <w:t>32.74%</w:t>
            </w:r>
          </w:p>
        </w:tc>
        <w:tc>
          <w:tcPr>
            <w:tcW w:w="627" w:type="pct"/>
            <w:tcBorders>
              <w:top w:val="single" w:sz="4" w:space="0" w:color="auto"/>
              <w:left w:val="single" w:sz="4" w:space="0" w:color="auto"/>
              <w:bottom w:val="single" w:sz="4" w:space="0" w:color="auto"/>
              <w:right w:val="single" w:sz="4" w:space="0" w:color="auto"/>
            </w:tcBorders>
            <w:vAlign w:val="center"/>
          </w:tcPr>
          <w:p w14:paraId="6884ED46"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2,536.82</w:t>
            </w:r>
          </w:p>
        </w:tc>
        <w:tc>
          <w:tcPr>
            <w:tcW w:w="628" w:type="pct"/>
            <w:tcBorders>
              <w:top w:val="single" w:sz="4" w:space="0" w:color="auto"/>
              <w:left w:val="single" w:sz="4" w:space="0" w:color="auto"/>
              <w:bottom w:val="single" w:sz="4" w:space="0" w:color="auto"/>
              <w:right w:val="single" w:sz="4" w:space="0" w:color="auto"/>
            </w:tcBorders>
            <w:vAlign w:val="center"/>
          </w:tcPr>
          <w:p w14:paraId="4E8F8FAA"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34.17%</w:t>
            </w:r>
          </w:p>
        </w:tc>
        <w:tc>
          <w:tcPr>
            <w:tcW w:w="627" w:type="pct"/>
            <w:tcBorders>
              <w:top w:val="single" w:sz="4" w:space="0" w:color="auto"/>
              <w:left w:val="single" w:sz="4" w:space="0" w:color="auto"/>
              <w:bottom w:val="single" w:sz="4" w:space="0" w:color="auto"/>
              <w:right w:val="single" w:sz="4" w:space="0" w:color="auto"/>
            </w:tcBorders>
            <w:vAlign w:val="center"/>
          </w:tcPr>
          <w:p w14:paraId="7487428C"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251.77</w:t>
            </w:r>
          </w:p>
        </w:tc>
        <w:tc>
          <w:tcPr>
            <w:tcW w:w="627" w:type="pct"/>
            <w:tcBorders>
              <w:top w:val="single" w:sz="4" w:space="0" w:color="auto"/>
              <w:left w:val="single" w:sz="4" w:space="0" w:color="auto"/>
              <w:bottom w:val="single" w:sz="4" w:space="0" w:color="auto"/>
              <w:right w:val="nil"/>
            </w:tcBorders>
            <w:noWrap/>
            <w:vAlign w:val="center"/>
          </w:tcPr>
          <w:p w14:paraId="0410F43E"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37.65%</w:t>
            </w:r>
          </w:p>
        </w:tc>
      </w:tr>
      <w:tr w:rsidR="00C02929" w14:paraId="5D8BF72A" w14:textId="77777777">
        <w:trPr>
          <w:trHeight w:val="397"/>
          <w:jc w:val="center"/>
        </w:trPr>
        <w:tc>
          <w:tcPr>
            <w:tcW w:w="1236" w:type="pct"/>
            <w:tcBorders>
              <w:top w:val="single" w:sz="4" w:space="0" w:color="auto"/>
              <w:left w:val="nil"/>
              <w:bottom w:val="single" w:sz="12" w:space="0" w:color="auto"/>
              <w:right w:val="single" w:sz="4" w:space="0" w:color="auto"/>
            </w:tcBorders>
            <w:vAlign w:val="center"/>
          </w:tcPr>
          <w:p w14:paraId="75FB39A3"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27" w:type="pct"/>
            <w:tcBorders>
              <w:top w:val="single" w:sz="4" w:space="0" w:color="auto"/>
              <w:left w:val="single" w:sz="4" w:space="0" w:color="auto"/>
              <w:bottom w:val="single" w:sz="12" w:space="0" w:color="auto"/>
              <w:right w:val="single" w:sz="4" w:space="0" w:color="auto"/>
            </w:tcBorders>
            <w:vAlign w:val="center"/>
          </w:tcPr>
          <w:p w14:paraId="41DF12AF" w14:textId="77777777" w:rsidR="00C02929" w:rsidRDefault="006116D1">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4,139.66</w:t>
            </w:r>
          </w:p>
        </w:tc>
        <w:tc>
          <w:tcPr>
            <w:tcW w:w="628" w:type="pct"/>
            <w:tcBorders>
              <w:top w:val="single" w:sz="4" w:space="0" w:color="auto"/>
              <w:left w:val="single" w:sz="4" w:space="0" w:color="auto"/>
              <w:bottom w:val="single" w:sz="12" w:space="0" w:color="auto"/>
              <w:right w:val="single" w:sz="4" w:space="0" w:color="auto"/>
            </w:tcBorders>
            <w:vAlign w:val="center"/>
          </w:tcPr>
          <w:p w14:paraId="25DC8FC7" w14:textId="77777777" w:rsidR="00C02929" w:rsidRDefault="006116D1">
            <w:pPr>
              <w:snapToGrid w:val="0"/>
              <w:jc w:val="right"/>
              <w:rPr>
                <w:rFonts w:ascii="Times New Roman" w:hAnsi="Times New Roman" w:cs="Times New Roman"/>
                <w:b/>
                <w:bCs/>
                <w:color w:val="000000"/>
                <w:sz w:val="21"/>
                <w:szCs w:val="21"/>
              </w:rPr>
            </w:pPr>
            <w:r>
              <w:rPr>
                <w:rFonts w:ascii="Times New Roman" w:eastAsia="楷体" w:hAnsi="Times New Roman" w:cs="Times New Roman"/>
                <w:b/>
                <w:bCs/>
                <w:color w:val="000000"/>
                <w:sz w:val="21"/>
                <w:szCs w:val="21"/>
              </w:rPr>
              <w:t>49.73%</w:t>
            </w:r>
          </w:p>
        </w:tc>
        <w:tc>
          <w:tcPr>
            <w:tcW w:w="627" w:type="pct"/>
            <w:tcBorders>
              <w:top w:val="single" w:sz="4" w:space="0" w:color="auto"/>
              <w:left w:val="single" w:sz="4" w:space="0" w:color="auto"/>
              <w:bottom w:val="single" w:sz="12" w:space="0" w:color="auto"/>
              <w:right w:val="single" w:sz="4" w:space="0" w:color="auto"/>
            </w:tcBorders>
            <w:vAlign w:val="center"/>
          </w:tcPr>
          <w:p w14:paraId="198494B8"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2,924.22</w:t>
            </w:r>
          </w:p>
        </w:tc>
        <w:tc>
          <w:tcPr>
            <w:tcW w:w="628" w:type="pct"/>
            <w:tcBorders>
              <w:top w:val="single" w:sz="4" w:space="0" w:color="auto"/>
              <w:left w:val="single" w:sz="4" w:space="0" w:color="auto"/>
              <w:bottom w:val="single" w:sz="12" w:space="0" w:color="auto"/>
              <w:right w:val="single" w:sz="4" w:space="0" w:color="auto"/>
            </w:tcBorders>
            <w:vAlign w:val="center"/>
          </w:tcPr>
          <w:p w14:paraId="0E4A1F01"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34.22%</w:t>
            </w:r>
          </w:p>
        </w:tc>
        <w:tc>
          <w:tcPr>
            <w:tcW w:w="627" w:type="pct"/>
            <w:tcBorders>
              <w:top w:val="single" w:sz="4" w:space="0" w:color="auto"/>
              <w:left w:val="single" w:sz="4" w:space="0" w:color="auto"/>
              <w:bottom w:val="single" w:sz="12" w:space="0" w:color="auto"/>
              <w:right w:val="single" w:sz="4" w:space="0" w:color="auto"/>
            </w:tcBorders>
            <w:vAlign w:val="center"/>
          </w:tcPr>
          <w:p w14:paraId="4C9419C4"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453.37</w:t>
            </w:r>
          </w:p>
        </w:tc>
        <w:tc>
          <w:tcPr>
            <w:tcW w:w="627" w:type="pct"/>
            <w:tcBorders>
              <w:top w:val="single" w:sz="4" w:space="0" w:color="auto"/>
              <w:left w:val="single" w:sz="4" w:space="0" w:color="auto"/>
              <w:bottom w:val="single" w:sz="12" w:space="0" w:color="auto"/>
              <w:right w:val="nil"/>
            </w:tcBorders>
            <w:noWrap/>
            <w:vAlign w:val="center"/>
          </w:tcPr>
          <w:p w14:paraId="68AD5B14"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50.90%</w:t>
            </w:r>
          </w:p>
        </w:tc>
      </w:tr>
    </w:tbl>
    <w:p w14:paraId="5D95EB7C"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年，标的公司定制化集成业务毛利率为</w:t>
      </w:r>
      <w:r>
        <w:rPr>
          <w:rFonts w:ascii="Times New Roman" w:hAnsi="Times New Roman" w:cs="Times New Roman"/>
          <w:bCs/>
          <w:color w:val="000000"/>
          <w:szCs w:val="21"/>
          <w:lang w:val="en-GB"/>
        </w:rPr>
        <w:t>34.22%</w:t>
      </w:r>
      <w:r>
        <w:rPr>
          <w:rFonts w:ascii="Times New Roman" w:hAnsi="Times New Roman" w:cs="Times New Roman" w:hint="eastAsia"/>
          <w:bCs/>
          <w:color w:val="000000"/>
          <w:szCs w:val="21"/>
          <w:lang w:val="en-GB"/>
        </w:rPr>
        <w:t>，较</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年的</w:t>
      </w:r>
      <w:r>
        <w:rPr>
          <w:rFonts w:ascii="Times New Roman" w:hAnsi="Times New Roman" w:cs="Times New Roman"/>
          <w:bCs/>
          <w:color w:val="000000"/>
          <w:szCs w:val="21"/>
          <w:lang w:val="en-GB"/>
        </w:rPr>
        <w:t>50.90%</w:t>
      </w:r>
      <w:r>
        <w:rPr>
          <w:rFonts w:ascii="Times New Roman" w:hAnsi="Times New Roman" w:cs="Times New Roman" w:hint="eastAsia"/>
          <w:bCs/>
          <w:color w:val="000000"/>
          <w:szCs w:val="21"/>
          <w:lang w:val="en-GB"/>
        </w:rPr>
        <w:t>下降了</w:t>
      </w:r>
      <w:r>
        <w:rPr>
          <w:rFonts w:ascii="Times New Roman" w:hAnsi="Times New Roman" w:cs="Times New Roman"/>
          <w:bCs/>
          <w:color w:val="000000"/>
          <w:szCs w:val="21"/>
          <w:lang w:val="en-GB"/>
        </w:rPr>
        <w:t>16.68%</w:t>
      </w:r>
      <w:r>
        <w:rPr>
          <w:rFonts w:ascii="Times New Roman" w:hAnsi="Times New Roman" w:cs="Times New Roman" w:hint="eastAsia"/>
          <w:bCs/>
          <w:color w:val="000000"/>
          <w:szCs w:val="21"/>
          <w:lang w:val="en-GB"/>
        </w:rPr>
        <w:t>，主要系</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年企业信息化业务毛利率为</w:t>
      </w:r>
      <w:r>
        <w:rPr>
          <w:rFonts w:ascii="Times New Roman" w:hAnsi="Times New Roman" w:cs="Times New Roman"/>
          <w:bCs/>
          <w:color w:val="000000"/>
          <w:szCs w:val="21"/>
          <w:lang w:val="en-GB"/>
        </w:rPr>
        <w:t>93.89%</w:t>
      </w:r>
      <w:r>
        <w:rPr>
          <w:rFonts w:ascii="Times New Roman" w:hAnsi="Times New Roman" w:cs="Times New Roman" w:hint="eastAsia"/>
          <w:bCs/>
          <w:color w:val="000000"/>
          <w:szCs w:val="21"/>
          <w:lang w:val="en-GB"/>
        </w:rPr>
        <w:t>，收入为</w:t>
      </w:r>
      <w:r>
        <w:rPr>
          <w:rFonts w:ascii="Times New Roman" w:hAnsi="Times New Roman" w:cs="Times New Roman"/>
          <w:bCs/>
          <w:color w:val="000000"/>
          <w:szCs w:val="21"/>
          <w:lang w:val="en-GB"/>
        </w:rPr>
        <w:t>175.86</w:t>
      </w:r>
      <w:r>
        <w:rPr>
          <w:rFonts w:ascii="Times New Roman" w:hAnsi="Times New Roman" w:cs="Times New Roman" w:hint="eastAsia"/>
          <w:bCs/>
          <w:color w:val="000000"/>
          <w:szCs w:val="21"/>
          <w:lang w:val="en-GB"/>
        </w:rPr>
        <w:t>万元，占总定制化集成业务</w:t>
      </w:r>
      <w:r>
        <w:rPr>
          <w:rFonts w:ascii="Times New Roman" w:hAnsi="Times New Roman" w:cs="Times New Roman"/>
          <w:bCs/>
          <w:color w:val="000000"/>
          <w:szCs w:val="21"/>
          <w:lang w:val="en-GB"/>
        </w:rPr>
        <w:t>890.75</w:t>
      </w:r>
      <w:r>
        <w:rPr>
          <w:rFonts w:ascii="Times New Roman" w:hAnsi="Times New Roman" w:cs="Times New Roman" w:hint="eastAsia"/>
          <w:bCs/>
          <w:color w:val="000000"/>
          <w:szCs w:val="21"/>
          <w:lang w:val="en-GB"/>
        </w:rPr>
        <w:t>万元的</w:t>
      </w:r>
      <w:r>
        <w:rPr>
          <w:rFonts w:ascii="Times New Roman" w:hAnsi="Times New Roman" w:cs="Times New Roman"/>
          <w:bCs/>
          <w:color w:val="000000"/>
          <w:szCs w:val="21"/>
          <w:lang w:val="en-GB"/>
        </w:rPr>
        <w:t>19.74%</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年，标的公司企业信息化业务毛利率为</w:t>
      </w:r>
      <w:r>
        <w:rPr>
          <w:rFonts w:ascii="Times New Roman" w:hAnsi="Times New Roman" w:cs="Times New Roman"/>
          <w:bCs/>
          <w:color w:val="000000"/>
          <w:szCs w:val="21"/>
          <w:lang w:val="en-GB"/>
        </w:rPr>
        <w:t>87.70%</w:t>
      </w:r>
      <w:r>
        <w:rPr>
          <w:rFonts w:ascii="Times New Roman" w:hAnsi="Times New Roman" w:cs="Times New Roman" w:hint="eastAsia"/>
          <w:bCs/>
          <w:color w:val="000000"/>
          <w:szCs w:val="21"/>
          <w:lang w:val="en-GB"/>
        </w:rPr>
        <w:t>，相应收入为</w:t>
      </w:r>
      <w:r>
        <w:rPr>
          <w:rFonts w:ascii="Times New Roman" w:hAnsi="Times New Roman" w:cs="Times New Roman"/>
          <w:bCs/>
          <w:color w:val="000000"/>
          <w:szCs w:val="21"/>
          <w:lang w:val="en-GB"/>
        </w:rPr>
        <w:t>33.61</w:t>
      </w:r>
      <w:r>
        <w:rPr>
          <w:rFonts w:ascii="Times New Roman" w:hAnsi="Times New Roman" w:cs="Times New Roman" w:hint="eastAsia"/>
          <w:bCs/>
          <w:color w:val="000000"/>
          <w:szCs w:val="21"/>
          <w:lang w:val="en-GB"/>
        </w:rPr>
        <w:t>万元，占定制化集成业务</w:t>
      </w:r>
      <w:r>
        <w:rPr>
          <w:rFonts w:ascii="Times New Roman" w:hAnsi="Times New Roman" w:cs="Times New Roman"/>
          <w:bCs/>
          <w:color w:val="000000"/>
          <w:szCs w:val="21"/>
          <w:lang w:val="en-GB"/>
        </w:rPr>
        <w:t>8,544.53</w:t>
      </w:r>
      <w:r>
        <w:rPr>
          <w:rFonts w:ascii="Times New Roman" w:hAnsi="Times New Roman" w:cs="Times New Roman" w:hint="eastAsia"/>
          <w:bCs/>
          <w:color w:val="000000"/>
          <w:szCs w:val="21"/>
          <w:lang w:val="en-GB"/>
        </w:rPr>
        <w:t>万元的</w:t>
      </w:r>
      <w:r>
        <w:rPr>
          <w:rFonts w:ascii="Times New Roman" w:hAnsi="Times New Roman" w:cs="Times New Roman"/>
          <w:bCs/>
          <w:color w:val="000000"/>
          <w:szCs w:val="21"/>
          <w:lang w:val="en-GB"/>
        </w:rPr>
        <w:t>0.39%</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年定制化集成业务中高毛利率的企业信息化业务收入占比较</w:t>
      </w: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年大幅下降，导致</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年定制化集成业务毛利率有所下降。</w:t>
      </w:r>
    </w:p>
    <w:p w14:paraId="5B77DD18"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年，标的公司定制化集成业务毛利率为</w:t>
      </w:r>
      <w:r>
        <w:rPr>
          <w:rFonts w:ascii="Times New Roman" w:hAnsi="Times New Roman" w:cs="Times New Roman"/>
          <w:bCs/>
          <w:color w:val="000000"/>
          <w:szCs w:val="21"/>
          <w:lang w:val="en-GB"/>
        </w:rPr>
        <w:t>49.73%</w:t>
      </w:r>
      <w:r>
        <w:rPr>
          <w:rFonts w:ascii="Times New Roman" w:hAnsi="Times New Roman" w:cs="Times New Roman" w:hint="eastAsia"/>
          <w:bCs/>
          <w:color w:val="000000"/>
          <w:szCs w:val="21"/>
          <w:lang w:val="en-GB"/>
        </w:rPr>
        <w:t>，较</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年的</w:t>
      </w:r>
      <w:r>
        <w:rPr>
          <w:rFonts w:ascii="Times New Roman" w:hAnsi="Times New Roman" w:cs="Times New Roman"/>
          <w:bCs/>
          <w:color w:val="000000"/>
          <w:szCs w:val="21"/>
          <w:lang w:val="en-GB"/>
        </w:rPr>
        <w:t>34.22%</w:t>
      </w:r>
      <w:r>
        <w:rPr>
          <w:rFonts w:ascii="Times New Roman" w:hAnsi="Times New Roman" w:cs="Times New Roman" w:hint="eastAsia"/>
          <w:bCs/>
          <w:color w:val="000000"/>
          <w:szCs w:val="21"/>
          <w:lang w:val="en-GB"/>
        </w:rPr>
        <w:t>增加了</w:t>
      </w:r>
      <w:r>
        <w:rPr>
          <w:rFonts w:ascii="Times New Roman" w:hAnsi="Times New Roman" w:cs="Times New Roman"/>
          <w:bCs/>
          <w:color w:val="000000"/>
          <w:szCs w:val="21"/>
          <w:lang w:val="en-GB"/>
        </w:rPr>
        <w:t>15.51%</w:t>
      </w:r>
      <w:r>
        <w:rPr>
          <w:rFonts w:ascii="Times New Roman" w:hAnsi="Times New Roman" w:cs="Times New Roman" w:hint="eastAsia"/>
          <w:bCs/>
          <w:color w:val="000000"/>
          <w:szCs w:val="21"/>
          <w:lang w:val="en-GB"/>
        </w:rPr>
        <w:t>，主要系高毛利率的企业信息化业务规模大幅增长所致。</w:t>
      </w:r>
    </w:p>
    <w:p w14:paraId="2069D4E3"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lang w:val="en-GB"/>
        </w:rPr>
      </w:pPr>
      <w:r>
        <w:rPr>
          <w:rFonts w:ascii="Times New Roman" w:hAnsi="Times New Roman" w:cs="Times New Roman" w:hint="eastAsia"/>
          <w:b/>
          <w:color w:val="000000"/>
          <w:lang w:val="en-GB"/>
        </w:rPr>
        <w:t>（二）机器人及配套业务</w:t>
      </w:r>
    </w:p>
    <w:p w14:paraId="1718C2E9"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报告期内，标的公司机器人及配套业务的毛利及毛利率情况如下：</w:t>
      </w:r>
    </w:p>
    <w:p w14:paraId="2BFA3232"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942"/>
        <w:gridCol w:w="1137"/>
        <w:gridCol w:w="900"/>
        <w:gridCol w:w="794"/>
        <w:gridCol w:w="899"/>
        <w:gridCol w:w="951"/>
        <w:gridCol w:w="899"/>
      </w:tblGrid>
      <w:tr w:rsidR="00C02929" w14:paraId="6CB01825" w14:textId="77777777">
        <w:trPr>
          <w:trHeight w:val="397"/>
          <w:tblHeader/>
          <w:jc w:val="center"/>
        </w:trPr>
        <w:tc>
          <w:tcPr>
            <w:tcW w:w="1727" w:type="pct"/>
            <w:vMerge w:val="restart"/>
            <w:tcBorders>
              <w:top w:val="single" w:sz="12" w:space="0" w:color="auto"/>
              <w:left w:val="nil"/>
              <w:bottom w:val="single" w:sz="4" w:space="0" w:color="auto"/>
              <w:right w:val="single" w:sz="4" w:space="0" w:color="auto"/>
            </w:tcBorders>
            <w:vAlign w:val="center"/>
          </w:tcPr>
          <w:p w14:paraId="386481EE"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机器人及配套业务</w:t>
            </w:r>
          </w:p>
        </w:tc>
        <w:tc>
          <w:tcPr>
            <w:tcW w:w="1195" w:type="pct"/>
            <w:gridSpan w:val="2"/>
            <w:tcBorders>
              <w:top w:val="single" w:sz="12" w:space="0" w:color="auto"/>
              <w:left w:val="single" w:sz="4" w:space="0" w:color="auto"/>
              <w:bottom w:val="single" w:sz="4" w:space="0" w:color="auto"/>
              <w:right w:val="single" w:sz="4" w:space="0" w:color="auto"/>
            </w:tcBorders>
            <w:vAlign w:val="center"/>
          </w:tcPr>
          <w:p w14:paraId="02D9522B"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2020</w:t>
            </w:r>
            <w:r>
              <w:rPr>
                <w:rFonts w:ascii="Times New Roman" w:hAnsi="Times New Roman" w:cs="Times New Roman" w:hint="eastAsia"/>
                <w:b/>
                <w:bCs/>
                <w:color w:val="000000"/>
                <w:sz w:val="21"/>
                <w:szCs w:val="21"/>
                <w:lang w:val="en-GB"/>
              </w:rPr>
              <w:t>年度</w:t>
            </w:r>
          </w:p>
        </w:tc>
        <w:tc>
          <w:tcPr>
            <w:tcW w:w="993" w:type="pct"/>
            <w:gridSpan w:val="2"/>
            <w:tcBorders>
              <w:top w:val="single" w:sz="12" w:space="0" w:color="auto"/>
              <w:left w:val="single" w:sz="4" w:space="0" w:color="auto"/>
              <w:bottom w:val="single" w:sz="4" w:space="0" w:color="auto"/>
              <w:right w:val="single" w:sz="4" w:space="0" w:color="auto"/>
            </w:tcBorders>
            <w:vAlign w:val="center"/>
          </w:tcPr>
          <w:p w14:paraId="6631F2C4"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2019</w:t>
            </w:r>
            <w:r>
              <w:rPr>
                <w:rFonts w:ascii="Times New Roman" w:hAnsi="Times New Roman" w:cs="Times New Roman" w:hint="eastAsia"/>
                <w:b/>
                <w:bCs/>
                <w:color w:val="000000"/>
                <w:sz w:val="21"/>
                <w:szCs w:val="21"/>
                <w:lang w:val="en-GB"/>
              </w:rPr>
              <w:t>年度</w:t>
            </w:r>
          </w:p>
        </w:tc>
        <w:tc>
          <w:tcPr>
            <w:tcW w:w="1085" w:type="pct"/>
            <w:gridSpan w:val="2"/>
            <w:tcBorders>
              <w:top w:val="single" w:sz="12" w:space="0" w:color="auto"/>
              <w:left w:val="single" w:sz="4" w:space="0" w:color="auto"/>
              <w:bottom w:val="single" w:sz="4" w:space="0" w:color="auto"/>
              <w:right w:val="nil"/>
            </w:tcBorders>
            <w:vAlign w:val="center"/>
          </w:tcPr>
          <w:p w14:paraId="253B3D6C" w14:textId="77777777" w:rsidR="00C02929" w:rsidRDefault="006116D1">
            <w:pPr>
              <w:jc w:val="center"/>
              <w:rPr>
                <w:rFonts w:ascii="Times New Roman" w:hAnsi="Times New Roman" w:cs="Times New Roman"/>
                <w:b/>
                <w:bCs/>
                <w:color w:val="000000"/>
                <w:sz w:val="21"/>
                <w:szCs w:val="21"/>
                <w:lang w:val="en-GB"/>
              </w:rPr>
            </w:pPr>
            <w:r>
              <w:rPr>
                <w:rFonts w:ascii="Times New Roman" w:hAnsi="Times New Roman" w:cs="Times New Roman" w:hint="eastAsia"/>
                <w:b/>
                <w:bCs/>
                <w:color w:val="000000"/>
                <w:sz w:val="21"/>
                <w:szCs w:val="21"/>
                <w:lang w:val="en-GB"/>
              </w:rPr>
              <w:t>2018</w:t>
            </w:r>
            <w:r>
              <w:rPr>
                <w:rFonts w:ascii="Times New Roman" w:hAnsi="Times New Roman" w:cs="Times New Roman" w:hint="eastAsia"/>
                <w:b/>
                <w:bCs/>
                <w:color w:val="000000"/>
                <w:sz w:val="21"/>
                <w:szCs w:val="21"/>
                <w:lang w:val="en-GB"/>
              </w:rPr>
              <w:t>年度</w:t>
            </w:r>
          </w:p>
        </w:tc>
      </w:tr>
      <w:tr w:rsidR="00C02929" w14:paraId="48686310" w14:textId="77777777">
        <w:trPr>
          <w:trHeight w:val="397"/>
          <w:tblHeader/>
          <w:jc w:val="center"/>
        </w:trPr>
        <w:tc>
          <w:tcPr>
            <w:tcW w:w="1727" w:type="pct"/>
            <w:vMerge/>
            <w:tcBorders>
              <w:top w:val="single" w:sz="12" w:space="0" w:color="auto"/>
              <w:left w:val="nil"/>
              <w:bottom w:val="single" w:sz="4" w:space="0" w:color="auto"/>
              <w:right w:val="single" w:sz="4" w:space="0" w:color="auto"/>
            </w:tcBorders>
            <w:vAlign w:val="center"/>
          </w:tcPr>
          <w:p w14:paraId="3A9B4152" w14:textId="77777777" w:rsidR="00C02929" w:rsidRDefault="00C02929">
            <w:pPr>
              <w:rPr>
                <w:rFonts w:ascii="Times New Roman" w:hAnsi="Times New Roman" w:cs="Times New Roman"/>
                <w:b/>
                <w:bCs/>
                <w:color w:val="000000"/>
                <w:sz w:val="21"/>
                <w:szCs w:val="21"/>
              </w:rPr>
            </w:pPr>
          </w:p>
        </w:tc>
        <w:tc>
          <w:tcPr>
            <w:tcW w:w="667" w:type="pct"/>
            <w:tcBorders>
              <w:top w:val="single" w:sz="4" w:space="0" w:color="auto"/>
              <w:left w:val="single" w:sz="4" w:space="0" w:color="auto"/>
              <w:bottom w:val="single" w:sz="4" w:space="0" w:color="auto"/>
              <w:right w:val="single" w:sz="4" w:space="0" w:color="auto"/>
            </w:tcBorders>
            <w:noWrap/>
            <w:vAlign w:val="center"/>
          </w:tcPr>
          <w:p w14:paraId="7125C69F"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single" w:sz="4" w:space="0" w:color="auto"/>
            </w:tcBorders>
            <w:noWrap/>
            <w:vAlign w:val="center"/>
          </w:tcPr>
          <w:p w14:paraId="5141A7D0"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466" w:type="pct"/>
            <w:tcBorders>
              <w:top w:val="single" w:sz="4" w:space="0" w:color="auto"/>
              <w:left w:val="single" w:sz="4" w:space="0" w:color="auto"/>
              <w:bottom w:val="single" w:sz="4" w:space="0" w:color="auto"/>
              <w:right w:val="single" w:sz="4" w:space="0" w:color="auto"/>
            </w:tcBorders>
            <w:noWrap/>
            <w:vAlign w:val="center"/>
          </w:tcPr>
          <w:p w14:paraId="5ECFBFAF"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single" w:sz="4" w:space="0" w:color="auto"/>
            </w:tcBorders>
            <w:noWrap/>
            <w:vAlign w:val="center"/>
          </w:tcPr>
          <w:p w14:paraId="62F996B5"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c>
          <w:tcPr>
            <w:tcW w:w="558" w:type="pct"/>
            <w:tcBorders>
              <w:top w:val="single" w:sz="4" w:space="0" w:color="auto"/>
              <w:left w:val="single" w:sz="4" w:space="0" w:color="auto"/>
              <w:bottom w:val="single" w:sz="4" w:space="0" w:color="auto"/>
              <w:right w:val="single" w:sz="4" w:space="0" w:color="auto"/>
            </w:tcBorders>
            <w:noWrap/>
            <w:vAlign w:val="center"/>
          </w:tcPr>
          <w:p w14:paraId="1C177A71"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w:t>
            </w:r>
          </w:p>
        </w:tc>
        <w:tc>
          <w:tcPr>
            <w:tcW w:w="527" w:type="pct"/>
            <w:tcBorders>
              <w:top w:val="single" w:sz="4" w:space="0" w:color="auto"/>
              <w:left w:val="single" w:sz="4" w:space="0" w:color="auto"/>
              <w:bottom w:val="single" w:sz="4" w:space="0" w:color="auto"/>
              <w:right w:val="nil"/>
            </w:tcBorders>
            <w:noWrap/>
            <w:vAlign w:val="center"/>
          </w:tcPr>
          <w:p w14:paraId="4BC10EFA" w14:textId="77777777" w:rsidR="00C02929" w:rsidRDefault="006116D1">
            <w:pPr>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C02929" w14:paraId="281A4ECA"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67AD3946"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机器人本体销售</w:t>
            </w:r>
          </w:p>
        </w:tc>
        <w:tc>
          <w:tcPr>
            <w:tcW w:w="667" w:type="pct"/>
            <w:tcBorders>
              <w:top w:val="single" w:sz="4" w:space="0" w:color="auto"/>
              <w:left w:val="single" w:sz="4" w:space="0" w:color="auto"/>
              <w:bottom w:val="single" w:sz="4" w:space="0" w:color="auto"/>
              <w:right w:val="single" w:sz="4" w:space="0" w:color="auto"/>
            </w:tcBorders>
            <w:vAlign w:val="center"/>
          </w:tcPr>
          <w:p w14:paraId="7B7B11CF"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4.46</w:t>
            </w:r>
          </w:p>
        </w:tc>
        <w:tc>
          <w:tcPr>
            <w:tcW w:w="527" w:type="pct"/>
            <w:tcBorders>
              <w:top w:val="single" w:sz="4" w:space="0" w:color="auto"/>
              <w:left w:val="single" w:sz="4" w:space="0" w:color="auto"/>
              <w:bottom w:val="single" w:sz="4" w:space="0" w:color="auto"/>
              <w:right w:val="single" w:sz="4" w:space="0" w:color="auto"/>
            </w:tcBorders>
            <w:vAlign w:val="center"/>
          </w:tcPr>
          <w:p w14:paraId="3B673B2B"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4.17%</w:t>
            </w:r>
          </w:p>
        </w:tc>
        <w:tc>
          <w:tcPr>
            <w:tcW w:w="466" w:type="pct"/>
            <w:tcBorders>
              <w:top w:val="single" w:sz="4" w:space="0" w:color="auto"/>
              <w:left w:val="single" w:sz="4" w:space="0" w:color="auto"/>
              <w:bottom w:val="single" w:sz="4" w:space="0" w:color="auto"/>
              <w:right w:val="single" w:sz="4" w:space="0" w:color="auto"/>
            </w:tcBorders>
            <w:vAlign w:val="center"/>
          </w:tcPr>
          <w:p w14:paraId="0255BBF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7.37</w:t>
            </w:r>
          </w:p>
        </w:tc>
        <w:tc>
          <w:tcPr>
            <w:tcW w:w="527" w:type="pct"/>
            <w:tcBorders>
              <w:top w:val="single" w:sz="4" w:space="0" w:color="auto"/>
              <w:left w:val="single" w:sz="4" w:space="0" w:color="auto"/>
              <w:bottom w:val="single" w:sz="4" w:space="0" w:color="auto"/>
              <w:right w:val="single" w:sz="4" w:space="0" w:color="auto"/>
            </w:tcBorders>
            <w:vAlign w:val="center"/>
          </w:tcPr>
          <w:p w14:paraId="2E188FF4"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6.06%</w:t>
            </w:r>
          </w:p>
        </w:tc>
        <w:tc>
          <w:tcPr>
            <w:tcW w:w="558" w:type="pct"/>
            <w:tcBorders>
              <w:top w:val="single" w:sz="4" w:space="0" w:color="auto"/>
              <w:left w:val="single" w:sz="4" w:space="0" w:color="auto"/>
              <w:bottom w:val="single" w:sz="4" w:space="0" w:color="auto"/>
              <w:right w:val="single" w:sz="4" w:space="0" w:color="auto"/>
            </w:tcBorders>
            <w:vAlign w:val="center"/>
          </w:tcPr>
          <w:p w14:paraId="7F57575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54BE6AF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C02929" w14:paraId="01094CBD"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144D52AF"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机器人集成应用</w:t>
            </w:r>
          </w:p>
        </w:tc>
        <w:tc>
          <w:tcPr>
            <w:tcW w:w="667" w:type="pct"/>
            <w:tcBorders>
              <w:top w:val="single" w:sz="4" w:space="0" w:color="auto"/>
              <w:left w:val="single" w:sz="4" w:space="0" w:color="auto"/>
              <w:bottom w:val="single" w:sz="4" w:space="0" w:color="auto"/>
              <w:right w:val="single" w:sz="4" w:space="0" w:color="auto"/>
            </w:tcBorders>
            <w:vAlign w:val="center"/>
          </w:tcPr>
          <w:p w14:paraId="7569B8FF"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1,611.34</w:t>
            </w:r>
          </w:p>
        </w:tc>
        <w:tc>
          <w:tcPr>
            <w:tcW w:w="527" w:type="pct"/>
            <w:tcBorders>
              <w:top w:val="single" w:sz="4" w:space="0" w:color="auto"/>
              <w:left w:val="single" w:sz="4" w:space="0" w:color="auto"/>
              <w:bottom w:val="single" w:sz="4" w:space="0" w:color="auto"/>
              <w:right w:val="single" w:sz="4" w:space="0" w:color="auto"/>
            </w:tcBorders>
            <w:vAlign w:val="center"/>
          </w:tcPr>
          <w:p w14:paraId="73EAFC07"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24.32%</w:t>
            </w:r>
          </w:p>
        </w:tc>
        <w:tc>
          <w:tcPr>
            <w:tcW w:w="466" w:type="pct"/>
            <w:tcBorders>
              <w:top w:val="single" w:sz="4" w:space="0" w:color="auto"/>
              <w:left w:val="single" w:sz="4" w:space="0" w:color="auto"/>
              <w:bottom w:val="single" w:sz="4" w:space="0" w:color="auto"/>
              <w:right w:val="single" w:sz="4" w:space="0" w:color="auto"/>
            </w:tcBorders>
            <w:vAlign w:val="center"/>
          </w:tcPr>
          <w:p w14:paraId="18D3A03E"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468.59</w:t>
            </w:r>
          </w:p>
        </w:tc>
        <w:tc>
          <w:tcPr>
            <w:tcW w:w="527" w:type="pct"/>
            <w:tcBorders>
              <w:top w:val="single" w:sz="4" w:space="0" w:color="auto"/>
              <w:left w:val="single" w:sz="4" w:space="0" w:color="auto"/>
              <w:bottom w:val="single" w:sz="4" w:space="0" w:color="auto"/>
              <w:right w:val="single" w:sz="4" w:space="0" w:color="auto"/>
            </w:tcBorders>
            <w:vAlign w:val="center"/>
          </w:tcPr>
          <w:p w14:paraId="09B71C34"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28.68%</w:t>
            </w:r>
          </w:p>
        </w:tc>
        <w:tc>
          <w:tcPr>
            <w:tcW w:w="558" w:type="pct"/>
            <w:tcBorders>
              <w:top w:val="single" w:sz="4" w:space="0" w:color="auto"/>
              <w:left w:val="single" w:sz="4" w:space="0" w:color="auto"/>
              <w:bottom w:val="single" w:sz="4" w:space="0" w:color="auto"/>
              <w:right w:val="single" w:sz="4" w:space="0" w:color="auto"/>
            </w:tcBorders>
            <w:vAlign w:val="center"/>
          </w:tcPr>
          <w:p w14:paraId="50C1BAC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1,539.28</w:t>
            </w:r>
          </w:p>
        </w:tc>
        <w:tc>
          <w:tcPr>
            <w:tcW w:w="527" w:type="pct"/>
            <w:tcBorders>
              <w:top w:val="single" w:sz="4" w:space="0" w:color="auto"/>
              <w:left w:val="single" w:sz="4" w:space="0" w:color="auto"/>
              <w:bottom w:val="single" w:sz="4" w:space="0" w:color="auto"/>
              <w:right w:val="nil"/>
            </w:tcBorders>
            <w:noWrap/>
            <w:vAlign w:val="center"/>
          </w:tcPr>
          <w:p w14:paraId="33272D80"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29.51%</w:t>
            </w:r>
          </w:p>
        </w:tc>
      </w:tr>
      <w:tr w:rsidR="00C02929" w14:paraId="0932855E"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5CD19BD7" w14:textId="77777777" w:rsidR="00C02929" w:rsidRDefault="006116D1">
            <w:pPr>
              <w:snapToGrid w:val="0"/>
              <w:ind w:firstLineChars="200" w:firstLine="42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t>非冲压连线项目</w:t>
            </w:r>
          </w:p>
        </w:tc>
        <w:tc>
          <w:tcPr>
            <w:tcW w:w="667" w:type="pct"/>
            <w:tcBorders>
              <w:top w:val="single" w:sz="4" w:space="0" w:color="auto"/>
              <w:left w:val="single" w:sz="4" w:space="0" w:color="auto"/>
              <w:bottom w:val="single" w:sz="4" w:space="0" w:color="auto"/>
              <w:right w:val="single" w:sz="4" w:space="0" w:color="auto"/>
            </w:tcBorders>
            <w:vAlign w:val="center"/>
          </w:tcPr>
          <w:p w14:paraId="70547540"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513.05</w:t>
            </w:r>
          </w:p>
        </w:tc>
        <w:tc>
          <w:tcPr>
            <w:tcW w:w="527" w:type="pct"/>
            <w:tcBorders>
              <w:top w:val="single" w:sz="4" w:space="0" w:color="auto"/>
              <w:left w:val="single" w:sz="4" w:space="0" w:color="auto"/>
              <w:bottom w:val="single" w:sz="4" w:space="0" w:color="auto"/>
              <w:right w:val="single" w:sz="4" w:space="0" w:color="auto"/>
            </w:tcBorders>
            <w:vAlign w:val="center"/>
          </w:tcPr>
          <w:p w14:paraId="7322FE00"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32.46%</w:t>
            </w:r>
          </w:p>
        </w:tc>
        <w:tc>
          <w:tcPr>
            <w:tcW w:w="466" w:type="pct"/>
            <w:tcBorders>
              <w:top w:val="single" w:sz="4" w:space="0" w:color="auto"/>
              <w:left w:val="single" w:sz="4" w:space="0" w:color="auto"/>
              <w:bottom w:val="single" w:sz="4" w:space="0" w:color="auto"/>
              <w:right w:val="single" w:sz="4" w:space="0" w:color="auto"/>
            </w:tcBorders>
            <w:vAlign w:val="center"/>
          </w:tcPr>
          <w:p w14:paraId="2077399E"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422.93</w:t>
            </w:r>
          </w:p>
        </w:tc>
        <w:tc>
          <w:tcPr>
            <w:tcW w:w="527" w:type="pct"/>
            <w:tcBorders>
              <w:top w:val="single" w:sz="4" w:space="0" w:color="auto"/>
              <w:left w:val="single" w:sz="4" w:space="0" w:color="auto"/>
              <w:bottom w:val="single" w:sz="4" w:space="0" w:color="auto"/>
              <w:right w:val="single" w:sz="4" w:space="0" w:color="auto"/>
            </w:tcBorders>
            <w:vAlign w:val="center"/>
          </w:tcPr>
          <w:p w14:paraId="18EA205E"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34.40%</w:t>
            </w:r>
          </w:p>
        </w:tc>
        <w:tc>
          <w:tcPr>
            <w:tcW w:w="558" w:type="pct"/>
            <w:tcBorders>
              <w:top w:val="single" w:sz="4" w:space="0" w:color="auto"/>
              <w:left w:val="single" w:sz="4" w:space="0" w:color="auto"/>
              <w:bottom w:val="single" w:sz="4" w:space="0" w:color="auto"/>
              <w:right w:val="single" w:sz="4" w:space="0" w:color="auto"/>
            </w:tcBorders>
            <w:vAlign w:val="center"/>
          </w:tcPr>
          <w:p w14:paraId="68E871F0"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1,488.17</w:t>
            </w:r>
          </w:p>
        </w:tc>
        <w:tc>
          <w:tcPr>
            <w:tcW w:w="527" w:type="pct"/>
            <w:tcBorders>
              <w:top w:val="single" w:sz="4" w:space="0" w:color="auto"/>
              <w:left w:val="single" w:sz="4" w:space="0" w:color="auto"/>
              <w:bottom w:val="single" w:sz="4" w:space="0" w:color="auto"/>
              <w:right w:val="nil"/>
            </w:tcBorders>
            <w:noWrap/>
            <w:vAlign w:val="center"/>
          </w:tcPr>
          <w:p w14:paraId="38680271"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30.00%</w:t>
            </w:r>
          </w:p>
        </w:tc>
      </w:tr>
      <w:tr w:rsidR="00C02929" w14:paraId="1C28A541"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7233123B" w14:textId="77777777" w:rsidR="00C02929" w:rsidRDefault="006116D1">
            <w:pPr>
              <w:snapToGrid w:val="0"/>
              <w:ind w:firstLineChars="200" w:firstLine="420"/>
              <w:rPr>
                <w:rFonts w:ascii="Times New Roman" w:hAnsi="Times New Roman" w:cs="Times New Roman"/>
                <w:color w:val="000000"/>
                <w:sz w:val="21"/>
                <w:szCs w:val="21"/>
              </w:rPr>
            </w:pPr>
            <w:r>
              <w:rPr>
                <w:rFonts w:ascii="Times New Roman" w:hAnsi="Times New Roman" w:cs="Times New Roman" w:hint="eastAsia"/>
                <w:color w:val="000000"/>
                <w:sz w:val="21"/>
                <w:szCs w:val="21"/>
              </w:rPr>
              <w:t>-</w:t>
            </w:r>
            <w:r>
              <w:rPr>
                <w:rFonts w:ascii="Times New Roman" w:hAnsi="Times New Roman" w:cs="Times New Roman" w:hint="eastAsia"/>
                <w:color w:val="000000"/>
                <w:sz w:val="21"/>
                <w:szCs w:val="21"/>
              </w:rPr>
              <w:t>含冲压机冲压连线项目</w:t>
            </w:r>
          </w:p>
        </w:tc>
        <w:tc>
          <w:tcPr>
            <w:tcW w:w="667" w:type="pct"/>
            <w:tcBorders>
              <w:top w:val="single" w:sz="4" w:space="0" w:color="auto"/>
              <w:left w:val="single" w:sz="4" w:space="0" w:color="auto"/>
              <w:bottom w:val="single" w:sz="4" w:space="0" w:color="auto"/>
              <w:right w:val="single" w:sz="4" w:space="0" w:color="auto"/>
            </w:tcBorders>
            <w:vAlign w:val="center"/>
          </w:tcPr>
          <w:p w14:paraId="2C4F4C48"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1,098.29</w:t>
            </w:r>
          </w:p>
        </w:tc>
        <w:tc>
          <w:tcPr>
            <w:tcW w:w="527" w:type="pct"/>
            <w:tcBorders>
              <w:top w:val="single" w:sz="4" w:space="0" w:color="auto"/>
              <w:left w:val="single" w:sz="4" w:space="0" w:color="auto"/>
              <w:bottom w:val="single" w:sz="4" w:space="0" w:color="auto"/>
              <w:right w:val="single" w:sz="4" w:space="0" w:color="auto"/>
            </w:tcBorders>
            <w:vAlign w:val="center"/>
          </w:tcPr>
          <w:p w14:paraId="792E40E4" w14:textId="77777777" w:rsidR="00C02929" w:rsidRDefault="006116D1">
            <w:pPr>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21.77%</w:t>
            </w:r>
          </w:p>
        </w:tc>
        <w:tc>
          <w:tcPr>
            <w:tcW w:w="466" w:type="pct"/>
            <w:tcBorders>
              <w:top w:val="single" w:sz="4" w:space="0" w:color="auto"/>
              <w:left w:val="single" w:sz="4" w:space="0" w:color="auto"/>
              <w:bottom w:val="single" w:sz="4" w:space="0" w:color="auto"/>
              <w:right w:val="single" w:sz="4" w:space="0" w:color="auto"/>
            </w:tcBorders>
            <w:vAlign w:val="center"/>
          </w:tcPr>
          <w:p w14:paraId="7E7C69C1"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45.65</w:t>
            </w:r>
          </w:p>
        </w:tc>
        <w:tc>
          <w:tcPr>
            <w:tcW w:w="527" w:type="pct"/>
            <w:tcBorders>
              <w:top w:val="single" w:sz="4" w:space="0" w:color="auto"/>
              <w:left w:val="single" w:sz="4" w:space="0" w:color="auto"/>
              <w:bottom w:val="single" w:sz="4" w:space="0" w:color="auto"/>
              <w:right w:val="single" w:sz="4" w:space="0" w:color="auto"/>
            </w:tcBorders>
            <w:vAlign w:val="center"/>
          </w:tcPr>
          <w:p w14:paraId="05F205EE"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11.28%</w:t>
            </w:r>
          </w:p>
        </w:tc>
        <w:tc>
          <w:tcPr>
            <w:tcW w:w="558" w:type="pct"/>
            <w:tcBorders>
              <w:top w:val="single" w:sz="4" w:space="0" w:color="auto"/>
              <w:left w:val="single" w:sz="4" w:space="0" w:color="auto"/>
              <w:bottom w:val="single" w:sz="4" w:space="0" w:color="auto"/>
              <w:right w:val="single" w:sz="4" w:space="0" w:color="auto"/>
            </w:tcBorders>
            <w:vAlign w:val="center"/>
          </w:tcPr>
          <w:p w14:paraId="30DA35D5"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51.11</w:t>
            </w:r>
          </w:p>
        </w:tc>
        <w:tc>
          <w:tcPr>
            <w:tcW w:w="527" w:type="pct"/>
            <w:tcBorders>
              <w:top w:val="single" w:sz="4" w:space="0" w:color="auto"/>
              <w:left w:val="single" w:sz="4" w:space="0" w:color="auto"/>
              <w:bottom w:val="single" w:sz="4" w:space="0" w:color="auto"/>
              <w:right w:val="nil"/>
            </w:tcBorders>
            <w:noWrap/>
            <w:vAlign w:val="center"/>
          </w:tcPr>
          <w:p w14:paraId="3E4FF2F6" w14:textId="77777777" w:rsidR="00C02929" w:rsidRDefault="006116D1">
            <w:pPr>
              <w:snapToGrid w:val="0"/>
              <w:jc w:val="right"/>
              <w:rPr>
                <w:rFonts w:ascii="Times New Roman" w:eastAsia="等线" w:hAnsi="Times New Roman" w:cs="Times New Roman"/>
                <w:color w:val="000000"/>
                <w:sz w:val="21"/>
                <w:szCs w:val="21"/>
              </w:rPr>
            </w:pPr>
            <w:r>
              <w:rPr>
                <w:rFonts w:ascii="Times New Roman" w:eastAsia="等线" w:hAnsi="Times New Roman" w:cs="Times New Roman"/>
                <w:color w:val="000000"/>
                <w:sz w:val="21"/>
                <w:szCs w:val="21"/>
              </w:rPr>
              <w:t>20.00%</w:t>
            </w:r>
          </w:p>
        </w:tc>
      </w:tr>
      <w:tr w:rsidR="00C02929" w14:paraId="7A268616" w14:textId="77777777">
        <w:trPr>
          <w:trHeight w:val="397"/>
          <w:jc w:val="center"/>
        </w:trPr>
        <w:tc>
          <w:tcPr>
            <w:tcW w:w="1727" w:type="pct"/>
            <w:tcBorders>
              <w:top w:val="single" w:sz="4" w:space="0" w:color="auto"/>
              <w:left w:val="nil"/>
              <w:bottom w:val="single" w:sz="4" w:space="0" w:color="auto"/>
              <w:right w:val="single" w:sz="4" w:space="0" w:color="auto"/>
            </w:tcBorders>
            <w:vAlign w:val="center"/>
          </w:tcPr>
          <w:p w14:paraId="5E5878F1" w14:textId="77777777" w:rsidR="00C02929" w:rsidRDefault="006116D1">
            <w:pPr>
              <w:snapToGrid w:val="0"/>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机器人维保</w:t>
            </w:r>
          </w:p>
        </w:tc>
        <w:tc>
          <w:tcPr>
            <w:tcW w:w="667" w:type="pct"/>
            <w:tcBorders>
              <w:top w:val="single" w:sz="4" w:space="0" w:color="auto"/>
              <w:left w:val="single" w:sz="4" w:space="0" w:color="auto"/>
              <w:bottom w:val="single" w:sz="4" w:space="0" w:color="auto"/>
              <w:right w:val="single" w:sz="4" w:space="0" w:color="auto"/>
            </w:tcBorders>
            <w:vAlign w:val="center"/>
          </w:tcPr>
          <w:p w14:paraId="0324969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single" w:sz="4" w:space="0" w:color="auto"/>
            </w:tcBorders>
            <w:vAlign w:val="center"/>
          </w:tcPr>
          <w:p w14:paraId="2DB1B49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466" w:type="pct"/>
            <w:tcBorders>
              <w:top w:val="single" w:sz="4" w:space="0" w:color="auto"/>
              <w:left w:val="single" w:sz="4" w:space="0" w:color="auto"/>
              <w:bottom w:val="single" w:sz="4" w:space="0" w:color="auto"/>
              <w:right w:val="single" w:sz="4" w:space="0" w:color="auto"/>
            </w:tcBorders>
            <w:vAlign w:val="center"/>
          </w:tcPr>
          <w:p w14:paraId="1569ABE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14.02</w:t>
            </w:r>
          </w:p>
        </w:tc>
        <w:tc>
          <w:tcPr>
            <w:tcW w:w="527" w:type="pct"/>
            <w:tcBorders>
              <w:top w:val="single" w:sz="4" w:space="0" w:color="auto"/>
              <w:left w:val="single" w:sz="4" w:space="0" w:color="auto"/>
              <w:bottom w:val="single" w:sz="4" w:space="0" w:color="auto"/>
              <w:right w:val="single" w:sz="4" w:space="0" w:color="auto"/>
            </w:tcBorders>
            <w:vAlign w:val="center"/>
          </w:tcPr>
          <w:p w14:paraId="11F45306"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53.82%</w:t>
            </w:r>
          </w:p>
        </w:tc>
        <w:tc>
          <w:tcPr>
            <w:tcW w:w="558" w:type="pct"/>
            <w:tcBorders>
              <w:top w:val="single" w:sz="4" w:space="0" w:color="auto"/>
              <w:left w:val="single" w:sz="4" w:space="0" w:color="auto"/>
              <w:bottom w:val="single" w:sz="4" w:space="0" w:color="auto"/>
              <w:right w:val="single" w:sz="4" w:space="0" w:color="auto"/>
            </w:tcBorders>
            <w:vAlign w:val="center"/>
          </w:tcPr>
          <w:p w14:paraId="6521D70F"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c>
          <w:tcPr>
            <w:tcW w:w="527" w:type="pct"/>
            <w:tcBorders>
              <w:top w:val="single" w:sz="4" w:space="0" w:color="auto"/>
              <w:left w:val="single" w:sz="4" w:space="0" w:color="auto"/>
              <w:bottom w:val="single" w:sz="4" w:space="0" w:color="auto"/>
              <w:right w:val="nil"/>
            </w:tcBorders>
            <w:noWrap/>
            <w:vAlign w:val="center"/>
          </w:tcPr>
          <w:p w14:paraId="5E443808" w14:textId="77777777" w:rsidR="00C02929" w:rsidRDefault="006116D1">
            <w:pPr>
              <w:snapToGrid w:val="0"/>
              <w:jc w:val="right"/>
              <w:rPr>
                <w:rFonts w:ascii="Times New Roman" w:hAnsi="Times New Roman" w:cs="Times New Roman"/>
                <w:color w:val="000000"/>
                <w:sz w:val="21"/>
                <w:szCs w:val="21"/>
              </w:rPr>
            </w:pPr>
            <w:r>
              <w:rPr>
                <w:rFonts w:ascii="Times New Roman" w:eastAsia="等线" w:hAnsi="Times New Roman" w:cs="Times New Roman"/>
                <w:color w:val="000000"/>
                <w:sz w:val="21"/>
                <w:szCs w:val="21"/>
              </w:rPr>
              <w:t>-</w:t>
            </w:r>
          </w:p>
        </w:tc>
      </w:tr>
      <w:tr w:rsidR="00C02929" w14:paraId="2474CCF0" w14:textId="77777777">
        <w:trPr>
          <w:trHeight w:val="397"/>
          <w:jc w:val="center"/>
        </w:trPr>
        <w:tc>
          <w:tcPr>
            <w:tcW w:w="1727" w:type="pct"/>
            <w:tcBorders>
              <w:top w:val="single" w:sz="4" w:space="0" w:color="auto"/>
              <w:left w:val="nil"/>
              <w:bottom w:val="single" w:sz="12" w:space="0" w:color="auto"/>
              <w:right w:val="single" w:sz="4" w:space="0" w:color="auto"/>
            </w:tcBorders>
            <w:vAlign w:val="center"/>
          </w:tcPr>
          <w:p w14:paraId="32F2EB8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667" w:type="pct"/>
            <w:tcBorders>
              <w:top w:val="single" w:sz="4" w:space="0" w:color="auto"/>
              <w:left w:val="single" w:sz="4" w:space="0" w:color="auto"/>
              <w:bottom w:val="single" w:sz="12" w:space="0" w:color="auto"/>
              <w:right w:val="single" w:sz="4" w:space="0" w:color="auto"/>
            </w:tcBorders>
            <w:vAlign w:val="center"/>
          </w:tcPr>
          <w:p w14:paraId="2C41BB43"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1,615.80</w:t>
            </w:r>
          </w:p>
        </w:tc>
        <w:tc>
          <w:tcPr>
            <w:tcW w:w="527" w:type="pct"/>
            <w:tcBorders>
              <w:top w:val="single" w:sz="4" w:space="0" w:color="auto"/>
              <w:left w:val="single" w:sz="4" w:space="0" w:color="auto"/>
              <w:bottom w:val="single" w:sz="12" w:space="0" w:color="auto"/>
              <w:right w:val="single" w:sz="4" w:space="0" w:color="auto"/>
            </w:tcBorders>
            <w:vAlign w:val="center"/>
          </w:tcPr>
          <w:p w14:paraId="70B9B56E" w14:textId="77777777" w:rsidR="00C02929" w:rsidRDefault="006116D1">
            <w:pPr>
              <w:snapToGrid w:val="0"/>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24.00%</w:t>
            </w:r>
          </w:p>
        </w:tc>
        <w:tc>
          <w:tcPr>
            <w:tcW w:w="466" w:type="pct"/>
            <w:tcBorders>
              <w:top w:val="single" w:sz="4" w:space="0" w:color="auto"/>
              <w:left w:val="single" w:sz="4" w:space="0" w:color="auto"/>
              <w:bottom w:val="single" w:sz="12" w:space="0" w:color="auto"/>
              <w:right w:val="single" w:sz="4" w:space="0" w:color="auto"/>
            </w:tcBorders>
            <w:vAlign w:val="center"/>
          </w:tcPr>
          <w:p w14:paraId="1F7230BA"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489.97</w:t>
            </w:r>
          </w:p>
        </w:tc>
        <w:tc>
          <w:tcPr>
            <w:tcW w:w="527" w:type="pct"/>
            <w:tcBorders>
              <w:top w:val="single" w:sz="4" w:space="0" w:color="auto"/>
              <w:left w:val="single" w:sz="4" w:space="0" w:color="auto"/>
              <w:bottom w:val="single" w:sz="12" w:space="0" w:color="auto"/>
              <w:right w:val="single" w:sz="4" w:space="0" w:color="auto"/>
            </w:tcBorders>
            <w:vAlign w:val="center"/>
          </w:tcPr>
          <w:p w14:paraId="7AC41B78"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27.50%</w:t>
            </w:r>
          </w:p>
        </w:tc>
        <w:tc>
          <w:tcPr>
            <w:tcW w:w="558" w:type="pct"/>
            <w:tcBorders>
              <w:top w:val="single" w:sz="4" w:space="0" w:color="auto"/>
              <w:left w:val="single" w:sz="4" w:space="0" w:color="auto"/>
              <w:bottom w:val="single" w:sz="12" w:space="0" w:color="auto"/>
              <w:right w:val="single" w:sz="4" w:space="0" w:color="auto"/>
            </w:tcBorders>
            <w:vAlign w:val="center"/>
          </w:tcPr>
          <w:p w14:paraId="505ECADF"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1,539.28</w:t>
            </w:r>
          </w:p>
        </w:tc>
        <w:tc>
          <w:tcPr>
            <w:tcW w:w="527" w:type="pct"/>
            <w:tcBorders>
              <w:top w:val="single" w:sz="4" w:space="0" w:color="auto"/>
              <w:left w:val="single" w:sz="4" w:space="0" w:color="auto"/>
              <w:bottom w:val="single" w:sz="12" w:space="0" w:color="auto"/>
              <w:right w:val="nil"/>
            </w:tcBorders>
            <w:noWrap/>
            <w:vAlign w:val="center"/>
          </w:tcPr>
          <w:p w14:paraId="5F99A5A6" w14:textId="77777777" w:rsidR="00C02929" w:rsidRDefault="006116D1">
            <w:pPr>
              <w:snapToGrid w:val="0"/>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29.51%</w:t>
            </w:r>
          </w:p>
        </w:tc>
      </w:tr>
    </w:tbl>
    <w:p w14:paraId="2FE6E1CA"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bCs/>
          <w:color w:val="000000"/>
          <w:szCs w:val="21"/>
          <w:lang w:val="en-GB"/>
        </w:rPr>
        <w:t>2018</w:t>
      </w:r>
      <w:r>
        <w:rPr>
          <w:rFonts w:ascii="Times New Roman" w:hAnsi="Times New Roman" w:cs="Times New Roman" w:hint="eastAsia"/>
          <w:bCs/>
          <w:color w:val="000000"/>
          <w:szCs w:val="21"/>
          <w:lang w:val="en-GB"/>
        </w:rPr>
        <w:t>年、</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年和</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年，北洋天青公司机器人及配套业务的毛利率分别为</w:t>
      </w:r>
      <w:r>
        <w:rPr>
          <w:rFonts w:ascii="Times New Roman" w:hAnsi="Times New Roman" w:cs="Times New Roman"/>
          <w:bCs/>
          <w:color w:val="000000"/>
          <w:szCs w:val="21"/>
          <w:lang w:val="en-GB"/>
        </w:rPr>
        <w:t>29.51%</w:t>
      </w:r>
      <w:r>
        <w:rPr>
          <w:rFonts w:ascii="Times New Roman" w:hAnsi="Times New Roman" w:cs="Times New Roman" w:hint="eastAsia"/>
          <w:bCs/>
          <w:color w:val="000000"/>
          <w:szCs w:val="21"/>
          <w:lang w:val="en-GB"/>
        </w:rPr>
        <w:t>、</w:t>
      </w:r>
      <w:r>
        <w:rPr>
          <w:rFonts w:ascii="Times New Roman" w:hAnsi="Times New Roman" w:cs="Times New Roman"/>
          <w:bCs/>
          <w:color w:val="000000"/>
          <w:szCs w:val="21"/>
          <w:lang w:val="en-GB"/>
        </w:rPr>
        <w:t>27.50%</w:t>
      </w:r>
      <w:r>
        <w:rPr>
          <w:rFonts w:ascii="Times New Roman" w:hAnsi="Times New Roman" w:cs="Times New Roman" w:hint="eastAsia"/>
          <w:bCs/>
          <w:color w:val="000000"/>
          <w:szCs w:val="21"/>
          <w:lang w:val="en-GB"/>
        </w:rPr>
        <w:t>和</w:t>
      </w:r>
      <w:r>
        <w:rPr>
          <w:rFonts w:ascii="Times New Roman" w:hAnsi="Times New Roman" w:cs="Times New Roman"/>
          <w:bCs/>
          <w:color w:val="000000"/>
          <w:szCs w:val="21"/>
          <w:lang w:val="en-GB"/>
        </w:rPr>
        <w:t>24.00%</w:t>
      </w:r>
      <w:r>
        <w:rPr>
          <w:rFonts w:ascii="Times New Roman" w:hAnsi="Times New Roman" w:cs="Times New Roman" w:hint="eastAsia"/>
          <w:bCs/>
          <w:color w:val="000000"/>
          <w:szCs w:val="21"/>
          <w:lang w:val="en-GB"/>
        </w:rPr>
        <w:t>，毛利率逐年下降，主要系机器人集成应用业务中毛利率较低的含冲压机冲压连线项目占比逐年上升。</w:t>
      </w:r>
    </w:p>
    <w:p w14:paraId="4770CA9D"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r>
        <w:rPr>
          <w:rFonts w:ascii="Times New Roman" w:hAnsi="Times New Roman" w:cs="Times New Roman" w:hint="eastAsia"/>
          <w:b/>
          <w:color w:val="000000"/>
        </w:rPr>
        <w:lastRenderedPageBreak/>
        <w:t>（三）行业竞争情况</w:t>
      </w:r>
    </w:p>
    <w:p w14:paraId="4D19C6C5"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北洋天青生产的智能制造装备及智能化、信息化生产线属于非标自动化产品。北洋天青根据客户提出的设备技术要求，深入了解客户相关产品的生产工艺，制定生产设备详细规划方案，配合电气控制系统，设计制造出满足客户需求的信息化集成自动化设备及生产线。</w:t>
      </w:r>
    </w:p>
    <w:p w14:paraId="70EB5652"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各类产品中，信息化、自动化技术应用越多相应项目毛利率越高，如企业信息化、摩擦杆悬挂链物流系统、自动模具库换模等产品具有较高的毛利率，行业内竞争较小。反之如技术含量较低的机器人本体销售、基础冲压连线、尤其含压机销售的冲压连线等项目，由于自动化集成较少，主要为专机及机器人本体的简单应用，所以毛利率较低，相对竞争比较激烈。</w:t>
      </w:r>
    </w:p>
    <w:p w14:paraId="0F5B711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标的公司在发展中，充分发挥现有产能，在合理的范围内尽量减少承接技术含量较低的项目，以提高公司盈利能力。</w:t>
      </w:r>
    </w:p>
    <w:p w14:paraId="420D5498"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二、可比上市公司毛利率情况</w:t>
      </w:r>
    </w:p>
    <w:p w14:paraId="147326A2"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标的公司同行业可比上市公司</w:t>
      </w:r>
      <w:r>
        <w:rPr>
          <w:rFonts w:ascii="Times New Roman" w:hAnsi="Times New Roman" w:cs="Times New Roman"/>
          <w:bCs/>
          <w:color w:val="000000"/>
          <w:szCs w:val="21"/>
          <w:lang w:val="en-GB"/>
        </w:rPr>
        <w:t>2019</w:t>
      </w:r>
      <w:r>
        <w:rPr>
          <w:rFonts w:ascii="Times New Roman" w:hAnsi="Times New Roman" w:cs="Times New Roman" w:hint="eastAsia"/>
          <w:bCs/>
          <w:color w:val="000000"/>
          <w:szCs w:val="21"/>
          <w:lang w:val="en-GB"/>
        </w:rPr>
        <w:t>年毛利率情况如下：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6"/>
        <w:gridCol w:w="4256"/>
      </w:tblGrid>
      <w:tr w:rsidR="00C02929" w14:paraId="36004127" w14:textId="77777777">
        <w:trPr>
          <w:trHeight w:val="397"/>
          <w:tblHeader/>
        </w:trPr>
        <w:tc>
          <w:tcPr>
            <w:tcW w:w="2503" w:type="pct"/>
            <w:vMerge w:val="restart"/>
            <w:shd w:val="clear" w:color="auto" w:fill="auto"/>
            <w:vAlign w:val="center"/>
          </w:tcPr>
          <w:p w14:paraId="209DDF68"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公司简称</w:t>
            </w:r>
          </w:p>
        </w:tc>
        <w:tc>
          <w:tcPr>
            <w:tcW w:w="2497" w:type="pct"/>
            <w:shd w:val="clear" w:color="auto" w:fill="auto"/>
            <w:vAlign w:val="center"/>
          </w:tcPr>
          <w:p w14:paraId="6390685A"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年度</w:t>
            </w:r>
          </w:p>
        </w:tc>
      </w:tr>
      <w:tr w:rsidR="00C02929" w14:paraId="06AC99F5" w14:textId="77777777">
        <w:trPr>
          <w:trHeight w:val="397"/>
          <w:tblHeader/>
        </w:trPr>
        <w:tc>
          <w:tcPr>
            <w:tcW w:w="2503" w:type="pct"/>
            <w:vMerge/>
            <w:vAlign w:val="center"/>
          </w:tcPr>
          <w:p w14:paraId="42D043B1" w14:textId="77777777" w:rsidR="00C02929" w:rsidRDefault="00C02929">
            <w:pPr>
              <w:rPr>
                <w:rFonts w:ascii="Times New Roman" w:hAnsi="Times New Roman" w:cs="Times New Roman"/>
                <w:b/>
                <w:bCs/>
                <w:color w:val="000000"/>
                <w:sz w:val="21"/>
                <w:szCs w:val="21"/>
              </w:rPr>
            </w:pPr>
          </w:p>
        </w:tc>
        <w:tc>
          <w:tcPr>
            <w:tcW w:w="2497" w:type="pct"/>
            <w:shd w:val="clear" w:color="auto" w:fill="auto"/>
            <w:vAlign w:val="center"/>
          </w:tcPr>
          <w:p w14:paraId="4AC1C4E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毛利率</w:t>
            </w:r>
          </w:p>
        </w:tc>
      </w:tr>
      <w:tr w:rsidR="00C02929" w14:paraId="33451AFC" w14:textId="77777777">
        <w:trPr>
          <w:trHeight w:val="397"/>
        </w:trPr>
        <w:tc>
          <w:tcPr>
            <w:tcW w:w="2503" w:type="pct"/>
            <w:shd w:val="clear" w:color="auto" w:fill="auto"/>
            <w:vAlign w:val="center"/>
          </w:tcPr>
          <w:p w14:paraId="269B080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埃斯顿</w:t>
            </w:r>
          </w:p>
        </w:tc>
        <w:tc>
          <w:tcPr>
            <w:tcW w:w="2497" w:type="pct"/>
            <w:shd w:val="clear" w:color="auto" w:fill="auto"/>
            <w:vAlign w:val="center"/>
          </w:tcPr>
          <w:p w14:paraId="248F949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36.01%</w:t>
            </w:r>
          </w:p>
        </w:tc>
      </w:tr>
      <w:tr w:rsidR="00C02929" w14:paraId="0C9C994A" w14:textId="77777777">
        <w:trPr>
          <w:trHeight w:val="397"/>
        </w:trPr>
        <w:tc>
          <w:tcPr>
            <w:tcW w:w="2503" w:type="pct"/>
            <w:shd w:val="clear" w:color="auto" w:fill="auto"/>
            <w:vAlign w:val="center"/>
          </w:tcPr>
          <w:p w14:paraId="7D29081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机器人</w:t>
            </w:r>
          </w:p>
        </w:tc>
        <w:tc>
          <w:tcPr>
            <w:tcW w:w="2497" w:type="pct"/>
            <w:shd w:val="clear" w:color="auto" w:fill="auto"/>
            <w:vAlign w:val="center"/>
          </w:tcPr>
          <w:p w14:paraId="2A29472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27.92%</w:t>
            </w:r>
          </w:p>
        </w:tc>
      </w:tr>
      <w:tr w:rsidR="00C02929" w14:paraId="1082DE03" w14:textId="77777777">
        <w:trPr>
          <w:trHeight w:val="397"/>
        </w:trPr>
        <w:tc>
          <w:tcPr>
            <w:tcW w:w="2503" w:type="pct"/>
            <w:shd w:val="clear" w:color="auto" w:fill="auto"/>
            <w:vAlign w:val="center"/>
          </w:tcPr>
          <w:p w14:paraId="6EB15CB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快克股份</w:t>
            </w:r>
          </w:p>
        </w:tc>
        <w:tc>
          <w:tcPr>
            <w:tcW w:w="2497" w:type="pct"/>
            <w:shd w:val="clear" w:color="auto" w:fill="auto"/>
            <w:vAlign w:val="center"/>
          </w:tcPr>
          <w:p w14:paraId="253F829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54.98%</w:t>
            </w:r>
          </w:p>
        </w:tc>
      </w:tr>
      <w:tr w:rsidR="00C02929" w14:paraId="6371F7A7" w14:textId="77777777">
        <w:trPr>
          <w:trHeight w:val="397"/>
        </w:trPr>
        <w:tc>
          <w:tcPr>
            <w:tcW w:w="2503" w:type="pct"/>
            <w:shd w:val="clear" w:color="auto" w:fill="auto"/>
            <w:vAlign w:val="center"/>
          </w:tcPr>
          <w:p w14:paraId="078BE12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拓斯达</w:t>
            </w:r>
          </w:p>
        </w:tc>
        <w:tc>
          <w:tcPr>
            <w:tcW w:w="2497" w:type="pct"/>
            <w:shd w:val="clear" w:color="auto" w:fill="auto"/>
            <w:vAlign w:val="center"/>
          </w:tcPr>
          <w:p w14:paraId="1C4A24C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34.04%</w:t>
            </w:r>
          </w:p>
        </w:tc>
      </w:tr>
      <w:tr w:rsidR="00C02929" w14:paraId="256AB284" w14:textId="77777777">
        <w:trPr>
          <w:trHeight w:val="397"/>
        </w:trPr>
        <w:tc>
          <w:tcPr>
            <w:tcW w:w="2503" w:type="pct"/>
            <w:shd w:val="clear" w:color="auto" w:fill="auto"/>
            <w:vAlign w:val="center"/>
          </w:tcPr>
          <w:p w14:paraId="2636AA3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永创智能</w:t>
            </w:r>
          </w:p>
        </w:tc>
        <w:tc>
          <w:tcPr>
            <w:tcW w:w="2497" w:type="pct"/>
            <w:shd w:val="clear" w:color="auto" w:fill="auto"/>
            <w:vAlign w:val="center"/>
          </w:tcPr>
          <w:p w14:paraId="1A2C028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29.23%</w:t>
            </w:r>
          </w:p>
        </w:tc>
      </w:tr>
      <w:tr w:rsidR="00C02929" w14:paraId="7AC49E04" w14:textId="77777777">
        <w:trPr>
          <w:trHeight w:val="397"/>
        </w:trPr>
        <w:tc>
          <w:tcPr>
            <w:tcW w:w="2503" w:type="pct"/>
            <w:shd w:val="clear" w:color="auto" w:fill="auto"/>
            <w:vAlign w:val="center"/>
          </w:tcPr>
          <w:p w14:paraId="094F3CE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可比上市公司平均值</w:t>
            </w:r>
          </w:p>
        </w:tc>
        <w:tc>
          <w:tcPr>
            <w:tcW w:w="2497" w:type="pct"/>
            <w:shd w:val="clear" w:color="auto" w:fill="auto"/>
            <w:vAlign w:val="center"/>
          </w:tcPr>
          <w:p w14:paraId="3FDF7627"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36.44%</w:t>
            </w:r>
          </w:p>
        </w:tc>
      </w:tr>
      <w:tr w:rsidR="00C02929" w14:paraId="7EED116C" w14:textId="77777777">
        <w:trPr>
          <w:trHeight w:val="397"/>
        </w:trPr>
        <w:tc>
          <w:tcPr>
            <w:tcW w:w="2503" w:type="pct"/>
            <w:shd w:val="clear" w:color="auto" w:fill="auto"/>
            <w:vAlign w:val="center"/>
          </w:tcPr>
          <w:p w14:paraId="63EEF636"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标的公司</w:t>
            </w:r>
          </w:p>
        </w:tc>
        <w:tc>
          <w:tcPr>
            <w:tcW w:w="2497" w:type="pct"/>
            <w:shd w:val="clear" w:color="auto" w:fill="auto"/>
            <w:vAlign w:val="center"/>
          </w:tcPr>
          <w:p w14:paraId="61687212" w14:textId="77777777" w:rsidR="00C02929" w:rsidRDefault="006116D1">
            <w:pPr>
              <w:jc w:val="right"/>
              <w:rPr>
                <w:rFonts w:ascii="Times New Roman" w:hAnsi="Times New Roman" w:cs="Times New Roman"/>
                <w:b/>
                <w:bCs/>
                <w:color w:val="000000"/>
                <w:sz w:val="21"/>
                <w:szCs w:val="21"/>
              </w:rPr>
            </w:pPr>
            <w:r>
              <w:rPr>
                <w:rFonts w:ascii="Times New Roman" w:hAnsi="Times New Roman" w:cs="Times New Roman"/>
                <w:b/>
                <w:bCs/>
                <w:color w:val="000000"/>
                <w:sz w:val="21"/>
                <w:szCs w:val="21"/>
              </w:rPr>
              <w:t>33.06%</w:t>
            </w:r>
          </w:p>
        </w:tc>
      </w:tr>
    </w:tbl>
    <w:p w14:paraId="67C26A39"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2871EEA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本次评估选取可比公司为快克股份、拓斯达和永创智能，三家可比公司的毛利水平如下：</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64"/>
        <w:gridCol w:w="1309"/>
        <w:gridCol w:w="1456"/>
        <w:gridCol w:w="1599"/>
        <w:gridCol w:w="1394"/>
      </w:tblGrid>
      <w:tr w:rsidR="00C02929" w14:paraId="6DC15CBF" w14:textId="77777777">
        <w:trPr>
          <w:trHeight w:val="397"/>
          <w:tblHeader/>
        </w:trPr>
        <w:tc>
          <w:tcPr>
            <w:tcW w:w="1622" w:type="pct"/>
            <w:shd w:val="clear" w:color="auto" w:fill="auto"/>
            <w:vAlign w:val="center"/>
          </w:tcPr>
          <w:p w14:paraId="35DCCC91"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上市公司</w:t>
            </w:r>
          </w:p>
        </w:tc>
        <w:tc>
          <w:tcPr>
            <w:tcW w:w="768" w:type="pct"/>
            <w:shd w:val="clear" w:color="auto" w:fill="auto"/>
            <w:noWrap/>
            <w:vAlign w:val="center"/>
          </w:tcPr>
          <w:p w14:paraId="72A098FC"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2019</w:t>
            </w:r>
            <w:r>
              <w:rPr>
                <w:rFonts w:ascii="Times New Roman" w:hAnsi="Times New Roman" w:cs="Times New Roman" w:hint="eastAsia"/>
                <w:b/>
                <w:bCs/>
                <w:color w:val="000000"/>
                <w:sz w:val="21"/>
                <w:szCs w:val="21"/>
              </w:rPr>
              <w:t>年</w:t>
            </w:r>
          </w:p>
        </w:tc>
        <w:tc>
          <w:tcPr>
            <w:tcW w:w="854" w:type="pct"/>
            <w:shd w:val="clear" w:color="auto" w:fill="auto"/>
            <w:noWrap/>
            <w:vAlign w:val="center"/>
          </w:tcPr>
          <w:p w14:paraId="1619F23C"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2018</w:t>
            </w:r>
            <w:r>
              <w:rPr>
                <w:rFonts w:ascii="Times New Roman" w:hAnsi="Times New Roman" w:cs="Times New Roman" w:hint="eastAsia"/>
                <w:b/>
                <w:bCs/>
                <w:color w:val="000000"/>
                <w:sz w:val="21"/>
                <w:szCs w:val="21"/>
              </w:rPr>
              <w:t>年</w:t>
            </w:r>
          </w:p>
        </w:tc>
        <w:tc>
          <w:tcPr>
            <w:tcW w:w="938" w:type="pct"/>
            <w:shd w:val="clear" w:color="auto" w:fill="auto"/>
            <w:noWrap/>
            <w:vAlign w:val="center"/>
          </w:tcPr>
          <w:p w14:paraId="7C6EB6D8"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b/>
                <w:bCs/>
                <w:color w:val="000000"/>
                <w:sz w:val="21"/>
                <w:szCs w:val="21"/>
              </w:rPr>
              <w:t>2017</w:t>
            </w:r>
            <w:r>
              <w:rPr>
                <w:rFonts w:ascii="Times New Roman" w:hAnsi="Times New Roman" w:cs="Times New Roman" w:hint="eastAsia"/>
                <w:b/>
                <w:bCs/>
                <w:color w:val="000000"/>
                <w:sz w:val="21"/>
                <w:szCs w:val="21"/>
              </w:rPr>
              <w:t>年</w:t>
            </w:r>
          </w:p>
        </w:tc>
        <w:tc>
          <w:tcPr>
            <w:tcW w:w="818" w:type="pct"/>
            <w:shd w:val="clear" w:color="auto" w:fill="auto"/>
            <w:vAlign w:val="center"/>
          </w:tcPr>
          <w:p w14:paraId="3E696E8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平均</w:t>
            </w:r>
          </w:p>
        </w:tc>
      </w:tr>
      <w:tr w:rsidR="00C02929" w14:paraId="00E9001A" w14:textId="77777777">
        <w:trPr>
          <w:trHeight w:val="397"/>
        </w:trPr>
        <w:tc>
          <w:tcPr>
            <w:tcW w:w="1622" w:type="pct"/>
            <w:shd w:val="clear" w:color="auto" w:fill="auto"/>
            <w:vAlign w:val="center"/>
          </w:tcPr>
          <w:p w14:paraId="2E0FFE5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快克股份</w:t>
            </w:r>
          </w:p>
        </w:tc>
        <w:tc>
          <w:tcPr>
            <w:tcW w:w="768" w:type="pct"/>
            <w:shd w:val="clear" w:color="auto" w:fill="auto"/>
            <w:noWrap/>
            <w:vAlign w:val="center"/>
          </w:tcPr>
          <w:p w14:paraId="369CA892"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54.98%</w:t>
            </w:r>
          </w:p>
        </w:tc>
        <w:tc>
          <w:tcPr>
            <w:tcW w:w="854" w:type="pct"/>
            <w:shd w:val="clear" w:color="auto" w:fill="auto"/>
            <w:noWrap/>
            <w:vAlign w:val="center"/>
          </w:tcPr>
          <w:p w14:paraId="32FBAA8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55.03%</w:t>
            </w:r>
          </w:p>
        </w:tc>
        <w:tc>
          <w:tcPr>
            <w:tcW w:w="938" w:type="pct"/>
            <w:shd w:val="clear" w:color="auto" w:fill="auto"/>
            <w:noWrap/>
            <w:vAlign w:val="center"/>
          </w:tcPr>
          <w:p w14:paraId="7BC9CD70"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58.15%</w:t>
            </w:r>
          </w:p>
        </w:tc>
        <w:tc>
          <w:tcPr>
            <w:tcW w:w="818" w:type="pct"/>
            <w:shd w:val="clear" w:color="auto" w:fill="auto"/>
            <w:noWrap/>
            <w:vAlign w:val="center"/>
          </w:tcPr>
          <w:p w14:paraId="07DB3E1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56.05%</w:t>
            </w:r>
          </w:p>
        </w:tc>
      </w:tr>
      <w:tr w:rsidR="00C02929" w14:paraId="6786EC18" w14:textId="77777777">
        <w:trPr>
          <w:trHeight w:val="397"/>
        </w:trPr>
        <w:tc>
          <w:tcPr>
            <w:tcW w:w="1622" w:type="pct"/>
            <w:shd w:val="clear" w:color="auto" w:fill="auto"/>
            <w:vAlign w:val="center"/>
          </w:tcPr>
          <w:p w14:paraId="05B5847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拓斯达</w:t>
            </w:r>
          </w:p>
        </w:tc>
        <w:tc>
          <w:tcPr>
            <w:tcW w:w="768" w:type="pct"/>
            <w:shd w:val="clear" w:color="auto" w:fill="auto"/>
            <w:noWrap/>
            <w:vAlign w:val="center"/>
          </w:tcPr>
          <w:p w14:paraId="1FA7AAB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34.04%</w:t>
            </w:r>
          </w:p>
        </w:tc>
        <w:tc>
          <w:tcPr>
            <w:tcW w:w="854" w:type="pct"/>
            <w:shd w:val="clear" w:color="auto" w:fill="auto"/>
            <w:noWrap/>
            <w:vAlign w:val="center"/>
          </w:tcPr>
          <w:p w14:paraId="7E4CF98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36.11%</w:t>
            </w:r>
          </w:p>
        </w:tc>
        <w:tc>
          <w:tcPr>
            <w:tcW w:w="938" w:type="pct"/>
            <w:shd w:val="clear" w:color="auto" w:fill="auto"/>
            <w:noWrap/>
            <w:vAlign w:val="center"/>
          </w:tcPr>
          <w:p w14:paraId="6A0D1EFF"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36.78%</w:t>
            </w:r>
          </w:p>
        </w:tc>
        <w:tc>
          <w:tcPr>
            <w:tcW w:w="818" w:type="pct"/>
            <w:shd w:val="clear" w:color="auto" w:fill="auto"/>
            <w:noWrap/>
            <w:vAlign w:val="center"/>
          </w:tcPr>
          <w:p w14:paraId="146AFD5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35.64%</w:t>
            </w:r>
          </w:p>
        </w:tc>
      </w:tr>
      <w:tr w:rsidR="00C02929" w14:paraId="49683057" w14:textId="77777777">
        <w:trPr>
          <w:trHeight w:val="397"/>
        </w:trPr>
        <w:tc>
          <w:tcPr>
            <w:tcW w:w="1622" w:type="pct"/>
            <w:shd w:val="clear" w:color="auto" w:fill="auto"/>
            <w:vAlign w:val="center"/>
          </w:tcPr>
          <w:p w14:paraId="3E1C329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lastRenderedPageBreak/>
              <w:t>永创智能</w:t>
            </w:r>
          </w:p>
        </w:tc>
        <w:tc>
          <w:tcPr>
            <w:tcW w:w="768" w:type="pct"/>
            <w:shd w:val="clear" w:color="auto" w:fill="auto"/>
            <w:noWrap/>
            <w:vAlign w:val="center"/>
          </w:tcPr>
          <w:p w14:paraId="5ACE2EA3"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29.23%</w:t>
            </w:r>
          </w:p>
        </w:tc>
        <w:tc>
          <w:tcPr>
            <w:tcW w:w="854" w:type="pct"/>
            <w:shd w:val="clear" w:color="auto" w:fill="auto"/>
            <w:noWrap/>
            <w:vAlign w:val="center"/>
          </w:tcPr>
          <w:p w14:paraId="32E00440"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29.77%</w:t>
            </w:r>
          </w:p>
        </w:tc>
        <w:tc>
          <w:tcPr>
            <w:tcW w:w="938" w:type="pct"/>
            <w:shd w:val="clear" w:color="auto" w:fill="auto"/>
            <w:noWrap/>
            <w:vAlign w:val="center"/>
          </w:tcPr>
          <w:p w14:paraId="570FC757" w14:textId="77777777" w:rsidR="00C02929" w:rsidRDefault="006116D1">
            <w:pPr>
              <w:jc w:val="right"/>
              <w:rPr>
                <w:rFonts w:ascii="Times New Roman" w:hAnsi="Times New Roman" w:cs="Times New Roman"/>
                <w:color w:val="000000"/>
                <w:sz w:val="21"/>
                <w:szCs w:val="21"/>
              </w:rPr>
            </w:pPr>
            <w:r>
              <w:rPr>
                <w:rFonts w:ascii="Times New Roman" w:eastAsia="等线" w:hAnsi="Times New Roman" w:cs="Times New Roman"/>
                <w:color w:val="000000"/>
                <w:sz w:val="22"/>
                <w:szCs w:val="22"/>
              </w:rPr>
              <w:t>28.88%</w:t>
            </w:r>
          </w:p>
        </w:tc>
        <w:tc>
          <w:tcPr>
            <w:tcW w:w="818" w:type="pct"/>
            <w:shd w:val="clear" w:color="auto" w:fill="auto"/>
            <w:noWrap/>
            <w:vAlign w:val="center"/>
          </w:tcPr>
          <w:p w14:paraId="135F485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29.30%</w:t>
            </w:r>
          </w:p>
        </w:tc>
      </w:tr>
      <w:tr w:rsidR="00C02929" w14:paraId="3E43E227" w14:textId="77777777">
        <w:trPr>
          <w:trHeight w:val="397"/>
        </w:trPr>
        <w:tc>
          <w:tcPr>
            <w:tcW w:w="1622" w:type="pct"/>
            <w:shd w:val="clear" w:color="auto" w:fill="auto"/>
            <w:vAlign w:val="center"/>
          </w:tcPr>
          <w:p w14:paraId="3D134C8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可比上市公司平均值</w:t>
            </w:r>
          </w:p>
        </w:tc>
        <w:tc>
          <w:tcPr>
            <w:tcW w:w="768" w:type="pct"/>
            <w:shd w:val="clear" w:color="auto" w:fill="auto"/>
            <w:noWrap/>
            <w:vAlign w:val="center"/>
          </w:tcPr>
          <w:p w14:paraId="286C99FC"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39.42%</w:t>
            </w:r>
          </w:p>
        </w:tc>
        <w:tc>
          <w:tcPr>
            <w:tcW w:w="854" w:type="pct"/>
            <w:shd w:val="clear" w:color="auto" w:fill="auto"/>
            <w:noWrap/>
            <w:vAlign w:val="center"/>
          </w:tcPr>
          <w:p w14:paraId="695C2D70" w14:textId="15AD2DB6"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40</w:t>
            </w:r>
            <w:r w:rsidR="00613378">
              <w:rPr>
                <w:rFonts w:ascii="Times New Roman" w:eastAsia="等线" w:hAnsi="Times New Roman" w:cs="Times New Roman"/>
                <w:b/>
                <w:bCs/>
                <w:color w:val="000000"/>
                <w:sz w:val="21"/>
                <w:szCs w:val="21"/>
              </w:rPr>
              <w:t>.</w:t>
            </w:r>
            <w:r>
              <w:rPr>
                <w:rFonts w:ascii="Times New Roman" w:eastAsia="等线" w:hAnsi="Times New Roman" w:cs="Times New Roman"/>
                <w:b/>
                <w:bCs/>
                <w:color w:val="000000"/>
                <w:sz w:val="21"/>
                <w:szCs w:val="21"/>
              </w:rPr>
              <w:t>3</w:t>
            </w:r>
            <w:r w:rsidR="00613378">
              <w:rPr>
                <w:rFonts w:ascii="Times New Roman" w:eastAsia="等线" w:hAnsi="Times New Roman" w:cs="Times New Roman"/>
                <w:b/>
                <w:bCs/>
                <w:color w:val="000000"/>
                <w:sz w:val="21"/>
                <w:szCs w:val="21"/>
              </w:rPr>
              <w:t>0</w:t>
            </w:r>
            <w:r>
              <w:rPr>
                <w:rFonts w:ascii="Times New Roman" w:eastAsia="等线" w:hAnsi="Times New Roman" w:cs="Times New Roman"/>
                <w:b/>
                <w:bCs/>
                <w:color w:val="000000"/>
                <w:sz w:val="21"/>
                <w:szCs w:val="21"/>
              </w:rPr>
              <w:t>%</w:t>
            </w:r>
          </w:p>
        </w:tc>
        <w:tc>
          <w:tcPr>
            <w:tcW w:w="938" w:type="pct"/>
            <w:shd w:val="clear" w:color="auto" w:fill="auto"/>
            <w:noWrap/>
            <w:vAlign w:val="center"/>
          </w:tcPr>
          <w:p w14:paraId="10481A2D"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41.27%</w:t>
            </w:r>
          </w:p>
        </w:tc>
        <w:tc>
          <w:tcPr>
            <w:tcW w:w="818" w:type="pct"/>
            <w:shd w:val="clear" w:color="auto" w:fill="auto"/>
            <w:noWrap/>
            <w:vAlign w:val="center"/>
          </w:tcPr>
          <w:p w14:paraId="3920E6D2" w14:textId="77777777" w:rsidR="00C02929" w:rsidRDefault="006116D1">
            <w:pPr>
              <w:jc w:val="right"/>
              <w:rPr>
                <w:rFonts w:ascii="Times New Roman" w:hAnsi="Times New Roman" w:cs="Times New Roman"/>
                <w:b/>
                <w:bCs/>
                <w:color w:val="000000"/>
                <w:sz w:val="21"/>
                <w:szCs w:val="21"/>
              </w:rPr>
            </w:pPr>
            <w:r>
              <w:rPr>
                <w:rFonts w:ascii="Times New Roman" w:eastAsia="等线" w:hAnsi="Times New Roman" w:cs="Times New Roman"/>
                <w:b/>
                <w:bCs/>
                <w:color w:val="000000"/>
                <w:sz w:val="21"/>
                <w:szCs w:val="21"/>
              </w:rPr>
              <w:t>40.33%</w:t>
            </w:r>
          </w:p>
        </w:tc>
      </w:tr>
      <w:tr w:rsidR="00C02929" w14:paraId="1EE3FFA4" w14:textId="77777777">
        <w:trPr>
          <w:trHeight w:val="397"/>
        </w:trPr>
        <w:tc>
          <w:tcPr>
            <w:tcW w:w="1622" w:type="pct"/>
            <w:shd w:val="clear" w:color="auto" w:fill="auto"/>
            <w:vAlign w:val="center"/>
          </w:tcPr>
          <w:p w14:paraId="4D47C02B"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北洋天青</w:t>
            </w:r>
          </w:p>
        </w:tc>
        <w:tc>
          <w:tcPr>
            <w:tcW w:w="768" w:type="pct"/>
            <w:shd w:val="clear" w:color="auto" w:fill="auto"/>
            <w:noWrap/>
            <w:vAlign w:val="center"/>
          </w:tcPr>
          <w:p w14:paraId="54A40ED5" w14:textId="77777777" w:rsidR="00C02929" w:rsidRDefault="006116D1">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33.06%</w:t>
            </w:r>
          </w:p>
        </w:tc>
        <w:tc>
          <w:tcPr>
            <w:tcW w:w="854" w:type="pct"/>
            <w:shd w:val="clear" w:color="auto" w:fill="auto"/>
            <w:noWrap/>
            <w:vAlign w:val="center"/>
          </w:tcPr>
          <w:p w14:paraId="34D9D9B8" w14:textId="77777777" w:rsidR="00C02929" w:rsidRDefault="006116D1">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32.63%</w:t>
            </w:r>
          </w:p>
        </w:tc>
        <w:tc>
          <w:tcPr>
            <w:tcW w:w="938" w:type="pct"/>
            <w:shd w:val="clear" w:color="auto" w:fill="auto"/>
            <w:noWrap/>
            <w:vAlign w:val="center"/>
          </w:tcPr>
          <w:p w14:paraId="2482479B" w14:textId="77777777" w:rsidR="00C02929" w:rsidRDefault="006116D1">
            <w:pPr>
              <w:jc w:val="right"/>
              <w:rPr>
                <w:rFonts w:ascii="Times New Roman" w:eastAsia="等线" w:hAnsi="Times New Roman" w:cs="Times New Roman"/>
                <w:b/>
                <w:bCs/>
                <w:color w:val="000000"/>
                <w:sz w:val="21"/>
                <w:szCs w:val="21"/>
              </w:rPr>
            </w:pPr>
            <w:r>
              <w:rPr>
                <w:rFonts w:ascii="Times New Roman" w:eastAsia="等线" w:hAnsi="Times New Roman" w:cs="Times New Roman"/>
                <w:b/>
                <w:bCs/>
                <w:color w:val="000000"/>
                <w:sz w:val="21"/>
                <w:szCs w:val="21"/>
              </w:rPr>
              <w:t>27.95%</w:t>
            </w:r>
          </w:p>
        </w:tc>
        <w:tc>
          <w:tcPr>
            <w:tcW w:w="818" w:type="pct"/>
            <w:shd w:val="clear" w:color="auto" w:fill="auto"/>
            <w:noWrap/>
            <w:vAlign w:val="center"/>
          </w:tcPr>
          <w:p w14:paraId="3501BE08" w14:textId="77777777" w:rsidR="00C02929" w:rsidRDefault="006116D1">
            <w:pPr>
              <w:jc w:val="right"/>
              <w:rPr>
                <w:rFonts w:ascii="Times New Roman" w:eastAsia="等线" w:hAnsi="Times New Roman" w:cs="Times New Roman"/>
                <w:b/>
                <w:bCs/>
                <w:color w:val="000000"/>
                <w:sz w:val="21"/>
                <w:szCs w:val="21"/>
              </w:rPr>
            </w:pPr>
            <w:r>
              <w:rPr>
                <w:rFonts w:ascii="Times New Roman" w:eastAsia="等线" w:hAnsi="Times New Roman" w:cs="Times New Roman" w:hint="eastAsia"/>
                <w:b/>
                <w:bCs/>
                <w:color w:val="000000"/>
                <w:sz w:val="21"/>
                <w:szCs w:val="21"/>
              </w:rPr>
              <w:t>3</w:t>
            </w:r>
            <w:r>
              <w:rPr>
                <w:rFonts w:ascii="Times New Roman" w:eastAsia="等线" w:hAnsi="Times New Roman" w:cs="Times New Roman"/>
                <w:b/>
                <w:bCs/>
                <w:color w:val="000000"/>
                <w:sz w:val="21"/>
                <w:szCs w:val="21"/>
              </w:rPr>
              <w:t>1.21</w:t>
            </w:r>
            <w:r>
              <w:rPr>
                <w:rFonts w:ascii="Times New Roman" w:eastAsia="等线" w:hAnsi="Times New Roman" w:cs="Times New Roman" w:hint="eastAsia"/>
                <w:b/>
                <w:bCs/>
                <w:color w:val="000000"/>
                <w:sz w:val="21"/>
                <w:szCs w:val="21"/>
              </w:rPr>
              <w:t>%</w:t>
            </w:r>
          </w:p>
        </w:tc>
      </w:tr>
    </w:tbl>
    <w:p w14:paraId="2BD2FC0A"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w:t>
      </w:r>
      <w:r>
        <w:rPr>
          <w:rFonts w:ascii="Times New Roman" w:hAnsi="Times New Roman" w:cs="Times New Roman" w:hint="eastAsia"/>
          <w:bCs/>
          <w:color w:val="000000"/>
          <w:sz w:val="21"/>
          <w:szCs w:val="21"/>
          <w:lang w:val="en-GB"/>
        </w:rPr>
        <w:t>Wind</w:t>
      </w:r>
      <w:r>
        <w:rPr>
          <w:rFonts w:ascii="Times New Roman" w:hAnsi="Times New Roman" w:cs="Times New Roman" w:hint="eastAsia"/>
          <w:bCs/>
          <w:color w:val="000000"/>
          <w:sz w:val="21"/>
          <w:szCs w:val="21"/>
          <w:lang w:val="en-GB"/>
        </w:rPr>
        <w:t>资讯</w:t>
      </w:r>
    </w:p>
    <w:p w14:paraId="581BCDB8" w14:textId="5207122E"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由上表可以看出，北洋天青的毛利率位于三家可比上市公司的中间水平，略低于同行业可比上市公司毛利率平均水平为</w:t>
      </w:r>
      <w:r>
        <w:rPr>
          <w:rFonts w:ascii="Times New Roman" w:hAnsi="Times New Roman" w:cs="Times New Roman"/>
          <w:bCs/>
          <w:color w:val="000000"/>
          <w:szCs w:val="21"/>
          <w:lang w:val="en-GB"/>
        </w:rPr>
        <w:t>36.44%</w:t>
      </w:r>
      <w:r>
        <w:rPr>
          <w:rFonts w:ascii="Times New Roman" w:hAnsi="Times New Roman" w:cs="Times New Roman" w:hint="eastAsia"/>
          <w:bCs/>
          <w:color w:val="000000"/>
          <w:szCs w:val="21"/>
          <w:lang w:val="en-GB"/>
        </w:rPr>
        <w:t>；同时从北洋天青历史毛利水平看，毛利逐年上升。本次未来年度自</w:t>
      </w:r>
      <w:r>
        <w:rPr>
          <w:rFonts w:ascii="Times New Roman" w:hAnsi="Times New Roman" w:cs="Times New Roman"/>
          <w:bCs/>
          <w:color w:val="000000"/>
          <w:szCs w:val="21"/>
          <w:lang w:val="en-GB"/>
        </w:rPr>
        <w:t>2021</w:t>
      </w:r>
      <w:r>
        <w:rPr>
          <w:rFonts w:ascii="Times New Roman" w:hAnsi="Times New Roman" w:cs="Times New Roman" w:hint="eastAsia"/>
          <w:bCs/>
          <w:color w:val="000000"/>
          <w:szCs w:val="21"/>
          <w:lang w:val="en-GB"/>
        </w:rPr>
        <w:t>年起预测</w:t>
      </w:r>
      <w:r>
        <w:rPr>
          <w:rFonts w:ascii="Times New Roman" w:hAnsi="Times New Roman" w:cs="Times New Roman" w:hint="eastAsia"/>
          <w:bCs/>
          <w:color w:val="000000"/>
          <w:szCs w:val="21"/>
        </w:rPr>
        <w:t>标的公司</w:t>
      </w:r>
      <w:r>
        <w:rPr>
          <w:rFonts w:ascii="Times New Roman" w:hAnsi="Times New Roman" w:cs="Times New Roman" w:hint="eastAsia"/>
          <w:bCs/>
          <w:color w:val="000000"/>
          <w:szCs w:val="21"/>
          <w:lang w:val="en-GB"/>
        </w:rPr>
        <w:t>毛利水平为</w:t>
      </w:r>
      <w:r>
        <w:rPr>
          <w:rFonts w:ascii="Times New Roman" w:hAnsi="Times New Roman" w:cs="Times New Roman"/>
          <w:bCs/>
          <w:color w:val="000000"/>
          <w:szCs w:val="21"/>
          <w:lang w:val="en-GB"/>
        </w:rPr>
        <w:t>34%</w:t>
      </w:r>
      <w:r>
        <w:rPr>
          <w:rFonts w:ascii="Times New Roman" w:hAnsi="Times New Roman" w:cs="Times New Roman" w:hint="eastAsia"/>
          <w:bCs/>
          <w:color w:val="000000"/>
          <w:szCs w:val="21"/>
          <w:lang w:val="en-GB"/>
        </w:rPr>
        <w:t>，低于可比上市公司平均水平，同时低于标的公司</w:t>
      </w:r>
      <w:r>
        <w:rPr>
          <w:rFonts w:ascii="Times New Roman" w:hAnsi="Times New Roman" w:cs="Times New Roman"/>
          <w:bCs/>
          <w:color w:val="000000"/>
          <w:szCs w:val="21"/>
          <w:lang w:val="en-GB"/>
        </w:rPr>
        <w:t>2020</w:t>
      </w:r>
      <w:r>
        <w:rPr>
          <w:rFonts w:ascii="Times New Roman" w:hAnsi="Times New Roman" w:cs="Times New Roman" w:hint="eastAsia"/>
          <w:bCs/>
          <w:color w:val="000000"/>
          <w:szCs w:val="21"/>
          <w:lang w:val="en-GB"/>
        </w:rPr>
        <w:t>年水平，因此本次预测毛利率具有合理性。</w:t>
      </w:r>
    </w:p>
    <w:p w14:paraId="3DAFEDA0" w14:textId="77777777" w:rsidR="00C02929" w:rsidRDefault="006116D1">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三、补充披露情况</w:t>
      </w:r>
    </w:p>
    <w:p w14:paraId="213BEE8A" w14:textId="77777777" w:rsidR="00C02929" w:rsidRDefault="006116D1">
      <w:pPr>
        <w:suppressAutoHyphens/>
        <w:spacing w:beforeLines="50" w:before="156" w:line="360" w:lineRule="auto"/>
        <w:ind w:firstLineChars="200" w:firstLine="480"/>
        <w:jc w:val="both"/>
        <w:rPr>
          <w:rFonts w:ascii="Times New Roman" w:hAnsi="Times New Roman" w:cs="Times New Roman"/>
          <w:b/>
          <w:color w:val="000000"/>
          <w:szCs w:val="21"/>
        </w:rPr>
      </w:pPr>
      <w:r>
        <w:rPr>
          <w:rFonts w:ascii="Times New Roman" w:hAnsi="Times New Roman" w:cs="Times New Roman" w:hint="eastAsia"/>
          <w:bCs/>
        </w:rPr>
        <w:t>以上内容已于重组报告书“第六节</w:t>
      </w:r>
      <w:r>
        <w:rPr>
          <w:rFonts w:ascii="Times New Roman" w:hAnsi="Times New Roman" w:cs="Times New Roman"/>
          <w:bCs/>
        </w:rPr>
        <w:t xml:space="preserve"> </w:t>
      </w:r>
      <w:r>
        <w:rPr>
          <w:rFonts w:ascii="Times New Roman" w:hAnsi="Times New Roman" w:cs="Times New Roman" w:hint="eastAsia"/>
          <w:bCs/>
        </w:rPr>
        <w:t>标的资产评估情况”之“三、收益法评估情况”之“（二）收益预测说明”中补充披露。</w:t>
      </w:r>
    </w:p>
    <w:p w14:paraId="133AEEB1" w14:textId="42ADCF10" w:rsidR="00C02929" w:rsidRDefault="006116D1">
      <w:pPr>
        <w:suppressAutoHyphens/>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四、</w:t>
      </w:r>
      <w:r w:rsidR="006D3F66" w:rsidRPr="00AA3DAA">
        <w:rPr>
          <w:rFonts w:ascii="Times New Roman" w:hAnsi="Times New Roman" w:cs="Times New Roman" w:hint="eastAsia"/>
          <w:b/>
          <w:color w:val="000000"/>
          <w:szCs w:val="21"/>
        </w:rPr>
        <w:t>独立财务顾问</w:t>
      </w:r>
      <w:r>
        <w:rPr>
          <w:rFonts w:ascii="Times New Roman" w:hAnsi="Times New Roman" w:cs="Times New Roman" w:hint="eastAsia"/>
          <w:b/>
          <w:bCs/>
          <w:color w:val="000000"/>
          <w:kern w:val="1"/>
        </w:rPr>
        <w:t>核查意见</w:t>
      </w:r>
    </w:p>
    <w:p w14:paraId="56E3A583" w14:textId="71D36A91"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rPr>
        <w:t>经核查，独立财务顾问认为，随着北洋天青开展高毛利项目占比增加，报告期毛利率持续上升；</w:t>
      </w:r>
      <w:r>
        <w:rPr>
          <w:rFonts w:ascii="Times New Roman" w:hAnsi="Times New Roman" w:cs="Times New Roman" w:hint="eastAsia"/>
          <w:bCs/>
          <w:color w:val="000000"/>
        </w:rPr>
        <w:t>北洋天青的毛利率位于可比上市公司的中间水平，本次未来年度自</w:t>
      </w:r>
      <w:r>
        <w:rPr>
          <w:rFonts w:ascii="Times New Roman" w:hAnsi="Times New Roman" w:cs="Times New Roman"/>
          <w:bCs/>
          <w:color w:val="000000"/>
        </w:rPr>
        <w:t>2021</w:t>
      </w:r>
      <w:r>
        <w:rPr>
          <w:rFonts w:ascii="Times New Roman" w:hAnsi="Times New Roman" w:cs="Times New Roman" w:hint="eastAsia"/>
          <w:bCs/>
          <w:color w:val="000000"/>
        </w:rPr>
        <w:t>年起预测</w:t>
      </w:r>
      <w:r w:rsidR="002A3C21">
        <w:rPr>
          <w:rFonts w:ascii="Times New Roman" w:hAnsi="Times New Roman" w:cs="Times New Roman" w:hint="eastAsia"/>
          <w:bCs/>
          <w:color w:val="000000"/>
          <w:szCs w:val="21"/>
        </w:rPr>
        <w:t>标的公司</w:t>
      </w:r>
      <w:r>
        <w:rPr>
          <w:rFonts w:ascii="Times New Roman" w:hAnsi="Times New Roman" w:cs="Times New Roman" w:hint="eastAsia"/>
          <w:bCs/>
          <w:color w:val="000000"/>
        </w:rPr>
        <w:t>毛利水平为</w:t>
      </w:r>
      <w:r>
        <w:rPr>
          <w:rFonts w:ascii="Times New Roman" w:hAnsi="Times New Roman" w:cs="Times New Roman"/>
          <w:bCs/>
          <w:color w:val="000000"/>
        </w:rPr>
        <w:t>34%</w:t>
      </w:r>
      <w:r>
        <w:rPr>
          <w:rFonts w:ascii="Times New Roman" w:hAnsi="Times New Roman" w:cs="Times New Roman" w:hint="eastAsia"/>
          <w:bCs/>
          <w:color w:val="000000"/>
        </w:rPr>
        <w:t>，低于可比上市公司平均水平，同时低于标的公司</w:t>
      </w:r>
      <w:r>
        <w:rPr>
          <w:rFonts w:ascii="Times New Roman" w:hAnsi="Times New Roman" w:cs="Times New Roman"/>
          <w:bCs/>
          <w:color w:val="000000"/>
        </w:rPr>
        <w:t>2020</w:t>
      </w:r>
      <w:r>
        <w:rPr>
          <w:rFonts w:ascii="Times New Roman" w:hAnsi="Times New Roman" w:cs="Times New Roman" w:hint="eastAsia"/>
          <w:bCs/>
          <w:color w:val="000000"/>
        </w:rPr>
        <w:t>年水平，因此本次预测毛利率具有合理性</w:t>
      </w:r>
      <w:r>
        <w:rPr>
          <w:rFonts w:ascii="Times New Roman" w:hAnsi="Times New Roman" w:cs="Times New Roman" w:hint="eastAsia"/>
          <w:bCs/>
        </w:rPr>
        <w:t>。。</w:t>
      </w:r>
    </w:p>
    <w:p w14:paraId="765168AE" w14:textId="77777777" w:rsidR="00C02929" w:rsidRDefault="00C02929">
      <w:pPr>
        <w:pStyle w:val="afffff"/>
        <w:sectPr w:rsidR="00C02929">
          <w:pgSz w:w="11906" w:h="16838"/>
          <w:pgMar w:top="1440" w:right="1800" w:bottom="1440" w:left="1800" w:header="851" w:footer="992" w:gutter="0"/>
          <w:cols w:space="720"/>
          <w:docGrid w:type="lines" w:linePitch="312"/>
        </w:sectPr>
      </w:pPr>
    </w:p>
    <w:p w14:paraId="2C29D01A" w14:textId="77777777" w:rsidR="00C02929" w:rsidRDefault="006116D1">
      <w:pPr>
        <w:pStyle w:val="afffff"/>
      </w:pPr>
      <w:r>
        <w:rPr>
          <w:rFonts w:hint="eastAsia"/>
        </w:rPr>
        <w:lastRenderedPageBreak/>
        <w:t>第十四题</w:t>
      </w:r>
      <w:bookmarkEnd w:id="94"/>
      <w:bookmarkEnd w:id="95"/>
    </w:p>
    <w:p w14:paraId="5B2136B5" w14:textId="77777777" w:rsidR="00C02929" w:rsidRDefault="006116D1">
      <w:pPr>
        <w:spacing w:beforeLines="50" w:before="156" w:line="360" w:lineRule="auto"/>
        <w:ind w:firstLineChars="200" w:firstLine="482"/>
        <w:jc w:val="both"/>
        <w:rPr>
          <w:rFonts w:ascii="Times New Roman" w:eastAsia="黑体" w:hAnsi="Times New Roman" w:cs="Times New Roman"/>
          <w:b/>
          <w:color w:val="000000"/>
          <w:szCs w:val="21"/>
        </w:rPr>
      </w:pPr>
      <w:r>
        <w:rPr>
          <w:rFonts w:ascii="Times New Roman" w:eastAsia="黑体" w:hAnsi="Times New Roman" w:cs="Times New Roman" w:hint="eastAsia"/>
          <w:b/>
          <w:color w:val="000000"/>
          <w:szCs w:val="21"/>
        </w:rPr>
        <w:t>申请文件显示，</w:t>
      </w:r>
      <w:r>
        <w:rPr>
          <w:rFonts w:ascii="Times New Roman" w:eastAsia="黑体" w:hAnsi="Times New Roman" w:cs="Times New Roman" w:hint="eastAsia"/>
          <w:b/>
          <w:color w:val="000000"/>
          <w:szCs w:val="21"/>
        </w:rPr>
        <w:t>1</w:t>
      </w:r>
      <w:r>
        <w:rPr>
          <w:rFonts w:ascii="Times New Roman" w:eastAsia="黑体" w:hAnsi="Times New Roman" w:cs="Times New Roman" w:hint="eastAsia"/>
          <w:b/>
          <w:color w:val="000000"/>
          <w:szCs w:val="21"/>
        </w:rPr>
        <w:t>）收益法重要评估参数金额以及相关预测依据未披露。</w:t>
      </w:r>
      <w:r>
        <w:rPr>
          <w:rFonts w:ascii="Times New Roman" w:eastAsia="黑体" w:hAnsi="Times New Roman" w:cs="Times New Roman" w:hint="eastAsia"/>
          <w:b/>
          <w:color w:val="000000"/>
          <w:szCs w:val="21"/>
        </w:rPr>
        <w:t>2</w:t>
      </w:r>
      <w:r>
        <w:rPr>
          <w:rFonts w:ascii="Times New Roman" w:eastAsia="黑体" w:hAnsi="Times New Roman" w:cs="Times New Roman" w:hint="eastAsia"/>
          <w:b/>
          <w:color w:val="000000"/>
          <w:szCs w:val="21"/>
        </w:rPr>
        <w:t>）截至</w:t>
      </w:r>
      <w:r>
        <w:rPr>
          <w:rFonts w:ascii="Times New Roman" w:eastAsia="黑体" w:hAnsi="Times New Roman" w:cs="Times New Roman" w:hint="eastAsia"/>
          <w:b/>
          <w:color w:val="000000"/>
          <w:szCs w:val="21"/>
        </w:rPr>
        <w:t>2019</w:t>
      </w:r>
      <w:r>
        <w:rPr>
          <w:rFonts w:ascii="Times New Roman" w:eastAsia="黑体" w:hAnsi="Times New Roman" w:cs="Times New Roman" w:hint="eastAsia"/>
          <w:b/>
          <w:color w:val="000000"/>
          <w:szCs w:val="21"/>
        </w:rPr>
        <w:t>年末、</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年三季度末，标的资产分别对肖中海、徐炳雷的其他应收款账面余额为</w:t>
      </w:r>
      <w:r>
        <w:rPr>
          <w:rFonts w:ascii="Times New Roman" w:eastAsia="黑体" w:hAnsi="Times New Roman" w:cs="Times New Roman" w:hint="eastAsia"/>
          <w:b/>
          <w:color w:val="000000"/>
          <w:szCs w:val="21"/>
        </w:rPr>
        <w:t>10,145.63</w:t>
      </w:r>
      <w:r>
        <w:rPr>
          <w:rFonts w:ascii="Times New Roman" w:eastAsia="黑体" w:hAnsi="Times New Roman" w:cs="Times New Roman" w:hint="eastAsia"/>
          <w:b/>
          <w:color w:val="000000"/>
          <w:szCs w:val="21"/>
        </w:rPr>
        <w:t>万元、</w:t>
      </w:r>
      <w:r>
        <w:rPr>
          <w:rFonts w:ascii="Times New Roman" w:eastAsia="黑体" w:hAnsi="Times New Roman" w:cs="Times New Roman" w:hint="eastAsia"/>
          <w:b/>
          <w:color w:val="000000"/>
          <w:szCs w:val="21"/>
        </w:rPr>
        <w:t>33,979</w:t>
      </w:r>
      <w:r>
        <w:rPr>
          <w:rFonts w:ascii="Times New Roman" w:eastAsia="黑体" w:hAnsi="Times New Roman" w:cs="Times New Roman" w:hint="eastAsia"/>
          <w:b/>
          <w:color w:val="000000"/>
          <w:szCs w:val="21"/>
        </w:rPr>
        <w:t>万元，与标的资产体量不匹配。</w:t>
      </w:r>
      <w:r>
        <w:rPr>
          <w:rFonts w:ascii="Times New Roman" w:eastAsia="黑体" w:hAnsi="Times New Roman" w:cs="Times New Roman" w:hint="eastAsia"/>
          <w:b/>
          <w:color w:val="000000"/>
          <w:szCs w:val="21"/>
        </w:rPr>
        <w:t>3</w:t>
      </w:r>
      <w:r>
        <w:rPr>
          <w:rFonts w:ascii="Times New Roman" w:eastAsia="黑体" w:hAnsi="Times New Roman" w:cs="Times New Roman" w:hint="eastAsia"/>
          <w:b/>
          <w:color w:val="000000"/>
          <w:szCs w:val="21"/>
        </w:rPr>
        <w:t>）标的资产就川崎机器人等产品可以较青岛好品海智信息技术有限公司（以下简称好品海智）获得更优惠的采购价格，因此存在好品海智向标的资产销售机器人及相关配套服务的情形。</w:t>
      </w:r>
      <w:r>
        <w:rPr>
          <w:rFonts w:ascii="Times New Roman" w:eastAsia="黑体" w:hAnsi="Times New Roman" w:cs="Times New Roman" w:hint="eastAsia"/>
          <w:b/>
          <w:color w:val="000000"/>
          <w:szCs w:val="21"/>
        </w:rPr>
        <w:t>4</w:t>
      </w:r>
      <w:r>
        <w:rPr>
          <w:rFonts w:ascii="Times New Roman" w:eastAsia="黑体" w:hAnsi="Times New Roman" w:cs="Times New Roman" w:hint="eastAsia"/>
          <w:b/>
          <w:color w:val="000000"/>
          <w:szCs w:val="21"/>
        </w:rPr>
        <w:t>）《上海证券交易所股票上市规则（</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12</w:t>
      </w:r>
      <w:r>
        <w:rPr>
          <w:rFonts w:ascii="Times New Roman" w:eastAsia="黑体" w:hAnsi="Times New Roman" w:cs="Times New Roman" w:hint="eastAsia"/>
          <w:b/>
          <w:color w:val="000000"/>
          <w:szCs w:val="21"/>
        </w:rPr>
        <w:t>月修订）》已删除暂停上市相关规定，且自</w:t>
      </w:r>
      <w:r>
        <w:rPr>
          <w:rFonts w:ascii="Times New Roman" w:eastAsia="黑体" w:hAnsi="Times New Roman" w:cs="Times New Roman" w:hint="eastAsia"/>
          <w:b/>
          <w:color w:val="000000"/>
          <w:szCs w:val="21"/>
        </w:rPr>
        <w:t>2020</w:t>
      </w:r>
      <w:r>
        <w:rPr>
          <w:rFonts w:ascii="Times New Roman" w:eastAsia="黑体" w:hAnsi="Times New Roman" w:cs="Times New Roman" w:hint="eastAsia"/>
          <w:b/>
          <w:color w:val="000000"/>
          <w:szCs w:val="21"/>
        </w:rPr>
        <w:t>年</w:t>
      </w:r>
      <w:r>
        <w:rPr>
          <w:rFonts w:ascii="Times New Roman" w:eastAsia="黑体" w:hAnsi="Times New Roman" w:cs="Times New Roman" w:hint="eastAsia"/>
          <w:b/>
          <w:color w:val="000000"/>
          <w:szCs w:val="21"/>
        </w:rPr>
        <w:t>12</w:t>
      </w:r>
      <w:r>
        <w:rPr>
          <w:rFonts w:ascii="Times New Roman" w:eastAsia="黑体" w:hAnsi="Times New Roman" w:cs="Times New Roman" w:hint="eastAsia"/>
          <w:b/>
          <w:color w:val="000000"/>
          <w:szCs w:val="21"/>
        </w:rPr>
        <w:t>月</w:t>
      </w:r>
      <w:r>
        <w:rPr>
          <w:rFonts w:ascii="Times New Roman" w:eastAsia="黑体" w:hAnsi="Times New Roman" w:cs="Times New Roman" w:hint="eastAsia"/>
          <w:b/>
          <w:color w:val="000000"/>
          <w:szCs w:val="21"/>
        </w:rPr>
        <w:t>31</w:t>
      </w:r>
      <w:r>
        <w:rPr>
          <w:rFonts w:ascii="Times New Roman" w:eastAsia="黑体" w:hAnsi="Times New Roman" w:cs="Times New Roman" w:hint="eastAsia"/>
          <w:b/>
          <w:color w:val="000000"/>
          <w:szCs w:val="21"/>
        </w:rPr>
        <w:t>日起施行，申请文件仍提示上市公司存在暂停上市风险。请你公司按照《公开发行证券的公司信息披露内容与格式准则第</w:t>
      </w:r>
      <w:r>
        <w:rPr>
          <w:rFonts w:ascii="Times New Roman" w:eastAsia="黑体" w:hAnsi="Times New Roman" w:cs="Times New Roman" w:hint="eastAsia"/>
          <w:b/>
          <w:color w:val="000000"/>
          <w:szCs w:val="21"/>
        </w:rPr>
        <w:t>26</w:t>
      </w:r>
      <w:r>
        <w:rPr>
          <w:rFonts w:ascii="Times New Roman" w:eastAsia="黑体" w:hAnsi="Times New Roman" w:cs="Times New Roman" w:hint="eastAsia"/>
          <w:b/>
          <w:color w:val="000000"/>
          <w:szCs w:val="21"/>
        </w:rPr>
        <w:t>号——上市公司重大资产重组》第二十四条补充披露收益法重要评估参数以及相关预测依据，并请中介机构勤勉尽责、仔细对照我会相关规定自查申报文件内容与格式，通读全文修改错漏，认真查找执业质量和内部控制存在的问题并进行整改。</w:t>
      </w:r>
    </w:p>
    <w:p w14:paraId="243C9F9D" w14:textId="77777777" w:rsidR="00C02929" w:rsidRDefault="006116D1">
      <w:pPr>
        <w:pStyle w:val="affffd"/>
        <w:spacing w:before="156"/>
        <w:ind w:firstLine="482"/>
        <w:rPr>
          <w:b/>
        </w:rPr>
      </w:pPr>
      <w:r>
        <w:rPr>
          <w:rFonts w:hint="eastAsia"/>
          <w:b/>
        </w:rPr>
        <w:t>【回复说明】</w:t>
      </w:r>
    </w:p>
    <w:p w14:paraId="44C4060E"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bookmarkStart w:id="96" w:name="_Hlk69253501"/>
      <w:r>
        <w:rPr>
          <w:rFonts w:ascii="Times New Roman" w:hAnsi="Times New Roman" w:cs="Times New Roman" w:hint="eastAsia"/>
          <w:b/>
          <w:bCs/>
          <w:color w:val="000000"/>
          <w:kern w:val="1"/>
        </w:rPr>
        <w:t>一、重要评估参数以及相关预测依据</w:t>
      </w:r>
    </w:p>
    <w:p w14:paraId="2F290D85" w14:textId="77777777" w:rsidR="00C02929" w:rsidRDefault="006116D1">
      <w:pPr>
        <w:spacing w:beforeLines="50" w:before="156" w:line="360" w:lineRule="auto"/>
        <w:ind w:firstLineChars="200" w:firstLine="480"/>
        <w:jc w:val="both"/>
        <w:rPr>
          <w:rFonts w:ascii="Times New Roman" w:hAnsi="Times New Roman" w:cs="Times New Roman"/>
          <w:bCs/>
          <w:color w:val="000000"/>
        </w:rPr>
      </w:pPr>
      <w:r>
        <w:rPr>
          <w:rFonts w:ascii="Times New Roman" w:hAnsi="Times New Roman" w:cs="Times New Roman" w:hint="eastAsia"/>
          <w:bCs/>
          <w:color w:val="000000"/>
        </w:rPr>
        <w:t>根据《公开发行证券的公司信息披露内容与格式准则第</w:t>
      </w:r>
      <w:r>
        <w:rPr>
          <w:rFonts w:ascii="Times New Roman" w:hAnsi="Times New Roman" w:cs="Times New Roman"/>
          <w:bCs/>
          <w:color w:val="000000"/>
        </w:rPr>
        <w:t>26</w:t>
      </w:r>
      <w:r>
        <w:rPr>
          <w:rFonts w:ascii="Times New Roman" w:hAnsi="Times New Roman" w:cs="Times New Roman" w:hint="eastAsia"/>
          <w:bCs/>
          <w:color w:val="000000"/>
        </w:rPr>
        <w:t>号</w:t>
      </w:r>
      <w:r>
        <w:rPr>
          <w:rFonts w:ascii="Times New Roman" w:hAnsi="Times New Roman" w:cs="Times New Roman"/>
          <w:bCs/>
          <w:color w:val="000000"/>
        </w:rPr>
        <w:t>——</w:t>
      </w:r>
      <w:r>
        <w:rPr>
          <w:rFonts w:ascii="Times New Roman" w:hAnsi="Times New Roman" w:cs="Times New Roman" w:hint="eastAsia"/>
          <w:bCs/>
          <w:color w:val="000000"/>
        </w:rPr>
        <w:t>上市公司重大资产重组》补充披露收益法评估情况中未来各年度收入预测明细表、未来年度营业成本预测中各类费用预测明细表、未来年度预测损益明细表、折旧摊销预测明细、</w:t>
      </w:r>
      <w:r>
        <w:rPr>
          <w:rFonts w:ascii="Times New Roman" w:hAnsi="Times New Roman" w:cs="Times New Roman"/>
          <w:bCs/>
          <w:lang w:val="en-GB"/>
        </w:rPr>
        <w:t>未来年度营运资金的预测</w:t>
      </w:r>
      <w:r>
        <w:rPr>
          <w:rFonts w:ascii="Times New Roman" w:hAnsi="Times New Roman" w:cs="Times New Roman" w:hint="eastAsia"/>
          <w:bCs/>
          <w:lang w:val="en-GB"/>
        </w:rPr>
        <w:t>明细表、</w:t>
      </w:r>
      <w:r>
        <w:rPr>
          <w:rFonts w:ascii="Times New Roman" w:hAnsi="Times New Roman" w:cs="Times New Roman" w:hint="eastAsia"/>
          <w:bCs/>
          <w:color w:val="000000"/>
        </w:rPr>
        <w:t>可比公司的具体情况、无风险收益率及股权风险收益率的计算方法、标的公司特别风险和</w:t>
      </w:r>
      <w:r>
        <w:rPr>
          <w:rFonts w:ascii="Times New Roman" w:hAnsi="Times New Roman" w:cs="Times New Roman" w:hint="eastAsia"/>
          <w:bCs/>
        </w:rPr>
        <w:t>加权资金成本计算表。具体收益法评估情况如下：</w:t>
      </w:r>
    </w:p>
    <w:p w14:paraId="54F87744" w14:textId="77777777" w:rsidR="00C02929" w:rsidRDefault="006116D1">
      <w:pPr>
        <w:spacing w:beforeLines="50" w:before="156" w:line="360" w:lineRule="auto"/>
        <w:ind w:firstLineChars="200" w:firstLine="482"/>
        <w:jc w:val="both"/>
        <w:outlineLvl w:val="3"/>
        <w:rPr>
          <w:rFonts w:ascii="Times New Roman" w:hAnsi="Times New Roman" w:cs="Times New Roman"/>
          <w:b/>
          <w:color w:val="000000"/>
        </w:rPr>
      </w:pPr>
      <w:bookmarkStart w:id="97" w:name="_Toc59709413"/>
      <w:r>
        <w:rPr>
          <w:rFonts w:ascii="Times New Roman" w:hAnsi="Times New Roman" w:cs="Times New Roman" w:hint="eastAsia"/>
          <w:b/>
          <w:color w:val="000000"/>
        </w:rPr>
        <w:t>（一）收益法评估情况</w:t>
      </w:r>
      <w:bookmarkEnd w:id="97"/>
    </w:p>
    <w:p w14:paraId="5B043E46" w14:textId="77777777" w:rsidR="00C02929" w:rsidRDefault="006116D1">
      <w:pPr>
        <w:spacing w:beforeLines="50" w:before="156" w:line="360" w:lineRule="auto"/>
        <w:ind w:firstLineChars="200" w:firstLine="482"/>
        <w:rPr>
          <w:b/>
          <w:bCs/>
          <w:lang w:val="en-GB"/>
        </w:rPr>
      </w:pPr>
      <w:r>
        <w:rPr>
          <w:rFonts w:ascii="Times New Roman" w:hAnsi="Times New Roman" w:cs="Times New Roman"/>
          <w:b/>
          <w:bCs/>
          <w:lang w:val="en-GB"/>
        </w:rPr>
        <w:t>1</w:t>
      </w:r>
      <w:r>
        <w:rPr>
          <w:rFonts w:ascii="Times New Roman" w:hAnsi="Times New Roman" w:cs="Times New Roman" w:hint="eastAsia"/>
          <w:b/>
          <w:bCs/>
          <w:lang w:val="en-GB"/>
        </w:rPr>
        <w:t>、收益法的测算方法及模型</w:t>
      </w:r>
    </w:p>
    <w:p w14:paraId="4CD5E3B6" w14:textId="77777777" w:rsidR="00C02929" w:rsidRDefault="006116D1">
      <w:pPr>
        <w:pStyle w:val="affffd"/>
        <w:spacing w:before="156"/>
        <w:ind w:firstLine="480"/>
        <w:rPr>
          <w:bCs/>
        </w:rPr>
      </w:pPr>
      <w:r>
        <w:rPr>
          <w:rFonts w:hint="eastAsia"/>
          <w:bCs/>
        </w:rPr>
        <w:t>收益法是指将预期收益资本化或者折现，确定评估对象价值的评估方法。</w:t>
      </w:r>
    </w:p>
    <w:p w14:paraId="448DA69E" w14:textId="77777777" w:rsidR="00C02929" w:rsidRDefault="006116D1">
      <w:pPr>
        <w:pStyle w:val="affffd"/>
        <w:spacing w:before="156"/>
        <w:ind w:firstLine="480"/>
        <w:rPr>
          <w:bCs/>
        </w:rPr>
      </w:pPr>
      <w:r>
        <w:rPr>
          <w:rFonts w:hint="eastAsia"/>
          <w:bCs/>
        </w:rPr>
        <w:t>收益法常用的具体方法包括股利折现法、股权自由现金流折现法和企业自由现金流折现法。</w:t>
      </w:r>
    </w:p>
    <w:p w14:paraId="093DCBA6" w14:textId="77777777" w:rsidR="00C02929" w:rsidRDefault="006116D1">
      <w:pPr>
        <w:pStyle w:val="affffd"/>
        <w:spacing w:before="156"/>
        <w:ind w:firstLine="480"/>
        <w:rPr>
          <w:bCs/>
        </w:rPr>
      </w:pPr>
      <w:r>
        <w:rPr>
          <w:rFonts w:hint="eastAsia"/>
          <w:bCs/>
        </w:rPr>
        <w:lastRenderedPageBreak/>
        <w:t>股利折现法，通常适用于缺乏控制权的股东部分权益价值评估。</w:t>
      </w:r>
    </w:p>
    <w:p w14:paraId="22BA6763" w14:textId="77777777" w:rsidR="00C02929" w:rsidRDefault="006116D1">
      <w:pPr>
        <w:pStyle w:val="affffd"/>
        <w:spacing w:before="156"/>
        <w:ind w:firstLine="480"/>
        <w:rPr>
          <w:bCs/>
        </w:rPr>
      </w:pPr>
      <w:r>
        <w:rPr>
          <w:rFonts w:hint="eastAsia"/>
          <w:bCs/>
        </w:rPr>
        <w:t>股权自由现金流折现法，现金流口径为归属于股东的现金流量，对应的折现率为权益资本成本，评估值内涵为股东全部权益价值。现金流计算公式为：</w:t>
      </w:r>
    </w:p>
    <w:p w14:paraId="641D10C3" w14:textId="77777777" w:rsidR="00C02929" w:rsidRDefault="006116D1">
      <w:pPr>
        <w:pStyle w:val="affffd"/>
        <w:spacing w:before="156"/>
        <w:ind w:firstLine="480"/>
        <w:rPr>
          <w:bCs/>
        </w:rPr>
      </w:pPr>
      <w:r>
        <w:rPr>
          <w:rFonts w:hint="eastAsia"/>
          <w:bCs/>
        </w:rPr>
        <w:t>股权自由现金流量</w:t>
      </w:r>
      <w:r>
        <w:rPr>
          <w:bCs/>
        </w:rPr>
        <w:t>=</w:t>
      </w:r>
      <w:r>
        <w:rPr>
          <w:rFonts w:hint="eastAsia"/>
          <w:bCs/>
        </w:rPr>
        <w:t>净利润</w:t>
      </w:r>
      <w:r>
        <w:rPr>
          <w:bCs/>
        </w:rPr>
        <w:t>+</w:t>
      </w:r>
      <w:r>
        <w:rPr>
          <w:rFonts w:hint="eastAsia"/>
          <w:bCs/>
        </w:rPr>
        <w:t>折旧及摊销</w:t>
      </w:r>
      <w:r>
        <w:rPr>
          <w:bCs/>
        </w:rPr>
        <w:t>-</w:t>
      </w:r>
      <w:r>
        <w:rPr>
          <w:rFonts w:hint="eastAsia"/>
          <w:bCs/>
        </w:rPr>
        <w:t>资本性支出</w:t>
      </w:r>
      <w:r>
        <w:rPr>
          <w:bCs/>
        </w:rPr>
        <w:t>-</w:t>
      </w:r>
      <w:r>
        <w:rPr>
          <w:rFonts w:hint="eastAsia"/>
          <w:bCs/>
        </w:rPr>
        <w:t>营运资金增加额</w:t>
      </w:r>
      <w:r>
        <w:rPr>
          <w:bCs/>
        </w:rPr>
        <w:t>-</w:t>
      </w:r>
      <w:r>
        <w:rPr>
          <w:rFonts w:hint="eastAsia"/>
          <w:bCs/>
        </w:rPr>
        <w:t>偿还付息债务本金</w:t>
      </w:r>
      <w:r>
        <w:rPr>
          <w:bCs/>
        </w:rPr>
        <w:t>+</w:t>
      </w:r>
      <w:r>
        <w:rPr>
          <w:rFonts w:hint="eastAsia"/>
          <w:bCs/>
        </w:rPr>
        <w:t>新借付息债务本金</w:t>
      </w:r>
    </w:p>
    <w:p w14:paraId="4A18F3D6" w14:textId="77777777" w:rsidR="00C02929" w:rsidRDefault="006116D1">
      <w:pPr>
        <w:pStyle w:val="affffd"/>
        <w:spacing w:before="156"/>
        <w:ind w:firstLine="480"/>
        <w:rPr>
          <w:bCs/>
        </w:rPr>
      </w:pPr>
      <w:r>
        <w:rPr>
          <w:rFonts w:hint="eastAsia"/>
          <w:bCs/>
        </w:rPr>
        <w:t>企业自由现金流折现法，现金流口径为归属于股东和付息债务债权人在内的所有投资者现金流量，对应的折现率为加权平均资本成本，评估值内涵为企业整体价值。现金流计算公式为：</w:t>
      </w:r>
    </w:p>
    <w:p w14:paraId="3A4F4145" w14:textId="77777777" w:rsidR="00C02929" w:rsidRDefault="006116D1">
      <w:pPr>
        <w:pStyle w:val="affffd"/>
        <w:spacing w:before="156"/>
        <w:ind w:firstLine="480"/>
        <w:rPr>
          <w:bCs/>
        </w:rPr>
      </w:pPr>
      <w:r>
        <w:rPr>
          <w:rFonts w:hint="eastAsia"/>
          <w:bCs/>
        </w:rPr>
        <w:t>企业自由现金流量</w:t>
      </w:r>
      <w:r>
        <w:rPr>
          <w:bCs/>
        </w:rPr>
        <w:t>=</w:t>
      </w:r>
      <w:r>
        <w:rPr>
          <w:rFonts w:hint="eastAsia"/>
          <w:bCs/>
        </w:rPr>
        <w:t>净利润＋折旧</w:t>
      </w:r>
      <w:r>
        <w:rPr>
          <w:bCs/>
        </w:rPr>
        <w:t>/</w:t>
      </w:r>
      <w:r>
        <w:rPr>
          <w:rFonts w:hint="eastAsia"/>
          <w:bCs/>
        </w:rPr>
        <w:t>摊销＋税后利息支出－营运资金增加－资本性支出</w:t>
      </w:r>
    </w:p>
    <w:p w14:paraId="0D87B675" w14:textId="77777777" w:rsidR="00C02929" w:rsidRDefault="006116D1">
      <w:pPr>
        <w:pStyle w:val="affffd"/>
        <w:spacing w:before="156"/>
        <w:ind w:firstLine="480"/>
        <w:rPr>
          <w:bCs/>
        </w:rPr>
      </w:pPr>
      <w:r>
        <w:rPr>
          <w:rFonts w:hint="eastAsia"/>
          <w:bCs/>
        </w:rPr>
        <w:t>本次收益法评估模型选用企业自由现金流量模型。对合并报表范围的公司选用合并口径进行测算，理由如下：</w:t>
      </w:r>
    </w:p>
    <w:p w14:paraId="2A6F576F" w14:textId="77777777" w:rsidR="00C02929" w:rsidRDefault="006116D1">
      <w:pPr>
        <w:pStyle w:val="affffd"/>
        <w:spacing w:before="156"/>
        <w:ind w:firstLine="480"/>
        <w:rPr>
          <w:bCs/>
        </w:rPr>
      </w:pPr>
      <w:r>
        <w:rPr>
          <w:rFonts w:hint="eastAsia"/>
          <w:bCs/>
        </w:rPr>
        <w:t>（</w:t>
      </w:r>
      <w:r>
        <w:rPr>
          <w:rFonts w:hint="eastAsia"/>
          <w:bCs/>
        </w:rPr>
        <w:t>1</w:t>
      </w:r>
      <w:r>
        <w:rPr>
          <w:rFonts w:hint="eastAsia"/>
          <w:bCs/>
        </w:rPr>
        <w:t>）纳入合并范围内的子公司为标的公司全资子公司；</w:t>
      </w:r>
    </w:p>
    <w:p w14:paraId="0C7A0842" w14:textId="77777777" w:rsidR="00C02929" w:rsidRDefault="006116D1">
      <w:pPr>
        <w:pStyle w:val="affffd"/>
        <w:spacing w:before="156"/>
        <w:ind w:firstLine="480"/>
        <w:rPr>
          <w:bCs/>
        </w:rPr>
      </w:pPr>
      <w:r>
        <w:rPr>
          <w:rFonts w:hint="eastAsia"/>
          <w:bCs/>
        </w:rPr>
        <w:t>（</w:t>
      </w:r>
      <w:r>
        <w:rPr>
          <w:rFonts w:hint="eastAsia"/>
          <w:bCs/>
        </w:rPr>
        <w:t>2</w:t>
      </w:r>
      <w:r>
        <w:rPr>
          <w:rFonts w:hint="eastAsia"/>
          <w:bCs/>
        </w:rPr>
        <w:t>）标的公司子公司业务大部分围绕母公司开展，目前职能为母公司一个研发支持部门，尚未制定独立开展业务经营计划；</w:t>
      </w:r>
    </w:p>
    <w:p w14:paraId="409B71AA" w14:textId="77777777" w:rsidR="00C02929" w:rsidRDefault="006116D1">
      <w:pPr>
        <w:pStyle w:val="affffd"/>
        <w:spacing w:before="156"/>
        <w:ind w:firstLine="480"/>
        <w:rPr>
          <w:bCs/>
        </w:rPr>
      </w:pPr>
      <w:r>
        <w:rPr>
          <w:rFonts w:hint="eastAsia"/>
          <w:bCs/>
        </w:rPr>
        <w:t>（</w:t>
      </w:r>
      <w:r>
        <w:rPr>
          <w:rFonts w:hint="eastAsia"/>
          <w:bCs/>
        </w:rPr>
        <w:t>3</w:t>
      </w:r>
      <w:r>
        <w:rPr>
          <w:rFonts w:hint="eastAsia"/>
          <w:bCs/>
        </w:rPr>
        <w:t>）标的公司与子公司之间关联往来可以全部抵销。</w:t>
      </w:r>
    </w:p>
    <w:p w14:paraId="26646E9C" w14:textId="77777777" w:rsidR="00C02929" w:rsidRDefault="006116D1">
      <w:pPr>
        <w:pStyle w:val="affffd"/>
        <w:spacing w:before="156"/>
        <w:ind w:firstLine="480"/>
        <w:rPr>
          <w:bCs/>
        </w:rPr>
      </w:pPr>
      <w:r>
        <w:rPr>
          <w:rFonts w:hint="eastAsia"/>
          <w:bCs/>
        </w:rPr>
        <w:t>本次评估选用现金流量折现法中的企业自由现金流折现模型。</w:t>
      </w:r>
    </w:p>
    <w:p w14:paraId="75F42711" w14:textId="77777777" w:rsidR="00C02929" w:rsidRDefault="006116D1">
      <w:pPr>
        <w:pStyle w:val="affffd"/>
        <w:spacing w:before="156"/>
        <w:ind w:firstLine="480"/>
        <w:rPr>
          <w:bCs/>
        </w:rPr>
      </w:pPr>
      <w:r>
        <w:rPr>
          <w:rFonts w:hint="eastAsia"/>
          <w:bCs/>
        </w:rPr>
        <w:t>基本公式为：</w:t>
      </w:r>
    </w:p>
    <w:p w14:paraId="328BB38F" w14:textId="77777777" w:rsidR="00C02929" w:rsidRDefault="006116D1">
      <w:pPr>
        <w:pStyle w:val="affffd"/>
        <w:spacing w:before="156"/>
        <w:ind w:firstLine="480"/>
        <w:rPr>
          <w:bCs/>
          <w:lang w:val="en-GB"/>
        </w:rPr>
      </w:pPr>
      <w:r>
        <w:rPr>
          <w:bCs/>
          <w:noProof/>
        </w:rPr>
        <w:drawing>
          <wp:inline distT="0" distB="0" distL="0" distR="0" wp14:anchorId="6EA246AD" wp14:editId="627E5C52">
            <wp:extent cx="1009650" cy="19050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09650" cy="190500"/>
                    </a:xfrm>
                    <a:prstGeom prst="rect">
                      <a:avLst/>
                    </a:prstGeom>
                    <a:noFill/>
                    <a:ln>
                      <a:noFill/>
                    </a:ln>
                  </pic:spPr>
                </pic:pic>
              </a:graphicData>
            </a:graphic>
          </wp:inline>
        </w:drawing>
      </w:r>
    </w:p>
    <w:p w14:paraId="34743C82" w14:textId="77777777" w:rsidR="00C02929" w:rsidRDefault="006116D1">
      <w:pPr>
        <w:pStyle w:val="affffd"/>
        <w:spacing w:before="156"/>
        <w:ind w:firstLine="480"/>
        <w:rPr>
          <w:bCs/>
        </w:rPr>
      </w:pPr>
      <w:r>
        <w:rPr>
          <w:rFonts w:hint="eastAsia"/>
          <w:bCs/>
        </w:rPr>
        <w:t>式中：</w:t>
      </w:r>
      <w:r>
        <w:rPr>
          <w:bCs/>
        </w:rPr>
        <w:t>E</w:t>
      </w:r>
      <w:r>
        <w:rPr>
          <w:rFonts w:hint="eastAsia"/>
          <w:bCs/>
        </w:rPr>
        <w:t>为标的公司的股东全部权益的市场价值，</w:t>
      </w:r>
      <w:r>
        <w:rPr>
          <w:bCs/>
        </w:rPr>
        <w:t>D</w:t>
      </w:r>
      <w:r>
        <w:rPr>
          <w:rFonts w:hint="eastAsia"/>
          <w:bCs/>
        </w:rPr>
        <w:t>为付息负债的市场价值，</w:t>
      </w:r>
      <w:r>
        <w:rPr>
          <w:bCs/>
        </w:rPr>
        <w:t>B</w:t>
      </w:r>
      <w:r>
        <w:rPr>
          <w:rFonts w:hint="eastAsia"/>
          <w:bCs/>
        </w:rPr>
        <w:t>为企业整体市场价值。</w:t>
      </w:r>
    </w:p>
    <w:p w14:paraId="6A420C9C" w14:textId="77777777" w:rsidR="00C02929" w:rsidRDefault="006116D1">
      <w:pPr>
        <w:pStyle w:val="affffd"/>
        <w:spacing w:before="156"/>
        <w:ind w:firstLine="480"/>
        <w:rPr>
          <w:bCs/>
          <w:lang w:val="en-GB"/>
        </w:rPr>
      </w:pPr>
      <w:r>
        <w:rPr>
          <w:bCs/>
          <w:noProof/>
        </w:rPr>
        <w:drawing>
          <wp:inline distT="0" distB="0" distL="0" distR="0" wp14:anchorId="24A8B133" wp14:editId="76A2AB38">
            <wp:extent cx="1228725" cy="257175"/>
            <wp:effectExtent l="0" t="0" r="0" b="952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28725" cy="257175"/>
                    </a:xfrm>
                    <a:prstGeom prst="rect">
                      <a:avLst/>
                    </a:prstGeom>
                    <a:noFill/>
                    <a:ln>
                      <a:noFill/>
                    </a:ln>
                  </pic:spPr>
                </pic:pic>
              </a:graphicData>
            </a:graphic>
          </wp:inline>
        </w:drawing>
      </w:r>
      <w:r>
        <w:rPr>
          <w:bCs/>
          <w:lang w:val="en-GB"/>
        </w:rPr>
        <w:tab/>
      </w:r>
    </w:p>
    <w:p w14:paraId="02EA9E28" w14:textId="77777777" w:rsidR="00C02929" w:rsidRDefault="006116D1">
      <w:pPr>
        <w:pStyle w:val="affffd"/>
        <w:spacing w:before="156"/>
        <w:ind w:firstLine="480"/>
        <w:rPr>
          <w:bCs/>
          <w:lang w:val="en-GB"/>
        </w:rPr>
      </w:pPr>
      <w:r>
        <w:rPr>
          <w:rFonts w:hint="eastAsia"/>
          <w:bCs/>
        </w:rPr>
        <w:t>式中：</w:t>
      </w:r>
      <w:r>
        <w:rPr>
          <w:bCs/>
        </w:rPr>
        <w:t>P</w:t>
      </w:r>
      <w:r>
        <w:rPr>
          <w:rFonts w:hint="eastAsia"/>
          <w:bCs/>
        </w:rPr>
        <w:t>为经营性资产价值，Σ</w:t>
      </w:r>
      <w:r>
        <w:rPr>
          <w:bCs/>
        </w:rPr>
        <w:t>Ci</w:t>
      </w:r>
      <w:r>
        <w:rPr>
          <w:rFonts w:hint="eastAsia"/>
          <w:bCs/>
        </w:rPr>
        <w:t>为评估基准日存在的非经营性资产负债（含溢余资产）的价值。</w:t>
      </w:r>
    </w:p>
    <w:p w14:paraId="7DC22411" w14:textId="77777777" w:rsidR="00C02929" w:rsidRDefault="006116D1">
      <w:pPr>
        <w:pStyle w:val="affffd"/>
        <w:spacing w:before="156"/>
        <w:ind w:firstLine="480"/>
        <w:rPr>
          <w:bCs/>
          <w:lang w:val="en-GB"/>
        </w:rPr>
      </w:pPr>
      <w:r>
        <w:rPr>
          <w:bCs/>
          <w:noProof/>
        </w:rPr>
        <w:lastRenderedPageBreak/>
        <w:drawing>
          <wp:inline distT="0" distB="0" distL="0" distR="0" wp14:anchorId="598F7E4D" wp14:editId="70ED2CA8">
            <wp:extent cx="2124075" cy="476250"/>
            <wp:effectExtent l="0" t="0" r="952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124075" cy="476250"/>
                    </a:xfrm>
                    <a:prstGeom prst="rect">
                      <a:avLst/>
                    </a:prstGeom>
                    <a:noFill/>
                    <a:ln>
                      <a:noFill/>
                    </a:ln>
                  </pic:spPr>
                </pic:pic>
              </a:graphicData>
            </a:graphic>
          </wp:inline>
        </w:drawing>
      </w:r>
    </w:p>
    <w:p w14:paraId="1BEEA195" w14:textId="77777777" w:rsidR="00C02929" w:rsidRDefault="006116D1">
      <w:pPr>
        <w:pStyle w:val="affffd"/>
        <w:spacing w:before="156"/>
        <w:ind w:firstLine="480"/>
        <w:rPr>
          <w:bCs/>
        </w:rPr>
      </w:pPr>
      <w:r>
        <w:rPr>
          <w:rFonts w:hint="eastAsia"/>
          <w:bCs/>
        </w:rPr>
        <w:t>式中：</w:t>
      </w:r>
      <w:r>
        <w:rPr>
          <w:bCs/>
        </w:rPr>
        <w:t>R</w:t>
      </w:r>
      <w:r>
        <w:rPr>
          <w:bCs/>
          <w:vertAlign w:val="subscript"/>
        </w:rPr>
        <w:t>i</w:t>
      </w:r>
      <w:r>
        <w:rPr>
          <w:rFonts w:hint="eastAsia"/>
          <w:bCs/>
        </w:rPr>
        <w:t>：评估基准日后第</w:t>
      </w:r>
      <w:r>
        <w:rPr>
          <w:bCs/>
        </w:rPr>
        <w:t>i</w:t>
      </w:r>
      <w:r>
        <w:rPr>
          <w:rFonts w:hint="eastAsia"/>
          <w:bCs/>
        </w:rPr>
        <w:t>年预期的企业自由现金流量；</w:t>
      </w:r>
      <w:r>
        <w:rPr>
          <w:bCs/>
        </w:rPr>
        <w:t>r</w:t>
      </w:r>
      <w:r>
        <w:rPr>
          <w:rFonts w:hint="eastAsia"/>
          <w:bCs/>
        </w:rPr>
        <w:t>：折现率；</w:t>
      </w:r>
      <w:r>
        <w:rPr>
          <w:bCs/>
        </w:rPr>
        <w:t>P</w:t>
      </w:r>
      <w:r>
        <w:rPr>
          <w:bCs/>
          <w:vertAlign w:val="subscript"/>
        </w:rPr>
        <w:t>n</w:t>
      </w:r>
      <w:r>
        <w:rPr>
          <w:rFonts w:hint="eastAsia"/>
          <w:bCs/>
        </w:rPr>
        <w:t>：终值；</w:t>
      </w:r>
      <w:r>
        <w:rPr>
          <w:bCs/>
        </w:rPr>
        <w:t>n</w:t>
      </w:r>
      <w:r>
        <w:rPr>
          <w:rFonts w:hint="eastAsia"/>
          <w:bCs/>
        </w:rPr>
        <w:t>：预测期。</w:t>
      </w:r>
    </w:p>
    <w:p w14:paraId="2CB98FD8" w14:textId="77777777" w:rsidR="00C02929" w:rsidRDefault="006116D1">
      <w:pPr>
        <w:pStyle w:val="affffd"/>
        <w:spacing w:before="156"/>
        <w:ind w:firstLine="480"/>
        <w:rPr>
          <w:bCs/>
        </w:rPr>
      </w:pPr>
      <w:r>
        <w:rPr>
          <w:rFonts w:hint="eastAsia"/>
          <w:bCs/>
        </w:rPr>
        <w:t>各参数确定如下：</w:t>
      </w:r>
    </w:p>
    <w:p w14:paraId="65D02C94" w14:textId="77777777" w:rsidR="00C02929" w:rsidRDefault="006116D1">
      <w:pPr>
        <w:pStyle w:val="affffd"/>
        <w:spacing w:before="156"/>
        <w:ind w:firstLine="480"/>
        <w:rPr>
          <w:bCs/>
        </w:rPr>
      </w:pPr>
      <w:r>
        <w:rPr>
          <w:rFonts w:hint="eastAsia"/>
          <w:bCs/>
        </w:rPr>
        <w:t>（</w:t>
      </w:r>
      <w:r>
        <w:rPr>
          <w:bCs/>
        </w:rPr>
        <w:t>1</w:t>
      </w:r>
      <w:r>
        <w:rPr>
          <w:rFonts w:hint="eastAsia"/>
          <w:bCs/>
        </w:rPr>
        <w:t>）自由现金流</w:t>
      </w:r>
      <w:r>
        <w:rPr>
          <w:bCs/>
        </w:rPr>
        <w:t>R</w:t>
      </w:r>
      <w:r>
        <w:rPr>
          <w:bCs/>
          <w:vertAlign w:val="subscript"/>
        </w:rPr>
        <w:t>i</w:t>
      </w:r>
      <w:r>
        <w:rPr>
          <w:rFonts w:hint="eastAsia"/>
          <w:bCs/>
        </w:rPr>
        <w:t>的确定</w:t>
      </w:r>
    </w:p>
    <w:p w14:paraId="7E4B252B" w14:textId="77777777" w:rsidR="00C02929" w:rsidRDefault="006116D1">
      <w:pPr>
        <w:pStyle w:val="affffd"/>
        <w:spacing w:before="156"/>
        <w:ind w:firstLine="480"/>
        <w:rPr>
          <w:bCs/>
        </w:rPr>
      </w:pPr>
      <w:r>
        <w:rPr>
          <w:bCs/>
        </w:rPr>
        <w:t>R</w:t>
      </w:r>
      <w:r>
        <w:rPr>
          <w:bCs/>
          <w:vertAlign w:val="subscript"/>
        </w:rPr>
        <w:t>i</w:t>
      </w:r>
      <w:r>
        <w:rPr>
          <w:rFonts w:hint="eastAsia"/>
          <w:bCs/>
        </w:rPr>
        <w:t>＝净利润＋折旧</w:t>
      </w:r>
      <w:r>
        <w:rPr>
          <w:bCs/>
        </w:rPr>
        <w:t>/</w:t>
      </w:r>
      <w:r>
        <w:rPr>
          <w:rFonts w:hint="eastAsia"/>
          <w:bCs/>
        </w:rPr>
        <w:t>摊销＋税后利息支出－营运资金增加－资本性支出</w:t>
      </w:r>
    </w:p>
    <w:p w14:paraId="23DDE90B" w14:textId="77777777" w:rsidR="00C02929" w:rsidRDefault="006116D1">
      <w:pPr>
        <w:pStyle w:val="affffd"/>
        <w:spacing w:before="156"/>
        <w:ind w:firstLine="480"/>
        <w:rPr>
          <w:bCs/>
        </w:rPr>
      </w:pPr>
      <w:r>
        <w:rPr>
          <w:rFonts w:hint="eastAsia"/>
          <w:bCs/>
        </w:rPr>
        <w:t>（</w:t>
      </w:r>
      <w:r>
        <w:rPr>
          <w:bCs/>
        </w:rPr>
        <w:t>2</w:t>
      </w:r>
      <w:r>
        <w:rPr>
          <w:rFonts w:hint="eastAsia"/>
          <w:bCs/>
        </w:rPr>
        <w:t>）折现率</w:t>
      </w:r>
      <w:r>
        <w:rPr>
          <w:bCs/>
        </w:rPr>
        <w:t>r</w:t>
      </w:r>
      <w:r>
        <w:rPr>
          <w:rFonts w:hint="eastAsia"/>
          <w:bCs/>
        </w:rPr>
        <w:t>采用加权平均资本成本（</w:t>
      </w:r>
      <w:r>
        <w:rPr>
          <w:bCs/>
        </w:rPr>
        <w:t>WACC</w:t>
      </w:r>
      <w:r>
        <w:rPr>
          <w:rFonts w:hint="eastAsia"/>
          <w:bCs/>
        </w:rPr>
        <w:t>）确定，公式如下：</w:t>
      </w:r>
    </w:p>
    <w:p w14:paraId="13421FBE" w14:textId="77777777" w:rsidR="00C02929" w:rsidRDefault="006116D1">
      <w:pPr>
        <w:pStyle w:val="affffd"/>
        <w:spacing w:before="156"/>
        <w:ind w:firstLine="480"/>
        <w:rPr>
          <w:bCs/>
          <w:lang w:val="en-GB"/>
        </w:rPr>
      </w:pPr>
      <w:r>
        <w:rPr>
          <w:bCs/>
          <w:noProof/>
        </w:rPr>
        <w:drawing>
          <wp:inline distT="0" distB="0" distL="0" distR="0" wp14:anchorId="55D71D52" wp14:editId="388CA908">
            <wp:extent cx="2295525" cy="390525"/>
            <wp:effectExtent l="0" t="0" r="9525" b="952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295525" cy="390525"/>
                    </a:xfrm>
                    <a:prstGeom prst="rect">
                      <a:avLst/>
                    </a:prstGeom>
                    <a:noFill/>
                    <a:ln>
                      <a:noFill/>
                    </a:ln>
                  </pic:spPr>
                </pic:pic>
              </a:graphicData>
            </a:graphic>
          </wp:inline>
        </w:drawing>
      </w:r>
    </w:p>
    <w:p w14:paraId="6AC88035" w14:textId="77777777" w:rsidR="00C02929" w:rsidRDefault="006116D1">
      <w:pPr>
        <w:pStyle w:val="affffd"/>
        <w:spacing w:before="156"/>
        <w:ind w:firstLine="480"/>
        <w:rPr>
          <w:bCs/>
        </w:rPr>
      </w:pPr>
      <w:r>
        <w:rPr>
          <w:rFonts w:hint="eastAsia"/>
          <w:bCs/>
        </w:rPr>
        <w:t>式中：</w:t>
      </w:r>
      <w:r>
        <w:rPr>
          <w:bCs/>
        </w:rPr>
        <w:t>R</w:t>
      </w:r>
      <w:r>
        <w:rPr>
          <w:bCs/>
          <w:vertAlign w:val="subscript"/>
        </w:rPr>
        <w:t>e</w:t>
      </w:r>
      <w:r>
        <w:rPr>
          <w:rFonts w:hint="eastAsia"/>
          <w:bCs/>
        </w:rPr>
        <w:t>：权益资本成本；</w:t>
      </w:r>
      <w:r>
        <w:rPr>
          <w:bCs/>
        </w:rPr>
        <w:t>R</w:t>
      </w:r>
      <w:r>
        <w:rPr>
          <w:bCs/>
          <w:vertAlign w:val="subscript"/>
        </w:rPr>
        <w:t>d</w:t>
      </w:r>
      <w:r>
        <w:rPr>
          <w:rFonts w:hint="eastAsia"/>
          <w:bCs/>
        </w:rPr>
        <w:t>：付息负债资本成本；</w:t>
      </w:r>
      <w:r>
        <w:rPr>
          <w:bCs/>
        </w:rPr>
        <w:t>T</w:t>
      </w:r>
      <w:r>
        <w:rPr>
          <w:rFonts w:hint="eastAsia"/>
          <w:bCs/>
        </w:rPr>
        <w:t>：所得税率。</w:t>
      </w:r>
    </w:p>
    <w:p w14:paraId="28EB5655" w14:textId="77777777" w:rsidR="00C02929" w:rsidRDefault="006116D1">
      <w:pPr>
        <w:pStyle w:val="affffd"/>
        <w:spacing w:before="156"/>
        <w:ind w:firstLine="480"/>
        <w:rPr>
          <w:bCs/>
        </w:rPr>
      </w:pPr>
      <w:r>
        <w:rPr>
          <w:rFonts w:hint="eastAsia"/>
          <w:bCs/>
        </w:rPr>
        <w:t>（</w:t>
      </w:r>
      <w:r>
        <w:rPr>
          <w:bCs/>
        </w:rPr>
        <w:t>3</w:t>
      </w:r>
      <w:r>
        <w:rPr>
          <w:rFonts w:hint="eastAsia"/>
          <w:bCs/>
        </w:rPr>
        <w:t>）权益资本成本</w:t>
      </w:r>
      <w:r>
        <w:rPr>
          <w:bCs/>
        </w:rPr>
        <w:t>R</w:t>
      </w:r>
      <w:r>
        <w:rPr>
          <w:bCs/>
          <w:vertAlign w:val="subscript"/>
        </w:rPr>
        <w:t>e</w:t>
      </w:r>
      <w:r>
        <w:rPr>
          <w:rFonts w:hint="eastAsia"/>
          <w:bCs/>
        </w:rPr>
        <w:t>采用资本资产定价模型</w:t>
      </w:r>
      <w:r>
        <w:rPr>
          <w:bCs/>
        </w:rPr>
        <w:t>(CAPM)</w:t>
      </w:r>
      <w:r>
        <w:rPr>
          <w:rFonts w:hint="eastAsia"/>
          <w:bCs/>
        </w:rPr>
        <w:t>计算，公式如下：</w:t>
      </w:r>
    </w:p>
    <w:p w14:paraId="675BD611" w14:textId="77777777" w:rsidR="00C02929" w:rsidRDefault="006116D1">
      <w:pPr>
        <w:pStyle w:val="affffd"/>
        <w:spacing w:before="156"/>
        <w:ind w:firstLine="480"/>
        <w:rPr>
          <w:bCs/>
        </w:rPr>
      </w:pPr>
      <w:r>
        <w:rPr>
          <w:bCs/>
        </w:rPr>
        <w:t>R</w:t>
      </w:r>
      <w:r>
        <w:rPr>
          <w:bCs/>
          <w:vertAlign w:val="subscript"/>
        </w:rPr>
        <w:t>e</w:t>
      </w:r>
      <w:r>
        <w:rPr>
          <w:rFonts w:hint="eastAsia"/>
          <w:bCs/>
        </w:rPr>
        <w:t>＝</w:t>
      </w:r>
      <w:r>
        <w:rPr>
          <w:bCs/>
        </w:rPr>
        <w:t>R</w:t>
      </w:r>
      <w:r>
        <w:rPr>
          <w:bCs/>
          <w:vertAlign w:val="subscript"/>
        </w:rPr>
        <w:t>f</w:t>
      </w:r>
      <w:r>
        <w:rPr>
          <w:rFonts w:hint="eastAsia"/>
          <w:bCs/>
        </w:rPr>
        <w:t>＋β×</w:t>
      </w:r>
      <w:r>
        <w:rPr>
          <w:bCs/>
        </w:rPr>
        <w:t>ERP</w:t>
      </w:r>
      <w:r>
        <w:rPr>
          <w:rFonts w:hint="eastAsia"/>
          <w:bCs/>
        </w:rPr>
        <w:t>＋</w:t>
      </w:r>
      <w:r>
        <w:rPr>
          <w:bCs/>
        </w:rPr>
        <w:t>R</w:t>
      </w:r>
      <w:r>
        <w:rPr>
          <w:bCs/>
          <w:vertAlign w:val="subscript"/>
        </w:rPr>
        <w:t>s</w:t>
      </w:r>
    </w:p>
    <w:p w14:paraId="49302630" w14:textId="77777777" w:rsidR="00C02929" w:rsidRDefault="006116D1">
      <w:pPr>
        <w:pStyle w:val="affffd"/>
        <w:spacing w:before="156"/>
        <w:ind w:firstLine="480"/>
        <w:rPr>
          <w:bCs/>
        </w:rPr>
      </w:pPr>
      <w:r>
        <w:rPr>
          <w:rFonts w:hint="eastAsia"/>
          <w:bCs/>
        </w:rPr>
        <w:t>式中：</w:t>
      </w:r>
      <w:r>
        <w:rPr>
          <w:bCs/>
        </w:rPr>
        <w:t>R</w:t>
      </w:r>
      <w:r>
        <w:rPr>
          <w:bCs/>
          <w:vertAlign w:val="subscript"/>
        </w:rPr>
        <w:t>e</w:t>
      </w:r>
      <w:r>
        <w:rPr>
          <w:rFonts w:hint="eastAsia"/>
          <w:bCs/>
        </w:rPr>
        <w:t>为股权回报率；</w:t>
      </w:r>
      <w:r>
        <w:rPr>
          <w:bCs/>
        </w:rPr>
        <w:t>R</w:t>
      </w:r>
      <w:r>
        <w:rPr>
          <w:bCs/>
          <w:vertAlign w:val="subscript"/>
        </w:rPr>
        <w:t>f</w:t>
      </w:r>
      <w:r>
        <w:rPr>
          <w:rFonts w:hint="eastAsia"/>
          <w:bCs/>
        </w:rPr>
        <w:t>为无风险回报率；β为风险系数；</w:t>
      </w:r>
      <w:r>
        <w:rPr>
          <w:bCs/>
        </w:rPr>
        <w:t>ERP</w:t>
      </w:r>
      <w:r>
        <w:rPr>
          <w:rFonts w:hint="eastAsia"/>
          <w:bCs/>
        </w:rPr>
        <w:t>为市场风险超额回报率；</w:t>
      </w:r>
      <w:r>
        <w:rPr>
          <w:bCs/>
        </w:rPr>
        <w:t>R</w:t>
      </w:r>
      <w:r>
        <w:rPr>
          <w:bCs/>
          <w:vertAlign w:val="subscript"/>
        </w:rPr>
        <w:t>s</w:t>
      </w:r>
      <w:r>
        <w:rPr>
          <w:rFonts w:hint="eastAsia"/>
          <w:bCs/>
        </w:rPr>
        <w:t>为公司特有风险超额回报率</w:t>
      </w:r>
    </w:p>
    <w:p w14:paraId="5735DB60" w14:textId="77777777" w:rsidR="00C02929" w:rsidRDefault="006116D1">
      <w:pPr>
        <w:pStyle w:val="affffd"/>
        <w:spacing w:before="156"/>
        <w:ind w:firstLine="480"/>
        <w:rPr>
          <w:bCs/>
        </w:rPr>
      </w:pPr>
      <w:r>
        <w:rPr>
          <w:rFonts w:hint="eastAsia"/>
          <w:bCs/>
        </w:rPr>
        <w:t>（</w:t>
      </w:r>
      <w:r>
        <w:rPr>
          <w:bCs/>
        </w:rPr>
        <w:t>4</w:t>
      </w:r>
      <w:r>
        <w:rPr>
          <w:rFonts w:hint="eastAsia"/>
          <w:bCs/>
        </w:rPr>
        <w:t>）终值</w:t>
      </w:r>
      <w:r>
        <w:rPr>
          <w:bCs/>
        </w:rPr>
        <w:t>P</w:t>
      </w:r>
      <w:r>
        <w:rPr>
          <w:bCs/>
          <w:vertAlign w:val="subscript"/>
        </w:rPr>
        <w:t>n</w:t>
      </w:r>
      <w:r>
        <w:rPr>
          <w:rFonts w:hint="eastAsia"/>
          <w:bCs/>
        </w:rPr>
        <w:t>的确定</w:t>
      </w:r>
    </w:p>
    <w:p w14:paraId="482DC6D8" w14:textId="77777777" w:rsidR="00C02929" w:rsidRDefault="006116D1">
      <w:pPr>
        <w:pStyle w:val="affffd"/>
        <w:spacing w:before="156"/>
        <w:ind w:firstLine="480"/>
        <w:rPr>
          <w:bCs/>
        </w:rPr>
      </w:pPr>
      <w:r>
        <w:rPr>
          <w:rFonts w:hint="eastAsia"/>
          <w:bCs/>
        </w:rPr>
        <w:t>根据企业价值准则规定，资产评估机构应当根据企业进入稳定期的因素分析预测期后的收益趋势、终止经营后的处置方式等，选择恰当的方法估算预测期后的价值。</w:t>
      </w:r>
    </w:p>
    <w:p w14:paraId="1F322590" w14:textId="77777777" w:rsidR="00C02929" w:rsidRDefault="006116D1">
      <w:pPr>
        <w:pStyle w:val="affffd"/>
        <w:spacing w:before="156"/>
        <w:ind w:firstLine="480"/>
        <w:rPr>
          <w:bCs/>
        </w:rPr>
      </w:pPr>
      <w:r>
        <w:rPr>
          <w:rFonts w:hint="eastAsia"/>
          <w:bCs/>
        </w:rPr>
        <w:t>企业终值一般可采用永续增长模型</w:t>
      </w:r>
      <w:r>
        <w:rPr>
          <w:bCs/>
        </w:rPr>
        <w:t>(</w:t>
      </w:r>
      <w:r>
        <w:rPr>
          <w:rFonts w:hint="eastAsia"/>
          <w:bCs/>
        </w:rPr>
        <w:t>固定增长模型</w:t>
      </w:r>
      <w:r>
        <w:rPr>
          <w:bCs/>
        </w:rPr>
        <w:t>)</w:t>
      </w:r>
      <w:r>
        <w:rPr>
          <w:rFonts w:hint="eastAsia"/>
          <w:bCs/>
        </w:rPr>
        <w:t>、价格收益比例法、账面价值法等确定。</w:t>
      </w:r>
    </w:p>
    <w:p w14:paraId="61D7B7AA" w14:textId="77777777" w:rsidR="00C02929" w:rsidRDefault="006116D1">
      <w:pPr>
        <w:pStyle w:val="affffd"/>
        <w:spacing w:before="156"/>
        <w:ind w:firstLine="480"/>
        <w:rPr>
          <w:bCs/>
          <w:lang w:val="en-GB"/>
        </w:rPr>
      </w:pPr>
      <w:r>
        <w:rPr>
          <w:rFonts w:hint="eastAsia"/>
          <w:bCs/>
        </w:rPr>
        <w:t>（</w:t>
      </w:r>
      <w:r>
        <w:rPr>
          <w:bCs/>
        </w:rPr>
        <w:t>5</w:t>
      </w:r>
      <w:r>
        <w:rPr>
          <w:rFonts w:hint="eastAsia"/>
          <w:bCs/>
        </w:rPr>
        <w:t>）非经营性资产负债（含溢余资产）Σ</w:t>
      </w:r>
      <w:r>
        <w:rPr>
          <w:bCs/>
        </w:rPr>
        <w:t>C</w:t>
      </w:r>
      <w:r>
        <w:rPr>
          <w:bCs/>
          <w:vertAlign w:val="subscript"/>
        </w:rPr>
        <w:t>i</w:t>
      </w:r>
      <w:r>
        <w:rPr>
          <w:rFonts w:hint="eastAsia"/>
          <w:bCs/>
        </w:rPr>
        <w:t>的价</w:t>
      </w:r>
      <w:r>
        <w:rPr>
          <w:rFonts w:hint="eastAsia"/>
          <w:bCs/>
          <w:lang w:val="en-GB"/>
        </w:rPr>
        <w:t>值</w:t>
      </w:r>
    </w:p>
    <w:p w14:paraId="2BADD0FF" w14:textId="77777777" w:rsidR="00C02929" w:rsidRDefault="006116D1">
      <w:pPr>
        <w:pStyle w:val="affffd"/>
        <w:spacing w:before="156"/>
        <w:ind w:firstLine="480"/>
        <w:rPr>
          <w:bCs/>
        </w:rPr>
      </w:pPr>
      <w:r>
        <w:rPr>
          <w:rFonts w:hint="eastAsia"/>
          <w:bCs/>
        </w:rPr>
        <w:t>非经营性资产负债是指与标的公司生产经营无关的，评估基准日后企业自由现金流量预测不涉及的资产与负债。</w:t>
      </w:r>
    </w:p>
    <w:p w14:paraId="4637911E" w14:textId="77777777" w:rsidR="00C02929" w:rsidRDefault="006116D1">
      <w:pPr>
        <w:pStyle w:val="affffd"/>
        <w:spacing w:before="156"/>
        <w:ind w:firstLine="480"/>
        <w:rPr>
          <w:bCs/>
        </w:rPr>
      </w:pPr>
      <w:r>
        <w:rPr>
          <w:rFonts w:hint="eastAsia"/>
          <w:bCs/>
        </w:rPr>
        <w:lastRenderedPageBreak/>
        <w:t>溢余资产是指评估基准日超过企业生产经营所需，评估基准日后企业自由现金流量预测不涉及的资产。</w:t>
      </w:r>
    </w:p>
    <w:p w14:paraId="5CC6F481" w14:textId="77777777" w:rsidR="00C02929" w:rsidRDefault="006116D1">
      <w:pPr>
        <w:pStyle w:val="affffd"/>
        <w:spacing w:before="156"/>
        <w:ind w:firstLine="480"/>
        <w:rPr>
          <w:bCs/>
        </w:rPr>
      </w:pPr>
      <w:r>
        <w:rPr>
          <w:rFonts w:hint="eastAsia"/>
          <w:bCs/>
        </w:rPr>
        <w:t>对非经营性资产负债（含溢余资产），本次评估采用资产基础法进行评估。</w:t>
      </w:r>
    </w:p>
    <w:p w14:paraId="579ED313" w14:textId="77777777" w:rsidR="00C02929" w:rsidRDefault="006116D1">
      <w:pPr>
        <w:pStyle w:val="affffd"/>
        <w:spacing w:before="156"/>
        <w:ind w:firstLine="482"/>
        <w:rPr>
          <w:b/>
          <w:bCs/>
        </w:rPr>
      </w:pPr>
      <w:r>
        <w:rPr>
          <w:rFonts w:hint="eastAsia"/>
          <w:b/>
          <w:bCs/>
        </w:rPr>
        <w:t>2</w:t>
      </w:r>
      <w:r>
        <w:rPr>
          <w:rFonts w:hint="eastAsia"/>
          <w:b/>
          <w:bCs/>
        </w:rPr>
        <w:t>、收益预测说明</w:t>
      </w:r>
    </w:p>
    <w:p w14:paraId="0314746B"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1</w:t>
      </w:r>
      <w:r>
        <w:rPr>
          <w:rFonts w:ascii="Times New Roman" w:hAnsi="Times New Roman" w:cs="Times New Roman" w:hint="eastAsia"/>
          <w:lang w:bidi="ar"/>
        </w:rPr>
        <w:t>）收益年限的确定</w:t>
      </w:r>
    </w:p>
    <w:p w14:paraId="42C2F1A8" w14:textId="77777777" w:rsidR="00C02929" w:rsidRDefault="006116D1">
      <w:pPr>
        <w:pStyle w:val="affffd"/>
        <w:adjustRightInd w:val="0"/>
        <w:snapToGrid w:val="0"/>
        <w:spacing w:before="156"/>
        <w:ind w:firstLine="480"/>
        <w:rPr>
          <w:bCs/>
          <w:lang w:val="en-GB"/>
        </w:rPr>
      </w:pPr>
      <w:r>
        <w:rPr>
          <w:rFonts w:hint="eastAsia"/>
          <w:bCs/>
          <w:lang w:val="en-GB"/>
        </w:rPr>
        <w:t>在对企业收入成本结构、资本结构、资本性支出、投资收益和风险水平等综合分析的基础上，结合宏观政策、行业周期及其他影响企业进入稳定期的因素，确定预测期为</w:t>
      </w:r>
      <w:r>
        <w:rPr>
          <w:bCs/>
          <w:lang w:val="en-GB"/>
        </w:rPr>
        <w:t>5.5</w:t>
      </w:r>
      <w:r>
        <w:rPr>
          <w:rFonts w:hint="eastAsia"/>
          <w:bCs/>
          <w:lang w:val="en-GB"/>
        </w:rPr>
        <w:t>年；根据现行公司法规定，企业只要在经营期限届满前按规定的期限向工商行政管理部门申请，可以延长其经营期限，从企业管理层了解到，没有发现企业终止经营的任何理由，因此假设被评估企业未来收益期为无限期。</w:t>
      </w:r>
    </w:p>
    <w:p w14:paraId="4BBD8A22" w14:textId="77777777" w:rsidR="00C02929" w:rsidRDefault="006116D1">
      <w:pPr>
        <w:pStyle w:val="affffd"/>
        <w:adjustRightInd w:val="0"/>
        <w:snapToGrid w:val="0"/>
        <w:spacing w:before="156"/>
        <w:ind w:firstLine="480"/>
        <w:rPr>
          <w:bCs/>
          <w:lang w:val="en-GB"/>
        </w:rPr>
      </w:pPr>
      <w:r>
        <w:rPr>
          <w:rFonts w:hint="eastAsia"/>
          <w:bCs/>
          <w:lang w:val="en-GB"/>
        </w:rPr>
        <w:t>本次评估将预测期分二个阶段，第一阶段为</w:t>
      </w:r>
      <w:r>
        <w:rPr>
          <w:bCs/>
          <w:lang w:val="en-GB"/>
        </w:rPr>
        <w:t>2020</w:t>
      </w:r>
      <w:r>
        <w:rPr>
          <w:rFonts w:hint="eastAsia"/>
          <w:bCs/>
          <w:lang w:val="en-GB"/>
        </w:rPr>
        <w:t>年</w:t>
      </w:r>
      <w:r>
        <w:rPr>
          <w:bCs/>
          <w:lang w:val="en-GB"/>
        </w:rPr>
        <w:t>7</w:t>
      </w:r>
      <w:r>
        <w:rPr>
          <w:rFonts w:hint="eastAsia"/>
          <w:bCs/>
          <w:lang w:val="en-GB"/>
        </w:rPr>
        <w:t>月</w:t>
      </w:r>
      <w:r>
        <w:rPr>
          <w:bCs/>
          <w:lang w:val="en-GB"/>
        </w:rPr>
        <w:t>1</w:t>
      </w:r>
      <w:r>
        <w:rPr>
          <w:rFonts w:hint="eastAsia"/>
          <w:bCs/>
          <w:lang w:val="en-GB"/>
        </w:rPr>
        <w:t>日至</w:t>
      </w:r>
      <w:r>
        <w:rPr>
          <w:bCs/>
          <w:lang w:val="en-GB"/>
        </w:rPr>
        <w:t>2025</w:t>
      </w:r>
      <w:r>
        <w:rPr>
          <w:rFonts w:hint="eastAsia"/>
          <w:bCs/>
          <w:lang w:val="en-GB"/>
        </w:rPr>
        <w:t>年</w:t>
      </w:r>
      <w:r>
        <w:rPr>
          <w:bCs/>
          <w:lang w:val="en-GB"/>
        </w:rPr>
        <w:t>12</w:t>
      </w:r>
      <w:r>
        <w:rPr>
          <w:rFonts w:hint="eastAsia"/>
          <w:bCs/>
          <w:lang w:val="en-GB"/>
        </w:rPr>
        <w:t>月</w:t>
      </w:r>
      <w:r>
        <w:rPr>
          <w:bCs/>
          <w:lang w:val="en-GB"/>
        </w:rPr>
        <w:t>31</w:t>
      </w:r>
      <w:r>
        <w:rPr>
          <w:rFonts w:hint="eastAsia"/>
          <w:bCs/>
          <w:lang w:val="en-GB"/>
        </w:rPr>
        <w:t>日；第二阶段为</w:t>
      </w:r>
      <w:r>
        <w:rPr>
          <w:bCs/>
          <w:lang w:val="en-GB"/>
        </w:rPr>
        <w:t>2026</w:t>
      </w:r>
      <w:r>
        <w:rPr>
          <w:rFonts w:hint="eastAsia"/>
          <w:bCs/>
          <w:lang w:val="en-GB"/>
        </w:rPr>
        <w:t>年</w:t>
      </w:r>
      <w:r>
        <w:rPr>
          <w:bCs/>
          <w:lang w:val="en-GB"/>
        </w:rPr>
        <w:t>1</w:t>
      </w:r>
      <w:r>
        <w:rPr>
          <w:rFonts w:hint="eastAsia"/>
          <w:bCs/>
          <w:lang w:val="en-GB"/>
        </w:rPr>
        <w:t>月</w:t>
      </w:r>
      <w:r>
        <w:rPr>
          <w:bCs/>
          <w:lang w:val="en-GB"/>
        </w:rPr>
        <w:t>1</w:t>
      </w:r>
      <w:r>
        <w:rPr>
          <w:rFonts w:hint="eastAsia"/>
          <w:bCs/>
          <w:lang w:val="en-GB"/>
        </w:rPr>
        <w:t>日直至永续。</w:t>
      </w:r>
    </w:p>
    <w:p w14:paraId="41690B80"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2</w:t>
      </w:r>
      <w:r>
        <w:rPr>
          <w:rFonts w:ascii="Times New Roman" w:hAnsi="Times New Roman" w:cs="Times New Roman" w:hint="eastAsia"/>
          <w:lang w:bidi="ar"/>
        </w:rPr>
        <w:t>）未来收益预测</w:t>
      </w:r>
    </w:p>
    <w:p w14:paraId="75EAFC79" w14:textId="77777777" w:rsidR="00C02929" w:rsidRDefault="006116D1">
      <w:pPr>
        <w:pStyle w:val="affffd"/>
        <w:spacing w:before="156"/>
        <w:ind w:firstLine="480"/>
        <w:rPr>
          <w:bCs/>
        </w:rPr>
      </w:pPr>
      <w:r>
        <w:rPr>
          <w:rFonts w:hint="eastAsia"/>
          <w:bCs/>
          <w:lang w:val="en-GB"/>
        </w:rPr>
        <w:t>对未来五年及以后年度收益的预测是由北洋天青根据中长期规划提供的。评估人员分析了标的公司管理层提出的预测数据并与北洋天青讨论了有关预测的假设、前提及预测过程，基本采纳了标的公司的预测。</w:t>
      </w:r>
    </w:p>
    <w:p w14:paraId="52E49907"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98" w:name="_Toc161394620"/>
      <w:bookmarkStart w:id="99" w:name="_Toc163542852"/>
      <w:r>
        <w:rPr>
          <w:rFonts w:ascii="Times New Roman" w:hAnsi="Times New Roman" w:cs="Times New Roman"/>
          <w:lang w:bidi="ar"/>
        </w:rPr>
        <w:t>1</w:t>
      </w:r>
      <w:r>
        <w:rPr>
          <w:rFonts w:ascii="Times New Roman" w:hAnsi="Times New Roman" w:cs="Times New Roman" w:hint="eastAsia"/>
          <w:lang w:bidi="ar"/>
        </w:rPr>
        <w:t>）营业收入预测</w:t>
      </w:r>
      <w:bookmarkEnd w:id="98"/>
      <w:bookmarkEnd w:id="99"/>
    </w:p>
    <w:p w14:paraId="26CF911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bidi="ar"/>
        </w:rPr>
        <w:t>北洋天青主要从事智能化、信息化的生产线建设、升级、改造行业整体解决方案等相关产品的研究、开发、设计和生产，针对不同客户的需求，整合运动控制、影像处理、机械人应用等技术，配合软件系统开发为客户提供最具竞争力的产品和服务。主要产品方案可分为工业机器人本体及系统集成、智能制造装备、机器视觉、测试系统集成、模具立体库自动换模系统、物流悬挂输送系统和企业信息化七大业务板块的产品线。</w:t>
      </w:r>
    </w:p>
    <w:p w14:paraId="03FECAC6"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val="en-GB"/>
        </w:rPr>
        <w:t>历史年度北洋天青销售收入按照合同分类情况如下</w:t>
      </w:r>
      <w:r>
        <w:rPr>
          <w:rFonts w:ascii="Times New Roman" w:hAnsi="Times New Roman" w:cs="Times New Roman" w:hint="eastAsia"/>
          <w:bCs/>
          <w:color w:val="000000"/>
          <w:szCs w:val="21"/>
          <w:lang w:bidi="ar"/>
        </w:rPr>
        <w:t>：</w:t>
      </w:r>
    </w:p>
    <w:p w14:paraId="60B5BB1C" w14:textId="77777777" w:rsidR="00C02929" w:rsidRDefault="006116D1">
      <w:pPr>
        <w:keepNext/>
        <w:jc w:val="right"/>
        <w:rPr>
          <w:rFonts w:ascii="Times New Roman" w:hAnsi="Times New Roman" w:cs="Times New Roman"/>
          <w:bCs/>
          <w:color w:val="000000"/>
          <w:sz w:val="21"/>
          <w:szCs w:val="18"/>
          <w:lang w:val="en-GB" w:bidi="ar"/>
        </w:rPr>
      </w:pPr>
      <w:r>
        <w:rPr>
          <w:rFonts w:ascii="Times New Roman" w:hAnsi="Times New Roman" w:cs="Times New Roman" w:hint="eastAsia"/>
          <w:bCs/>
          <w:color w:val="000000"/>
          <w:sz w:val="21"/>
          <w:szCs w:val="18"/>
          <w:lang w:val="en-GB" w:bidi="ar"/>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015"/>
        <w:gridCol w:w="1599"/>
        <w:gridCol w:w="1597"/>
        <w:gridCol w:w="1716"/>
        <w:gridCol w:w="1595"/>
      </w:tblGrid>
      <w:tr w:rsidR="00C02929" w14:paraId="42F33E4C" w14:textId="77777777">
        <w:trPr>
          <w:trHeight w:val="397"/>
          <w:tblHeader/>
        </w:trPr>
        <w:tc>
          <w:tcPr>
            <w:tcW w:w="1182" w:type="pct"/>
            <w:vAlign w:val="center"/>
          </w:tcPr>
          <w:p w14:paraId="36D80F51" w14:textId="77777777" w:rsidR="00C02929" w:rsidRDefault="006116D1">
            <w:pPr>
              <w:jc w:val="center"/>
              <w:rPr>
                <w:rFonts w:ascii="Times New Roman" w:hAnsi="Times New Roman"/>
                <w:b/>
                <w:bCs/>
                <w:sz w:val="21"/>
                <w:szCs w:val="21"/>
              </w:rPr>
            </w:pPr>
            <w:r>
              <w:rPr>
                <w:rFonts w:ascii="Times New Roman" w:hAnsi="Times New Roman" w:hint="eastAsia"/>
                <w:b/>
                <w:bCs/>
                <w:sz w:val="21"/>
                <w:szCs w:val="21"/>
              </w:rPr>
              <w:t>合同分类</w:t>
            </w:r>
          </w:p>
        </w:tc>
        <w:tc>
          <w:tcPr>
            <w:tcW w:w="938" w:type="pct"/>
            <w:vAlign w:val="center"/>
          </w:tcPr>
          <w:p w14:paraId="19D070B8" w14:textId="77777777" w:rsidR="00C02929" w:rsidRDefault="006116D1">
            <w:pPr>
              <w:jc w:val="center"/>
              <w:rPr>
                <w:rFonts w:ascii="Times New Roman" w:hAnsi="Times New Roman"/>
                <w:b/>
                <w:bCs/>
                <w:sz w:val="21"/>
                <w:szCs w:val="21"/>
              </w:rPr>
            </w:pPr>
            <w:r>
              <w:rPr>
                <w:rFonts w:ascii="Times New Roman" w:hAnsi="Times New Roman" w:hint="eastAsia"/>
                <w:b/>
                <w:bCs/>
                <w:sz w:val="21"/>
                <w:szCs w:val="21"/>
                <w:lang w:val="en-GB"/>
              </w:rPr>
              <w:t>2017</w:t>
            </w:r>
            <w:r>
              <w:rPr>
                <w:rFonts w:ascii="Times New Roman" w:hAnsi="Times New Roman" w:hint="eastAsia"/>
                <w:b/>
                <w:bCs/>
                <w:sz w:val="21"/>
                <w:szCs w:val="21"/>
                <w:lang w:val="en-GB"/>
              </w:rPr>
              <w:t>年度</w:t>
            </w:r>
          </w:p>
        </w:tc>
        <w:tc>
          <w:tcPr>
            <w:tcW w:w="937" w:type="pct"/>
            <w:vAlign w:val="center"/>
          </w:tcPr>
          <w:p w14:paraId="6C80F199" w14:textId="77777777" w:rsidR="00C02929" w:rsidRDefault="006116D1">
            <w:pPr>
              <w:jc w:val="center"/>
              <w:rPr>
                <w:rFonts w:ascii="Times New Roman" w:hAnsi="Times New Roman"/>
                <w:b/>
                <w:bCs/>
                <w:sz w:val="21"/>
                <w:szCs w:val="21"/>
              </w:rPr>
            </w:pPr>
            <w:r>
              <w:rPr>
                <w:rFonts w:ascii="Times New Roman" w:hAnsi="Times New Roman" w:hint="eastAsia"/>
                <w:b/>
                <w:bCs/>
                <w:sz w:val="21"/>
                <w:szCs w:val="21"/>
                <w:lang w:val="en-GB"/>
              </w:rPr>
              <w:t>2018</w:t>
            </w:r>
            <w:r>
              <w:rPr>
                <w:rFonts w:ascii="Times New Roman" w:hAnsi="Times New Roman" w:hint="eastAsia"/>
                <w:b/>
                <w:bCs/>
                <w:sz w:val="21"/>
                <w:szCs w:val="21"/>
                <w:lang w:val="en-GB"/>
              </w:rPr>
              <w:t>年度</w:t>
            </w:r>
          </w:p>
        </w:tc>
        <w:tc>
          <w:tcPr>
            <w:tcW w:w="1007" w:type="pct"/>
            <w:vAlign w:val="center"/>
          </w:tcPr>
          <w:p w14:paraId="29C1619C" w14:textId="77777777" w:rsidR="00C02929" w:rsidRDefault="006116D1">
            <w:pPr>
              <w:jc w:val="center"/>
              <w:rPr>
                <w:rFonts w:ascii="Times New Roman" w:hAnsi="Times New Roman"/>
                <w:b/>
                <w:bCs/>
                <w:sz w:val="21"/>
                <w:szCs w:val="21"/>
              </w:rPr>
            </w:pPr>
            <w:r>
              <w:rPr>
                <w:rFonts w:ascii="Times New Roman" w:hAnsi="Times New Roman" w:hint="eastAsia"/>
                <w:b/>
                <w:bCs/>
                <w:sz w:val="21"/>
                <w:szCs w:val="21"/>
                <w:lang w:val="en-GB"/>
              </w:rPr>
              <w:t>2019</w:t>
            </w:r>
            <w:r>
              <w:rPr>
                <w:rFonts w:ascii="Times New Roman" w:hAnsi="Times New Roman" w:hint="eastAsia"/>
                <w:b/>
                <w:bCs/>
                <w:sz w:val="21"/>
                <w:szCs w:val="21"/>
                <w:lang w:val="en-GB"/>
              </w:rPr>
              <w:t>年度</w:t>
            </w:r>
          </w:p>
        </w:tc>
        <w:tc>
          <w:tcPr>
            <w:tcW w:w="936" w:type="pct"/>
            <w:vAlign w:val="center"/>
          </w:tcPr>
          <w:p w14:paraId="7ACA6E37" w14:textId="77777777" w:rsidR="00C02929" w:rsidRDefault="006116D1">
            <w:pPr>
              <w:jc w:val="center"/>
              <w:rPr>
                <w:rFonts w:ascii="Times New Roman" w:hAnsi="Times New Roman"/>
                <w:b/>
                <w:bCs/>
                <w:sz w:val="21"/>
                <w:szCs w:val="21"/>
              </w:rPr>
            </w:pPr>
            <w:r>
              <w:rPr>
                <w:rFonts w:ascii="Times New Roman" w:hAnsi="Times New Roman" w:hint="eastAsia"/>
                <w:b/>
                <w:bCs/>
                <w:sz w:val="21"/>
                <w:szCs w:val="21"/>
                <w:lang w:val="en-GB"/>
              </w:rPr>
              <w:t>2020</w:t>
            </w:r>
            <w:r>
              <w:rPr>
                <w:rFonts w:ascii="Times New Roman" w:hAnsi="Times New Roman" w:hint="eastAsia"/>
                <w:b/>
                <w:bCs/>
                <w:sz w:val="21"/>
                <w:szCs w:val="21"/>
                <w:lang w:val="en-GB"/>
              </w:rPr>
              <w:t>年</w:t>
            </w:r>
            <w:r>
              <w:rPr>
                <w:rFonts w:ascii="Times New Roman" w:hAnsi="Times New Roman" w:hint="eastAsia"/>
                <w:b/>
                <w:bCs/>
                <w:sz w:val="21"/>
                <w:szCs w:val="21"/>
                <w:lang w:val="en-GB"/>
              </w:rPr>
              <w:t>1-6</w:t>
            </w:r>
            <w:r>
              <w:rPr>
                <w:rFonts w:ascii="Times New Roman" w:hAnsi="Times New Roman" w:hint="eastAsia"/>
                <w:b/>
                <w:bCs/>
                <w:sz w:val="21"/>
                <w:szCs w:val="21"/>
                <w:lang w:val="en-GB"/>
              </w:rPr>
              <w:t>月</w:t>
            </w:r>
          </w:p>
        </w:tc>
      </w:tr>
      <w:tr w:rsidR="00C02929" w14:paraId="476B7543" w14:textId="77777777">
        <w:trPr>
          <w:trHeight w:val="397"/>
        </w:trPr>
        <w:tc>
          <w:tcPr>
            <w:tcW w:w="1182" w:type="pct"/>
            <w:vAlign w:val="center"/>
          </w:tcPr>
          <w:p w14:paraId="08A9CF71" w14:textId="77777777" w:rsidR="00C02929" w:rsidRDefault="006116D1">
            <w:pPr>
              <w:rPr>
                <w:rFonts w:ascii="Times New Roman" w:hAnsi="Times New Roman"/>
                <w:b/>
                <w:bCs/>
                <w:sz w:val="21"/>
                <w:szCs w:val="21"/>
              </w:rPr>
            </w:pPr>
            <w:r>
              <w:rPr>
                <w:rFonts w:ascii="Times New Roman" w:hAnsi="Times New Roman" w:hint="eastAsia"/>
                <w:b/>
                <w:bCs/>
                <w:sz w:val="21"/>
                <w:szCs w:val="21"/>
              </w:rPr>
              <w:lastRenderedPageBreak/>
              <w:t>按商品类型分类</w:t>
            </w:r>
          </w:p>
        </w:tc>
        <w:tc>
          <w:tcPr>
            <w:tcW w:w="938" w:type="pct"/>
            <w:vAlign w:val="center"/>
          </w:tcPr>
          <w:p w14:paraId="7587CFC1" w14:textId="77777777" w:rsidR="00C02929" w:rsidRDefault="006116D1">
            <w:pPr>
              <w:jc w:val="right"/>
              <w:rPr>
                <w:rFonts w:ascii="Times New Roman" w:hAnsi="Times New Roman"/>
                <w:b/>
                <w:bCs/>
                <w:sz w:val="21"/>
                <w:szCs w:val="21"/>
              </w:rPr>
            </w:pPr>
            <w:r>
              <w:rPr>
                <w:rFonts w:ascii="Times New Roman" w:hAnsi="Times New Roman"/>
                <w:b/>
                <w:bCs/>
                <w:sz w:val="21"/>
                <w:szCs w:val="21"/>
              </w:rPr>
              <w:t>3,397.23</w:t>
            </w:r>
          </w:p>
        </w:tc>
        <w:tc>
          <w:tcPr>
            <w:tcW w:w="937" w:type="pct"/>
            <w:vAlign w:val="center"/>
          </w:tcPr>
          <w:p w14:paraId="763A17AC" w14:textId="77777777" w:rsidR="00C02929" w:rsidRDefault="006116D1">
            <w:pPr>
              <w:jc w:val="right"/>
              <w:rPr>
                <w:rFonts w:ascii="Times New Roman" w:hAnsi="Times New Roman"/>
                <w:b/>
                <w:bCs/>
                <w:sz w:val="21"/>
                <w:szCs w:val="21"/>
              </w:rPr>
            </w:pPr>
            <w:r>
              <w:rPr>
                <w:rFonts w:ascii="Times New Roman" w:hAnsi="Times New Roman"/>
                <w:b/>
                <w:bCs/>
                <w:sz w:val="21"/>
                <w:szCs w:val="21"/>
              </w:rPr>
              <w:t>6,106.09</w:t>
            </w:r>
          </w:p>
        </w:tc>
        <w:tc>
          <w:tcPr>
            <w:tcW w:w="1007" w:type="pct"/>
            <w:vAlign w:val="center"/>
          </w:tcPr>
          <w:p w14:paraId="2DAB055E" w14:textId="77777777" w:rsidR="00C02929" w:rsidRDefault="006116D1">
            <w:pPr>
              <w:jc w:val="right"/>
              <w:rPr>
                <w:rFonts w:ascii="Times New Roman" w:hAnsi="Times New Roman"/>
                <w:b/>
                <w:bCs/>
                <w:sz w:val="21"/>
                <w:szCs w:val="21"/>
              </w:rPr>
            </w:pPr>
            <w:r>
              <w:rPr>
                <w:rFonts w:ascii="Times New Roman" w:hAnsi="Times New Roman"/>
                <w:b/>
                <w:bCs/>
                <w:sz w:val="21"/>
                <w:szCs w:val="21"/>
              </w:rPr>
              <w:t>10,326.14</w:t>
            </w:r>
          </w:p>
        </w:tc>
        <w:tc>
          <w:tcPr>
            <w:tcW w:w="936" w:type="pct"/>
            <w:vAlign w:val="center"/>
          </w:tcPr>
          <w:p w14:paraId="14F99F93" w14:textId="77777777" w:rsidR="00C02929" w:rsidRDefault="006116D1">
            <w:pPr>
              <w:jc w:val="right"/>
              <w:rPr>
                <w:rFonts w:ascii="Times New Roman" w:hAnsi="Times New Roman"/>
                <w:b/>
                <w:bCs/>
                <w:sz w:val="21"/>
                <w:szCs w:val="21"/>
              </w:rPr>
            </w:pPr>
            <w:r>
              <w:rPr>
                <w:rFonts w:ascii="Times New Roman" w:hAnsi="Times New Roman"/>
                <w:b/>
                <w:bCs/>
                <w:sz w:val="21"/>
                <w:szCs w:val="21"/>
              </w:rPr>
              <w:t>4,041.33</w:t>
            </w:r>
          </w:p>
        </w:tc>
      </w:tr>
      <w:tr w:rsidR="00C02929" w14:paraId="02644FCA" w14:textId="77777777">
        <w:trPr>
          <w:trHeight w:val="397"/>
        </w:trPr>
        <w:tc>
          <w:tcPr>
            <w:tcW w:w="1182" w:type="pct"/>
            <w:vAlign w:val="center"/>
          </w:tcPr>
          <w:p w14:paraId="007E6149" w14:textId="77777777" w:rsidR="00C02929" w:rsidRDefault="006116D1">
            <w:pPr>
              <w:rPr>
                <w:rFonts w:ascii="Times New Roman" w:hAnsi="Times New Roman"/>
                <w:sz w:val="21"/>
                <w:szCs w:val="21"/>
              </w:rPr>
            </w:pPr>
            <w:r>
              <w:rPr>
                <w:rFonts w:ascii="Times New Roman" w:hAnsi="Times New Roman" w:hint="eastAsia"/>
                <w:sz w:val="21"/>
                <w:szCs w:val="21"/>
              </w:rPr>
              <w:t>其中：定制化集成</w:t>
            </w:r>
          </w:p>
        </w:tc>
        <w:tc>
          <w:tcPr>
            <w:tcW w:w="938" w:type="pct"/>
            <w:vAlign w:val="center"/>
          </w:tcPr>
          <w:p w14:paraId="0B66EE1C" w14:textId="77777777" w:rsidR="00C02929" w:rsidRDefault="006116D1">
            <w:pPr>
              <w:jc w:val="right"/>
              <w:rPr>
                <w:rFonts w:ascii="Times New Roman" w:hAnsi="Times New Roman"/>
                <w:sz w:val="21"/>
                <w:szCs w:val="21"/>
              </w:rPr>
            </w:pPr>
            <w:r>
              <w:rPr>
                <w:rFonts w:ascii="Times New Roman" w:hAnsi="Times New Roman"/>
                <w:sz w:val="21"/>
                <w:szCs w:val="21"/>
              </w:rPr>
              <w:t>2,246.56</w:t>
            </w:r>
          </w:p>
        </w:tc>
        <w:tc>
          <w:tcPr>
            <w:tcW w:w="937" w:type="pct"/>
            <w:vAlign w:val="center"/>
          </w:tcPr>
          <w:p w14:paraId="06C971AE" w14:textId="77777777" w:rsidR="00C02929" w:rsidRDefault="006116D1">
            <w:pPr>
              <w:jc w:val="right"/>
              <w:rPr>
                <w:rFonts w:ascii="Times New Roman" w:hAnsi="Times New Roman"/>
                <w:sz w:val="21"/>
                <w:szCs w:val="21"/>
              </w:rPr>
            </w:pPr>
            <w:r>
              <w:rPr>
                <w:rFonts w:ascii="Times New Roman" w:hAnsi="Times New Roman"/>
                <w:sz w:val="21"/>
                <w:szCs w:val="21"/>
              </w:rPr>
              <w:t>890.75</w:t>
            </w:r>
          </w:p>
        </w:tc>
        <w:tc>
          <w:tcPr>
            <w:tcW w:w="1007" w:type="pct"/>
            <w:vAlign w:val="center"/>
          </w:tcPr>
          <w:p w14:paraId="791AE674" w14:textId="77777777" w:rsidR="00C02929" w:rsidRDefault="006116D1">
            <w:pPr>
              <w:jc w:val="right"/>
              <w:rPr>
                <w:rFonts w:ascii="Times New Roman" w:hAnsi="Times New Roman"/>
                <w:sz w:val="21"/>
                <w:szCs w:val="21"/>
              </w:rPr>
            </w:pPr>
            <w:r>
              <w:rPr>
                <w:rFonts w:ascii="Times New Roman" w:hAnsi="Times New Roman"/>
                <w:sz w:val="21"/>
                <w:szCs w:val="21"/>
              </w:rPr>
              <w:t>8,544.53</w:t>
            </w:r>
          </w:p>
        </w:tc>
        <w:tc>
          <w:tcPr>
            <w:tcW w:w="936" w:type="pct"/>
            <w:vAlign w:val="center"/>
          </w:tcPr>
          <w:p w14:paraId="1807E837" w14:textId="77777777" w:rsidR="00C02929" w:rsidRDefault="006116D1">
            <w:pPr>
              <w:jc w:val="right"/>
              <w:rPr>
                <w:rFonts w:ascii="Times New Roman" w:hAnsi="Times New Roman"/>
                <w:sz w:val="21"/>
                <w:szCs w:val="21"/>
              </w:rPr>
            </w:pPr>
            <w:r>
              <w:rPr>
                <w:rFonts w:ascii="Times New Roman" w:hAnsi="Times New Roman"/>
                <w:sz w:val="21"/>
                <w:szCs w:val="21"/>
              </w:rPr>
              <w:t>1,650.27</w:t>
            </w:r>
          </w:p>
        </w:tc>
      </w:tr>
      <w:tr w:rsidR="00C02929" w14:paraId="26C090F4" w14:textId="77777777">
        <w:trPr>
          <w:trHeight w:val="397"/>
        </w:trPr>
        <w:tc>
          <w:tcPr>
            <w:tcW w:w="1182" w:type="pct"/>
            <w:vAlign w:val="center"/>
          </w:tcPr>
          <w:p w14:paraId="5D55A8A3" w14:textId="77777777" w:rsidR="00C02929" w:rsidRDefault="006116D1">
            <w:pPr>
              <w:rPr>
                <w:rFonts w:ascii="Times New Roman" w:hAnsi="Times New Roman"/>
                <w:sz w:val="21"/>
                <w:szCs w:val="21"/>
              </w:rPr>
            </w:pPr>
            <w:r>
              <w:rPr>
                <w:rFonts w:ascii="Times New Roman" w:hAnsi="Times New Roman" w:hint="eastAsia"/>
                <w:sz w:val="21"/>
                <w:szCs w:val="21"/>
              </w:rPr>
              <w:t>机器人及配套</w:t>
            </w:r>
          </w:p>
        </w:tc>
        <w:tc>
          <w:tcPr>
            <w:tcW w:w="938" w:type="pct"/>
            <w:vAlign w:val="center"/>
          </w:tcPr>
          <w:p w14:paraId="3A334E28" w14:textId="77777777" w:rsidR="00C02929" w:rsidRDefault="006116D1">
            <w:pPr>
              <w:jc w:val="right"/>
              <w:rPr>
                <w:rFonts w:ascii="Times New Roman" w:hAnsi="Times New Roman"/>
                <w:sz w:val="21"/>
                <w:szCs w:val="21"/>
              </w:rPr>
            </w:pPr>
            <w:r>
              <w:rPr>
                <w:rFonts w:ascii="Times New Roman" w:hAnsi="Times New Roman"/>
                <w:sz w:val="21"/>
                <w:szCs w:val="21"/>
              </w:rPr>
              <w:t>1,150.66</w:t>
            </w:r>
          </w:p>
        </w:tc>
        <w:tc>
          <w:tcPr>
            <w:tcW w:w="937" w:type="pct"/>
            <w:vAlign w:val="center"/>
          </w:tcPr>
          <w:p w14:paraId="5D4A3650" w14:textId="77777777" w:rsidR="00C02929" w:rsidRDefault="006116D1">
            <w:pPr>
              <w:jc w:val="right"/>
              <w:rPr>
                <w:rFonts w:ascii="Times New Roman" w:hAnsi="Times New Roman"/>
                <w:sz w:val="21"/>
                <w:szCs w:val="21"/>
              </w:rPr>
            </w:pPr>
            <w:r>
              <w:rPr>
                <w:rFonts w:ascii="Times New Roman" w:hAnsi="Times New Roman"/>
                <w:sz w:val="21"/>
                <w:szCs w:val="21"/>
              </w:rPr>
              <w:t>5,215.34</w:t>
            </w:r>
          </w:p>
        </w:tc>
        <w:tc>
          <w:tcPr>
            <w:tcW w:w="1007" w:type="pct"/>
            <w:vAlign w:val="center"/>
          </w:tcPr>
          <w:p w14:paraId="0312767B" w14:textId="77777777" w:rsidR="00C02929" w:rsidRDefault="006116D1">
            <w:pPr>
              <w:jc w:val="right"/>
              <w:rPr>
                <w:rFonts w:ascii="Times New Roman" w:hAnsi="Times New Roman"/>
                <w:sz w:val="21"/>
                <w:szCs w:val="21"/>
              </w:rPr>
            </w:pPr>
            <w:r>
              <w:rPr>
                <w:rFonts w:ascii="Times New Roman" w:hAnsi="Times New Roman"/>
                <w:sz w:val="21"/>
                <w:szCs w:val="21"/>
              </w:rPr>
              <w:t>1,781.61</w:t>
            </w:r>
          </w:p>
        </w:tc>
        <w:tc>
          <w:tcPr>
            <w:tcW w:w="936" w:type="pct"/>
            <w:vAlign w:val="center"/>
          </w:tcPr>
          <w:p w14:paraId="7657F0DF" w14:textId="77777777" w:rsidR="00C02929" w:rsidRDefault="006116D1">
            <w:pPr>
              <w:jc w:val="right"/>
              <w:rPr>
                <w:rFonts w:ascii="Times New Roman" w:hAnsi="Times New Roman"/>
                <w:sz w:val="21"/>
                <w:szCs w:val="21"/>
              </w:rPr>
            </w:pPr>
            <w:r>
              <w:rPr>
                <w:rFonts w:ascii="Times New Roman" w:hAnsi="Times New Roman"/>
                <w:sz w:val="21"/>
                <w:szCs w:val="21"/>
              </w:rPr>
              <w:t>2,391.06</w:t>
            </w:r>
          </w:p>
        </w:tc>
      </w:tr>
    </w:tbl>
    <w:p w14:paraId="4485A773" w14:textId="77777777" w:rsidR="00C02929" w:rsidRDefault="006116D1">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fldChar w:fldCharType="begin"/>
      </w:r>
      <w:r>
        <w:rPr>
          <w:rFonts w:ascii="Times New Roman" w:hAnsi="Times New Roman" w:cs="Times New Roman"/>
          <w:lang w:bidi="ar"/>
        </w:rPr>
        <w:instrText xml:space="preserve"> = 1 \* GB3 </w:instrText>
      </w:r>
      <w:r>
        <w:rPr>
          <w:rFonts w:ascii="Times New Roman" w:hAnsi="Times New Roman" w:cs="Times New Roman"/>
          <w:lang w:bidi="ar"/>
        </w:rPr>
        <w:fldChar w:fldCharType="separate"/>
      </w:r>
      <w:r>
        <w:rPr>
          <w:rFonts w:ascii="Times New Roman" w:hAnsi="Times New Roman" w:cs="Times New Roman" w:hint="eastAsia"/>
          <w:lang w:bidi="ar"/>
        </w:rPr>
        <w:t>①</w:t>
      </w:r>
      <w:r>
        <w:rPr>
          <w:rFonts w:ascii="Times New Roman" w:hAnsi="Times New Roman" w:cs="Times New Roman"/>
          <w:lang w:bidi="ar"/>
        </w:rPr>
        <w:fldChar w:fldCharType="end"/>
      </w:r>
      <w:r>
        <w:rPr>
          <w:rFonts w:ascii="Times New Roman" w:hAnsi="Times New Roman" w:cs="Times New Roman"/>
          <w:lang w:bidi="ar"/>
        </w:rPr>
        <w:t>2020</w:t>
      </w:r>
      <w:r>
        <w:rPr>
          <w:rFonts w:ascii="Times New Roman" w:hAnsi="Times New Roman" w:cs="Times New Roman" w:hint="eastAsia"/>
          <w:lang w:bidi="ar"/>
        </w:rPr>
        <w:t>年</w:t>
      </w:r>
      <w:r>
        <w:rPr>
          <w:rFonts w:ascii="Times New Roman" w:hAnsi="Times New Roman" w:cs="Times New Roman"/>
          <w:lang w:bidi="ar"/>
        </w:rPr>
        <w:t>7-12</w:t>
      </w:r>
      <w:r>
        <w:rPr>
          <w:rFonts w:ascii="Times New Roman" w:hAnsi="Times New Roman" w:cs="Times New Roman" w:hint="eastAsia"/>
          <w:lang w:bidi="ar"/>
        </w:rPr>
        <w:t>月收入预测</w:t>
      </w:r>
    </w:p>
    <w:p w14:paraId="5675B33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根据北洋天青至评估报告出具日的在手订单情况、客户近期招投标计划情况结合各业务类型生产工期情况，可以得出</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年度北洋天青预计确认收入金额。通过对全年在手订单的统计，扣减</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年已确认收入金额，即可得出</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w:t>
      </w:r>
      <w:r>
        <w:rPr>
          <w:rFonts w:ascii="Times New Roman" w:hAnsi="Times New Roman" w:cs="Times New Roman"/>
          <w:bCs/>
          <w:color w:val="000000"/>
          <w:szCs w:val="21"/>
          <w:lang w:bidi="ar"/>
        </w:rPr>
        <w:t>7-12</w:t>
      </w:r>
      <w:r>
        <w:rPr>
          <w:rFonts w:ascii="Times New Roman" w:hAnsi="Times New Roman" w:cs="Times New Roman" w:hint="eastAsia"/>
          <w:bCs/>
          <w:color w:val="000000"/>
          <w:szCs w:val="21"/>
          <w:lang w:bidi="ar"/>
        </w:rPr>
        <w:t>月预计确认收入金额。</w:t>
      </w:r>
    </w:p>
    <w:p w14:paraId="7C68B637"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bCs/>
          <w:color w:val="000000"/>
          <w:szCs w:val="21"/>
        </w:rPr>
        <w:t>2020</w:t>
      </w:r>
      <w:r>
        <w:rPr>
          <w:rFonts w:ascii="Times New Roman" w:hAnsi="Times New Roman" w:cs="Times New Roman" w:hint="eastAsia"/>
          <w:bCs/>
          <w:color w:val="000000"/>
          <w:szCs w:val="21"/>
        </w:rPr>
        <w:t>年度，北洋天青在手订单（收入口径）情况如下：</w:t>
      </w:r>
    </w:p>
    <w:p w14:paraId="58236480"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085"/>
        <w:gridCol w:w="2761"/>
        <w:gridCol w:w="2676"/>
      </w:tblGrid>
      <w:tr w:rsidR="00C02929" w14:paraId="28435ACF" w14:textId="77777777">
        <w:trPr>
          <w:trHeight w:val="397"/>
          <w:tblHeader/>
        </w:trPr>
        <w:tc>
          <w:tcPr>
            <w:tcW w:w="1810" w:type="pct"/>
            <w:vMerge w:val="restart"/>
            <w:shd w:val="clear" w:color="auto" w:fill="auto"/>
            <w:noWrap/>
            <w:vAlign w:val="center"/>
          </w:tcPr>
          <w:p w14:paraId="60D35A8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3190" w:type="pct"/>
            <w:gridSpan w:val="2"/>
            <w:shd w:val="clear" w:color="auto" w:fill="auto"/>
            <w:noWrap/>
            <w:vAlign w:val="center"/>
          </w:tcPr>
          <w:p w14:paraId="27454A6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年全年</w:t>
            </w:r>
          </w:p>
        </w:tc>
      </w:tr>
      <w:tr w:rsidR="00C02929" w14:paraId="1EBEB930" w14:textId="77777777">
        <w:trPr>
          <w:trHeight w:val="397"/>
          <w:tblHeader/>
        </w:trPr>
        <w:tc>
          <w:tcPr>
            <w:tcW w:w="1810" w:type="pct"/>
            <w:vMerge/>
            <w:vAlign w:val="center"/>
          </w:tcPr>
          <w:p w14:paraId="3AFF7C6F" w14:textId="77777777" w:rsidR="00C02929" w:rsidRDefault="00C02929">
            <w:pPr>
              <w:rPr>
                <w:rFonts w:ascii="Times New Roman" w:hAnsi="Times New Roman" w:cs="Times New Roman"/>
                <w:b/>
                <w:bCs/>
                <w:sz w:val="21"/>
                <w:szCs w:val="21"/>
              </w:rPr>
            </w:pPr>
          </w:p>
        </w:tc>
        <w:tc>
          <w:tcPr>
            <w:tcW w:w="1620" w:type="pct"/>
            <w:shd w:val="clear" w:color="auto" w:fill="auto"/>
            <w:noWrap/>
            <w:vAlign w:val="center"/>
          </w:tcPr>
          <w:p w14:paraId="765581D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已签</w:t>
            </w:r>
          </w:p>
        </w:tc>
        <w:tc>
          <w:tcPr>
            <w:tcW w:w="1570" w:type="pct"/>
            <w:shd w:val="clear" w:color="auto" w:fill="auto"/>
            <w:noWrap/>
            <w:vAlign w:val="center"/>
          </w:tcPr>
          <w:p w14:paraId="49640FCB"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中标通知书</w:t>
            </w:r>
          </w:p>
        </w:tc>
      </w:tr>
      <w:tr w:rsidR="00C02929" w14:paraId="1914161D" w14:textId="77777777">
        <w:trPr>
          <w:trHeight w:val="397"/>
        </w:trPr>
        <w:tc>
          <w:tcPr>
            <w:tcW w:w="1810" w:type="pct"/>
            <w:shd w:val="clear" w:color="auto" w:fill="auto"/>
            <w:noWrap/>
            <w:vAlign w:val="center"/>
          </w:tcPr>
          <w:p w14:paraId="15D32322" w14:textId="77777777" w:rsidR="00C02929" w:rsidRDefault="006116D1">
            <w:pPr>
              <w:jc w:val="both"/>
              <w:rPr>
                <w:rFonts w:ascii="Times New Roman" w:hAnsi="Times New Roman" w:cs="Times New Roman"/>
                <w:b/>
                <w:bCs/>
                <w:sz w:val="21"/>
                <w:szCs w:val="21"/>
              </w:rPr>
            </w:pPr>
            <w:r>
              <w:rPr>
                <w:rFonts w:ascii="Times New Roman" w:hAnsi="Times New Roman" w:cs="Times New Roman" w:hint="eastAsia"/>
                <w:b/>
                <w:bCs/>
                <w:sz w:val="21"/>
                <w:szCs w:val="21"/>
              </w:rPr>
              <w:t>澳柯玛</w:t>
            </w:r>
          </w:p>
        </w:tc>
        <w:tc>
          <w:tcPr>
            <w:tcW w:w="1620" w:type="pct"/>
            <w:shd w:val="clear" w:color="auto" w:fill="auto"/>
            <w:noWrap/>
            <w:vAlign w:val="center"/>
          </w:tcPr>
          <w:p w14:paraId="5FF787C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4,717.70</w:t>
            </w:r>
          </w:p>
        </w:tc>
        <w:tc>
          <w:tcPr>
            <w:tcW w:w="1570" w:type="pct"/>
            <w:shd w:val="clear" w:color="auto" w:fill="auto"/>
            <w:noWrap/>
            <w:vAlign w:val="center"/>
          </w:tcPr>
          <w:p w14:paraId="3620882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48C89925" w14:textId="77777777">
        <w:trPr>
          <w:trHeight w:val="397"/>
        </w:trPr>
        <w:tc>
          <w:tcPr>
            <w:tcW w:w="1810" w:type="pct"/>
            <w:shd w:val="clear" w:color="auto" w:fill="auto"/>
            <w:noWrap/>
            <w:vAlign w:val="center"/>
          </w:tcPr>
          <w:p w14:paraId="32A11720"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能源配套</w:t>
            </w:r>
          </w:p>
        </w:tc>
        <w:tc>
          <w:tcPr>
            <w:tcW w:w="1620" w:type="pct"/>
            <w:shd w:val="clear" w:color="auto" w:fill="auto"/>
            <w:noWrap/>
            <w:vAlign w:val="center"/>
          </w:tcPr>
          <w:p w14:paraId="6900F02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1570" w:type="pct"/>
            <w:shd w:val="clear" w:color="auto" w:fill="auto"/>
            <w:noWrap/>
            <w:vAlign w:val="center"/>
          </w:tcPr>
          <w:p w14:paraId="6409031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7F742231" w14:textId="77777777">
        <w:trPr>
          <w:trHeight w:val="397"/>
        </w:trPr>
        <w:tc>
          <w:tcPr>
            <w:tcW w:w="1810" w:type="pct"/>
            <w:shd w:val="clear" w:color="auto" w:fill="auto"/>
            <w:noWrap/>
            <w:vAlign w:val="center"/>
          </w:tcPr>
          <w:p w14:paraId="52A7E9B8"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1620" w:type="pct"/>
            <w:shd w:val="clear" w:color="auto" w:fill="auto"/>
            <w:noWrap/>
            <w:vAlign w:val="center"/>
          </w:tcPr>
          <w:p w14:paraId="0EBE2A6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3,971.95</w:t>
            </w:r>
          </w:p>
        </w:tc>
        <w:tc>
          <w:tcPr>
            <w:tcW w:w="1570" w:type="pct"/>
            <w:shd w:val="clear" w:color="auto" w:fill="auto"/>
            <w:noWrap/>
            <w:vAlign w:val="center"/>
          </w:tcPr>
          <w:p w14:paraId="306DCD9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33F87917" w14:textId="77777777">
        <w:trPr>
          <w:trHeight w:val="397"/>
        </w:trPr>
        <w:tc>
          <w:tcPr>
            <w:tcW w:w="1810" w:type="pct"/>
            <w:shd w:val="clear" w:color="auto" w:fill="auto"/>
            <w:noWrap/>
            <w:vAlign w:val="center"/>
          </w:tcPr>
          <w:p w14:paraId="2550AEEF"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hint="eastAsia"/>
                <w:sz w:val="21"/>
                <w:szCs w:val="21"/>
              </w:rPr>
              <w:t>-</w:t>
            </w:r>
            <w:r>
              <w:rPr>
                <w:rFonts w:ascii="Times New Roman" w:hAnsi="Times New Roman" w:cs="Times New Roman" w:hint="eastAsia"/>
                <w:sz w:val="21"/>
                <w:szCs w:val="21"/>
              </w:rPr>
              <w:t>总装</w:t>
            </w:r>
          </w:p>
        </w:tc>
        <w:tc>
          <w:tcPr>
            <w:tcW w:w="1620" w:type="pct"/>
            <w:shd w:val="clear" w:color="auto" w:fill="auto"/>
            <w:noWrap/>
            <w:vAlign w:val="center"/>
          </w:tcPr>
          <w:p w14:paraId="2353C77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442.12</w:t>
            </w:r>
          </w:p>
        </w:tc>
        <w:tc>
          <w:tcPr>
            <w:tcW w:w="1570" w:type="pct"/>
            <w:shd w:val="clear" w:color="auto" w:fill="auto"/>
            <w:noWrap/>
            <w:vAlign w:val="center"/>
          </w:tcPr>
          <w:p w14:paraId="6018D6E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6AA3E4F2" w14:textId="77777777">
        <w:trPr>
          <w:trHeight w:val="397"/>
        </w:trPr>
        <w:tc>
          <w:tcPr>
            <w:tcW w:w="1810" w:type="pct"/>
            <w:shd w:val="clear" w:color="auto" w:fill="auto"/>
            <w:noWrap/>
            <w:vAlign w:val="center"/>
          </w:tcPr>
          <w:p w14:paraId="5E4A2ACA"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1620" w:type="pct"/>
            <w:shd w:val="clear" w:color="auto" w:fill="auto"/>
            <w:noWrap/>
            <w:vAlign w:val="center"/>
          </w:tcPr>
          <w:p w14:paraId="5E58738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303.63</w:t>
            </w:r>
          </w:p>
        </w:tc>
        <w:tc>
          <w:tcPr>
            <w:tcW w:w="1570" w:type="pct"/>
            <w:shd w:val="clear" w:color="auto" w:fill="auto"/>
            <w:noWrap/>
            <w:vAlign w:val="center"/>
          </w:tcPr>
          <w:p w14:paraId="0253F9D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2E47F8EF" w14:textId="77777777">
        <w:trPr>
          <w:trHeight w:val="397"/>
        </w:trPr>
        <w:tc>
          <w:tcPr>
            <w:tcW w:w="1810" w:type="pct"/>
            <w:shd w:val="clear" w:color="auto" w:fill="auto"/>
            <w:noWrap/>
            <w:vAlign w:val="center"/>
          </w:tcPr>
          <w:p w14:paraId="2C931B31" w14:textId="77777777" w:rsidR="00C02929" w:rsidRDefault="006116D1">
            <w:pPr>
              <w:jc w:val="both"/>
              <w:rPr>
                <w:rFonts w:ascii="Times New Roman" w:hAnsi="Times New Roman" w:cs="Times New Roman"/>
                <w:b/>
                <w:bCs/>
                <w:sz w:val="21"/>
                <w:szCs w:val="21"/>
              </w:rPr>
            </w:pPr>
            <w:r>
              <w:rPr>
                <w:rFonts w:ascii="Times New Roman" w:hAnsi="Times New Roman" w:cs="Times New Roman" w:hint="eastAsia"/>
                <w:b/>
                <w:bCs/>
                <w:sz w:val="21"/>
                <w:szCs w:val="21"/>
              </w:rPr>
              <w:t>海尔</w:t>
            </w:r>
          </w:p>
        </w:tc>
        <w:tc>
          <w:tcPr>
            <w:tcW w:w="1620" w:type="pct"/>
            <w:shd w:val="clear" w:color="auto" w:fill="auto"/>
            <w:noWrap/>
            <w:vAlign w:val="center"/>
          </w:tcPr>
          <w:p w14:paraId="2286FA4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10,044.60</w:t>
            </w:r>
          </w:p>
        </w:tc>
        <w:tc>
          <w:tcPr>
            <w:tcW w:w="1570" w:type="pct"/>
            <w:shd w:val="clear" w:color="auto" w:fill="auto"/>
            <w:noWrap/>
            <w:vAlign w:val="center"/>
          </w:tcPr>
          <w:p w14:paraId="2F3C103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620.35</w:t>
            </w:r>
          </w:p>
        </w:tc>
      </w:tr>
      <w:tr w:rsidR="00C02929" w14:paraId="62D78B21" w14:textId="77777777">
        <w:trPr>
          <w:trHeight w:val="397"/>
        </w:trPr>
        <w:tc>
          <w:tcPr>
            <w:tcW w:w="1810" w:type="pct"/>
            <w:shd w:val="clear" w:color="auto" w:fill="auto"/>
            <w:noWrap/>
            <w:vAlign w:val="center"/>
          </w:tcPr>
          <w:p w14:paraId="1A25BD92"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hint="eastAsia"/>
                <w:sz w:val="21"/>
                <w:szCs w:val="21"/>
              </w:rPr>
              <w:t>-</w:t>
            </w:r>
            <w:r>
              <w:rPr>
                <w:rFonts w:ascii="Times New Roman" w:hAnsi="Times New Roman" w:cs="Times New Roman" w:hint="eastAsia"/>
                <w:sz w:val="21"/>
                <w:szCs w:val="21"/>
              </w:rPr>
              <w:t>模具自动化仓储</w:t>
            </w:r>
          </w:p>
        </w:tc>
        <w:tc>
          <w:tcPr>
            <w:tcW w:w="1620" w:type="pct"/>
            <w:shd w:val="clear" w:color="auto" w:fill="auto"/>
            <w:noWrap/>
            <w:vAlign w:val="center"/>
          </w:tcPr>
          <w:p w14:paraId="34E64E3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1570" w:type="pct"/>
            <w:shd w:val="clear" w:color="auto" w:fill="auto"/>
            <w:noWrap/>
            <w:vAlign w:val="center"/>
          </w:tcPr>
          <w:p w14:paraId="0253C5C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0362C003" w14:textId="77777777">
        <w:trPr>
          <w:trHeight w:val="397"/>
        </w:trPr>
        <w:tc>
          <w:tcPr>
            <w:tcW w:w="1810" w:type="pct"/>
            <w:shd w:val="clear" w:color="auto" w:fill="auto"/>
            <w:noWrap/>
            <w:vAlign w:val="center"/>
          </w:tcPr>
          <w:p w14:paraId="02016C67"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物流悬挂输送系统</w:t>
            </w:r>
            <w:r>
              <w:rPr>
                <w:rFonts w:ascii="Times New Roman" w:hAnsi="Times New Roman" w:cs="Times New Roman"/>
                <w:sz w:val="21"/>
                <w:szCs w:val="21"/>
              </w:rPr>
              <w:t>-</w:t>
            </w:r>
            <w:r>
              <w:rPr>
                <w:rFonts w:ascii="Times New Roman" w:hAnsi="Times New Roman" w:cs="Times New Roman" w:hint="eastAsia"/>
                <w:sz w:val="21"/>
                <w:szCs w:val="21"/>
              </w:rPr>
              <w:t>悬挂链</w:t>
            </w:r>
          </w:p>
        </w:tc>
        <w:tc>
          <w:tcPr>
            <w:tcW w:w="1620" w:type="pct"/>
            <w:shd w:val="clear" w:color="auto" w:fill="auto"/>
            <w:noWrap/>
            <w:vAlign w:val="center"/>
          </w:tcPr>
          <w:p w14:paraId="0BA855C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1,432.74</w:t>
            </w:r>
          </w:p>
        </w:tc>
        <w:tc>
          <w:tcPr>
            <w:tcW w:w="1570" w:type="pct"/>
            <w:shd w:val="clear" w:color="auto" w:fill="auto"/>
            <w:noWrap/>
            <w:vAlign w:val="center"/>
          </w:tcPr>
          <w:p w14:paraId="53EE98A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5E45570C" w14:textId="77777777">
        <w:trPr>
          <w:trHeight w:val="397"/>
        </w:trPr>
        <w:tc>
          <w:tcPr>
            <w:tcW w:w="1810" w:type="pct"/>
            <w:shd w:val="clear" w:color="auto" w:fill="auto"/>
            <w:noWrap/>
            <w:vAlign w:val="center"/>
          </w:tcPr>
          <w:p w14:paraId="7E6CE19E"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1620" w:type="pct"/>
            <w:shd w:val="clear" w:color="auto" w:fill="auto"/>
            <w:noWrap/>
            <w:vAlign w:val="center"/>
          </w:tcPr>
          <w:p w14:paraId="321862E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1,783.36</w:t>
            </w:r>
          </w:p>
        </w:tc>
        <w:tc>
          <w:tcPr>
            <w:tcW w:w="1570" w:type="pct"/>
            <w:shd w:val="clear" w:color="auto" w:fill="auto"/>
            <w:noWrap/>
            <w:vAlign w:val="center"/>
          </w:tcPr>
          <w:p w14:paraId="6C9654E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0213E1C9" w14:textId="77777777">
        <w:trPr>
          <w:trHeight w:val="397"/>
        </w:trPr>
        <w:tc>
          <w:tcPr>
            <w:tcW w:w="1810" w:type="pct"/>
            <w:shd w:val="clear" w:color="auto" w:fill="auto"/>
            <w:noWrap/>
            <w:vAlign w:val="center"/>
          </w:tcPr>
          <w:p w14:paraId="25295BE0"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1620" w:type="pct"/>
            <w:shd w:val="clear" w:color="auto" w:fill="auto"/>
            <w:noWrap/>
            <w:vAlign w:val="center"/>
          </w:tcPr>
          <w:p w14:paraId="3EB6652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1,154.25</w:t>
            </w:r>
          </w:p>
        </w:tc>
        <w:tc>
          <w:tcPr>
            <w:tcW w:w="1570" w:type="pct"/>
            <w:shd w:val="clear" w:color="auto" w:fill="auto"/>
            <w:noWrap/>
            <w:vAlign w:val="center"/>
          </w:tcPr>
          <w:p w14:paraId="7653A5F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620.35</w:t>
            </w:r>
          </w:p>
        </w:tc>
      </w:tr>
      <w:tr w:rsidR="00C02929" w14:paraId="4B303483" w14:textId="77777777">
        <w:trPr>
          <w:trHeight w:val="397"/>
        </w:trPr>
        <w:tc>
          <w:tcPr>
            <w:tcW w:w="1810" w:type="pct"/>
            <w:shd w:val="clear" w:color="auto" w:fill="auto"/>
            <w:noWrap/>
            <w:vAlign w:val="center"/>
          </w:tcPr>
          <w:p w14:paraId="4FC98DB2"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机器人本体</w:t>
            </w:r>
          </w:p>
        </w:tc>
        <w:tc>
          <w:tcPr>
            <w:tcW w:w="1620" w:type="pct"/>
            <w:shd w:val="clear" w:color="auto" w:fill="auto"/>
            <w:noWrap/>
            <w:vAlign w:val="center"/>
          </w:tcPr>
          <w:p w14:paraId="024DCFE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630.09</w:t>
            </w:r>
          </w:p>
        </w:tc>
        <w:tc>
          <w:tcPr>
            <w:tcW w:w="1570" w:type="pct"/>
            <w:shd w:val="clear" w:color="auto" w:fill="auto"/>
            <w:noWrap/>
            <w:vAlign w:val="center"/>
          </w:tcPr>
          <w:p w14:paraId="7E2E243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6CEF5832" w14:textId="77777777">
        <w:trPr>
          <w:trHeight w:val="397"/>
        </w:trPr>
        <w:tc>
          <w:tcPr>
            <w:tcW w:w="1810" w:type="pct"/>
            <w:shd w:val="clear" w:color="auto" w:fill="auto"/>
            <w:noWrap/>
            <w:vAlign w:val="center"/>
          </w:tcPr>
          <w:p w14:paraId="135B70F7"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机器人集成应用（含压机）</w:t>
            </w:r>
          </w:p>
        </w:tc>
        <w:tc>
          <w:tcPr>
            <w:tcW w:w="1620" w:type="pct"/>
            <w:shd w:val="clear" w:color="auto" w:fill="auto"/>
            <w:noWrap/>
            <w:vAlign w:val="center"/>
          </w:tcPr>
          <w:p w14:paraId="3609725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5,044.16</w:t>
            </w:r>
          </w:p>
        </w:tc>
        <w:tc>
          <w:tcPr>
            <w:tcW w:w="1570" w:type="pct"/>
            <w:shd w:val="clear" w:color="auto" w:fill="auto"/>
            <w:noWrap/>
            <w:vAlign w:val="center"/>
          </w:tcPr>
          <w:p w14:paraId="23757AA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027C6D55" w14:textId="77777777">
        <w:trPr>
          <w:trHeight w:val="397"/>
        </w:trPr>
        <w:tc>
          <w:tcPr>
            <w:tcW w:w="1810" w:type="pct"/>
            <w:shd w:val="clear" w:color="auto" w:fill="auto"/>
            <w:noWrap/>
            <w:vAlign w:val="center"/>
          </w:tcPr>
          <w:p w14:paraId="351755D9" w14:textId="77777777" w:rsidR="00C02929" w:rsidRDefault="006116D1">
            <w:pPr>
              <w:jc w:val="both"/>
              <w:rPr>
                <w:rFonts w:ascii="Times New Roman" w:hAnsi="Times New Roman" w:cs="Times New Roman"/>
                <w:b/>
                <w:bCs/>
                <w:sz w:val="21"/>
                <w:szCs w:val="21"/>
              </w:rPr>
            </w:pPr>
            <w:r>
              <w:rPr>
                <w:rFonts w:ascii="Times New Roman" w:hAnsi="Times New Roman" w:cs="Times New Roman" w:hint="eastAsia"/>
                <w:b/>
                <w:bCs/>
                <w:sz w:val="21"/>
                <w:szCs w:val="21"/>
              </w:rPr>
              <w:t>海信</w:t>
            </w:r>
          </w:p>
        </w:tc>
        <w:tc>
          <w:tcPr>
            <w:tcW w:w="1620" w:type="pct"/>
            <w:shd w:val="clear" w:color="auto" w:fill="auto"/>
            <w:noWrap/>
            <w:vAlign w:val="center"/>
          </w:tcPr>
          <w:p w14:paraId="5B453E0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312.39</w:t>
            </w:r>
          </w:p>
        </w:tc>
        <w:tc>
          <w:tcPr>
            <w:tcW w:w="1570" w:type="pct"/>
            <w:shd w:val="clear" w:color="auto" w:fill="auto"/>
            <w:noWrap/>
            <w:vAlign w:val="center"/>
          </w:tcPr>
          <w:p w14:paraId="0A693E0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6D57F4F0" w14:textId="77777777">
        <w:trPr>
          <w:trHeight w:val="397"/>
        </w:trPr>
        <w:tc>
          <w:tcPr>
            <w:tcW w:w="1810" w:type="pct"/>
            <w:shd w:val="clear" w:color="auto" w:fill="auto"/>
            <w:noWrap/>
            <w:vAlign w:val="center"/>
          </w:tcPr>
          <w:p w14:paraId="7A7AF57F"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1620" w:type="pct"/>
            <w:shd w:val="clear" w:color="auto" w:fill="auto"/>
            <w:noWrap/>
            <w:vAlign w:val="center"/>
          </w:tcPr>
          <w:p w14:paraId="5A28FC0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1570" w:type="pct"/>
            <w:shd w:val="clear" w:color="auto" w:fill="auto"/>
            <w:noWrap/>
            <w:vAlign w:val="center"/>
          </w:tcPr>
          <w:p w14:paraId="71588E4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32B24CD3" w14:textId="77777777">
        <w:trPr>
          <w:trHeight w:val="397"/>
        </w:trPr>
        <w:tc>
          <w:tcPr>
            <w:tcW w:w="1810" w:type="pct"/>
            <w:shd w:val="clear" w:color="auto" w:fill="auto"/>
            <w:noWrap/>
            <w:vAlign w:val="center"/>
          </w:tcPr>
          <w:p w14:paraId="625C9ACA"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1620" w:type="pct"/>
            <w:shd w:val="clear" w:color="auto" w:fill="auto"/>
            <w:noWrap/>
            <w:vAlign w:val="center"/>
          </w:tcPr>
          <w:p w14:paraId="15AB1E1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312.39</w:t>
            </w:r>
          </w:p>
        </w:tc>
        <w:tc>
          <w:tcPr>
            <w:tcW w:w="1570" w:type="pct"/>
            <w:shd w:val="clear" w:color="auto" w:fill="auto"/>
            <w:noWrap/>
            <w:vAlign w:val="center"/>
          </w:tcPr>
          <w:p w14:paraId="60AEF32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58170140" w14:textId="77777777">
        <w:trPr>
          <w:trHeight w:val="397"/>
        </w:trPr>
        <w:tc>
          <w:tcPr>
            <w:tcW w:w="1810" w:type="pct"/>
            <w:shd w:val="clear" w:color="auto" w:fill="auto"/>
            <w:noWrap/>
            <w:vAlign w:val="center"/>
          </w:tcPr>
          <w:p w14:paraId="7D39FC96" w14:textId="77777777" w:rsidR="00C02929" w:rsidRDefault="006116D1">
            <w:pPr>
              <w:jc w:val="both"/>
              <w:rPr>
                <w:rFonts w:ascii="Times New Roman" w:hAnsi="Times New Roman" w:cs="Times New Roman"/>
                <w:b/>
                <w:bCs/>
                <w:sz w:val="21"/>
                <w:szCs w:val="21"/>
              </w:rPr>
            </w:pPr>
            <w:r>
              <w:rPr>
                <w:rFonts w:ascii="Times New Roman" w:hAnsi="Times New Roman" w:cs="Times New Roman" w:hint="eastAsia"/>
                <w:b/>
                <w:bCs/>
                <w:sz w:val="21"/>
                <w:szCs w:val="21"/>
              </w:rPr>
              <w:t>崂山矿泉水</w:t>
            </w:r>
          </w:p>
        </w:tc>
        <w:tc>
          <w:tcPr>
            <w:tcW w:w="1620" w:type="pct"/>
            <w:shd w:val="clear" w:color="auto" w:fill="auto"/>
            <w:noWrap/>
            <w:vAlign w:val="center"/>
          </w:tcPr>
          <w:p w14:paraId="349C00B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11.54</w:t>
            </w:r>
          </w:p>
        </w:tc>
        <w:tc>
          <w:tcPr>
            <w:tcW w:w="1570" w:type="pct"/>
            <w:shd w:val="clear" w:color="auto" w:fill="auto"/>
            <w:noWrap/>
            <w:vAlign w:val="center"/>
          </w:tcPr>
          <w:p w14:paraId="5FD3B6C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38E4862E" w14:textId="77777777">
        <w:trPr>
          <w:trHeight w:val="397"/>
        </w:trPr>
        <w:tc>
          <w:tcPr>
            <w:tcW w:w="1810" w:type="pct"/>
            <w:shd w:val="clear" w:color="auto" w:fill="auto"/>
            <w:noWrap/>
            <w:vAlign w:val="center"/>
          </w:tcPr>
          <w:p w14:paraId="0597C6C0" w14:textId="77777777" w:rsidR="00C02929" w:rsidRDefault="006116D1">
            <w:pPr>
              <w:ind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1620" w:type="pct"/>
            <w:shd w:val="clear" w:color="auto" w:fill="auto"/>
            <w:noWrap/>
            <w:vAlign w:val="center"/>
          </w:tcPr>
          <w:p w14:paraId="2AB066B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11.54</w:t>
            </w:r>
          </w:p>
        </w:tc>
        <w:tc>
          <w:tcPr>
            <w:tcW w:w="1570" w:type="pct"/>
            <w:shd w:val="clear" w:color="auto" w:fill="auto"/>
            <w:noWrap/>
            <w:vAlign w:val="center"/>
          </w:tcPr>
          <w:p w14:paraId="4C60CEA6" w14:textId="77777777" w:rsidR="00C02929" w:rsidRDefault="00C02929">
            <w:pPr>
              <w:jc w:val="right"/>
              <w:rPr>
                <w:rFonts w:ascii="Times New Roman" w:hAnsi="Times New Roman" w:cs="Times New Roman"/>
                <w:sz w:val="21"/>
                <w:szCs w:val="21"/>
              </w:rPr>
            </w:pPr>
          </w:p>
        </w:tc>
      </w:tr>
      <w:tr w:rsidR="00C02929" w14:paraId="267CFBD5" w14:textId="77777777">
        <w:trPr>
          <w:trHeight w:val="397"/>
        </w:trPr>
        <w:tc>
          <w:tcPr>
            <w:tcW w:w="1810" w:type="pct"/>
            <w:shd w:val="clear" w:color="auto" w:fill="auto"/>
            <w:noWrap/>
            <w:vAlign w:val="center"/>
          </w:tcPr>
          <w:p w14:paraId="31FC5E51" w14:textId="77777777" w:rsidR="00C02929" w:rsidRDefault="006116D1">
            <w:pPr>
              <w:ind w:firstLineChars="100" w:firstLine="211"/>
              <w:jc w:val="both"/>
              <w:rPr>
                <w:rFonts w:ascii="Times New Roman" w:hAnsi="Times New Roman" w:cs="Times New Roman"/>
                <w:b/>
                <w:bCs/>
                <w:sz w:val="21"/>
                <w:szCs w:val="21"/>
              </w:rPr>
            </w:pPr>
            <w:r>
              <w:rPr>
                <w:rFonts w:ascii="Times New Roman" w:hAnsi="Times New Roman" w:cs="Times New Roman" w:hint="eastAsia"/>
                <w:b/>
                <w:bCs/>
                <w:sz w:val="21"/>
                <w:szCs w:val="21"/>
              </w:rPr>
              <w:t>小计</w:t>
            </w:r>
          </w:p>
        </w:tc>
        <w:tc>
          <w:tcPr>
            <w:tcW w:w="1620" w:type="pct"/>
            <w:shd w:val="clear" w:color="auto" w:fill="auto"/>
            <w:noWrap/>
            <w:vAlign w:val="center"/>
          </w:tcPr>
          <w:p w14:paraId="39BB0778"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15,086.23</w:t>
            </w:r>
          </w:p>
        </w:tc>
        <w:tc>
          <w:tcPr>
            <w:tcW w:w="1570" w:type="pct"/>
            <w:shd w:val="clear" w:color="auto" w:fill="auto"/>
            <w:noWrap/>
            <w:vAlign w:val="center"/>
          </w:tcPr>
          <w:p w14:paraId="571A495B"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620.35</w:t>
            </w:r>
          </w:p>
        </w:tc>
      </w:tr>
      <w:tr w:rsidR="00C02929" w14:paraId="0D8694AC" w14:textId="77777777">
        <w:trPr>
          <w:trHeight w:val="397"/>
        </w:trPr>
        <w:tc>
          <w:tcPr>
            <w:tcW w:w="1810" w:type="pct"/>
            <w:shd w:val="clear" w:color="auto" w:fill="auto"/>
            <w:noWrap/>
            <w:vAlign w:val="center"/>
          </w:tcPr>
          <w:p w14:paraId="23D5D0B4"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lastRenderedPageBreak/>
              <w:t>合计</w:t>
            </w:r>
          </w:p>
        </w:tc>
        <w:tc>
          <w:tcPr>
            <w:tcW w:w="3190" w:type="pct"/>
            <w:gridSpan w:val="2"/>
            <w:shd w:val="clear" w:color="auto" w:fill="auto"/>
            <w:noWrap/>
            <w:vAlign w:val="center"/>
          </w:tcPr>
          <w:p w14:paraId="5CB45751"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15,706.59</w:t>
            </w:r>
          </w:p>
        </w:tc>
      </w:tr>
    </w:tbl>
    <w:p w14:paraId="7F024094"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由上表可以看出，北洋天青</w:t>
      </w:r>
      <w:r>
        <w:rPr>
          <w:rFonts w:ascii="Times New Roman" w:hAnsi="Times New Roman" w:cs="Times New Roman"/>
          <w:bCs/>
          <w:color w:val="000000"/>
          <w:szCs w:val="21"/>
        </w:rPr>
        <w:t>2020</w:t>
      </w:r>
      <w:r>
        <w:rPr>
          <w:rFonts w:ascii="Times New Roman" w:hAnsi="Times New Roman" w:cs="Times New Roman" w:hint="eastAsia"/>
          <w:bCs/>
          <w:color w:val="000000"/>
          <w:szCs w:val="21"/>
        </w:rPr>
        <w:t>年全年预计确认收入金额为</w:t>
      </w:r>
      <w:r>
        <w:rPr>
          <w:rFonts w:ascii="Times New Roman" w:hAnsi="Times New Roman" w:cs="Times New Roman"/>
          <w:bCs/>
          <w:color w:val="000000"/>
          <w:szCs w:val="21"/>
        </w:rPr>
        <w:t>15,706.59</w:t>
      </w:r>
      <w:r>
        <w:rPr>
          <w:rFonts w:ascii="Times New Roman" w:hAnsi="Times New Roman" w:cs="Times New Roman" w:hint="eastAsia"/>
          <w:bCs/>
          <w:color w:val="000000"/>
          <w:szCs w:val="21"/>
        </w:rPr>
        <w:t>万元，</w:t>
      </w:r>
      <w:r>
        <w:rPr>
          <w:rFonts w:ascii="Times New Roman" w:hAnsi="Times New Roman" w:cs="Times New Roman"/>
          <w:bCs/>
          <w:color w:val="000000"/>
          <w:szCs w:val="21"/>
        </w:rPr>
        <w:t>1-6</w:t>
      </w:r>
      <w:r>
        <w:rPr>
          <w:rFonts w:ascii="Times New Roman" w:hAnsi="Times New Roman" w:cs="Times New Roman" w:hint="eastAsia"/>
          <w:bCs/>
          <w:color w:val="000000"/>
          <w:szCs w:val="21"/>
        </w:rPr>
        <w:t>月已确认收入金额</w:t>
      </w:r>
      <w:r>
        <w:rPr>
          <w:rFonts w:ascii="Times New Roman" w:hAnsi="Times New Roman" w:cs="Times New Roman"/>
          <w:bCs/>
          <w:color w:val="000000"/>
          <w:szCs w:val="21"/>
        </w:rPr>
        <w:t>4,041.33</w:t>
      </w:r>
      <w:r>
        <w:rPr>
          <w:rFonts w:ascii="Times New Roman" w:hAnsi="Times New Roman" w:cs="Times New Roman" w:hint="eastAsia"/>
          <w:bCs/>
          <w:color w:val="000000"/>
          <w:szCs w:val="21"/>
        </w:rPr>
        <w:t>万元，</w:t>
      </w:r>
      <w:r>
        <w:rPr>
          <w:rFonts w:ascii="Times New Roman" w:hAnsi="Times New Roman" w:cs="Times New Roman"/>
          <w:bCs/>
          <w:color w:val="000000"/>
          <w:szCs w:val="21"/>
        </w:rPr>
        <w:t>7-12</w:t>
      </w:r>
      <w:r>
        <w:rPr>
          <w:rFonts w:ascii="Times New Roman" w:hAnsi="Times New Roman" w:cs="Times New Roman" w:hint="eastAsia"/>
          <w:bCs/>
          <w:color w:val="000000"/>
          <w:szCs w:val="21"/>
        </w:rPr>
        <w:t>月预计确认收入金额为</w:t>
      </w:r>
      <w:r>
        <w:rPr>
          <w:rFonts w:ascii="Times New Roman" w:hAnsi="Times New Roman" w:cs="Times New Roman"/>
          <w:bCs/>
          <w:color w:val="000000"/>
          <w:szCs w:val="21"/>
        </w:rPr>
        <w:t>11,665.26</w:t>
      </w:r>
      <w:r>
        <w:rPr>
          <w:rFonts w:ascii="Times New Roman" w:hAnsi="Times New Roman" w:cs="Times New Roman" w:hint="eastAsia"/>
          <w:bCs/>
          <w:color w:val="000000"/>
          <w:szCs w:val="21"/>
        </w:rPr>
        <w:t>万元。详细情况如下：</w:t>
      </w:r>
    </w:p>
    <w:p w14:paraId="14747384"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424"/>
        <w:gridCol w:w="2033"/>
        <w:gridCol w:w="2033"/>
        <w:gridCol w:w="2032"/>
      </w:tblGrid>
      <w:tr w:rsidR="00C02929" w14:paraId="78A8120A" w14:textId="77777777">
        <w:trPr>
          <w:trHeight w:val="397"/>
          <w:tblHeader/>
        </w:trPr>
        <w:tc>
          <w:tcPr>
            <w:tcW w:w="1422" w:type="pct"/>
            <w:vAlign w:val="center"/>
          </w:tcPr>
          <w:p w14:paraId="52804B45" w14:textId="77777777" w:rsidR="00C02929" w:rsidRDefault="006116D1">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合同分类</w:t>
            </w:r>
          </w:p>
        </w:tc>
        <w:tc>
          <w:tcPr>
            <w:tcW w:w="1193" w:type="pct"/>
            <w:vAlign w:val="center"/>
          </w:tcPr>
          <w:p w14:paraId="1ED47860" w14:textId="77777777" w:rsidR="00C02929" w:rsidRDefault="006116D1">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1-6</w:t>
            </w:r>
            <w:r>
              <w:rPr>
                <w:rFonts w:ascii="Times New Roman" w:hAnsi="Times New Roman" w:cs="Times New Roman" w:hint="eastAsia"/>
                <w:b/>
                <w:bCs/>
                <w:sz w:val="21"/>
                <w:szCs w:val="21"/>
              </w:rPr>
              <w:t>月</w:t>
            </w:r>
          </w:p>
        </w:tc>
        <w:tc>
          <w:tcPr>
            <w:tcW w:w="1193" w:type="pct"/>
            <w:vAlign w:val="center"/>
          </w:tcPr>
          <w:p w14:paraId="581ABA57" w14:textId="77777777" w:rsidR="00C02929" w:rsidRDefault="006116D1">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1192" w:type="pct"/>
            <w:vAlign w:val="center"/>
          </w:tcPr>
          <w:p w14:paraId="146B6FAE" w14:textId="77777777" w:rsidR="00C02929" w:rsidRDefault="006116D1">
            <w:pPr>
              <w:autoSpaceDE w:val="0"/>
              <w:autoSpaceDN w:val="0"/>
              <w:adjustRightIn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p>
        </w:tc>
      </w:tr>
      <w:tr w:rsidR="00C02929" w14:paraId="50BA547C" w14:textId="77777777">
        <w:trPr>
          <w:trHeight w:val="397"/>
        </w:trPr>
        <w:tc>
          <w:tcPr>
            <w:tcW w:w="1422" w:type="pct"/>
            <w:vAlign w:val="center"/>
          </w:tcPr>
          <w:p w14:paraId="62C913CC" w14:textId="77777777" w:rsidR="00C02929" w:rsidRDefault="006116D1">
            <w:pPr>
              <w:autoSpaceDE w:val="0"/>
              <w:autoSpaceDN w:val="0"/>
              <w:adjustRightInd w:val="0"/>
              <w:jc w:val="both"/>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1193" w:type="pct"/>
            <w:vAlign w:val="center"/>
          </w:tcPr>
          <w:p w14:paraId="57097736"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4,041.33</w:t>
            </w:r>
          </w:p>
        </w:tc>
        <w:tc>
          <w:tcPr>
            <w:tcW w:w="1193" w:type="pct"/>
            <w:vAlign w:val="center"/>
          </w:tcPr>
          <w:p w14:paraId="212F475C"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11,665.26</w:t>
            </w:r>
          </w:p>
        </w:tc>
        <w:tc>
          <w:tcPr>
            <w:tcW w:w="1192" w:type="pct"/>
            <w:vAlign w:val="center"/>
          </w:tcPr>
          <w:p w14:paraId="2DD147C0"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15,706.59</w:t>
            </w:r>
          </w:p>
        </w:tc>
      </w:tr>
      <w:tr w:rsidR="00C02929" w14:paraId="5C026D65" w14:textId="77777777">
        <w:trPr>
          <w:trHeight w:val="397"/>
        </w:trPr>
        <w:tc>
          <w:tcPr>
            <w:tcW w:w="1422" w:type="pct"/>
            <w:vAlign w:val="center"/>
          </w:tcPr>
          <w:p w14:paraId="1747FAAE" w14:textId="77777777" w:rsidR="00C02929" w:rsidRDefault="006116D1">
            <w:pPr>
              <w:autoSpaceDE w:val="0"/>
              <w:autoSpaceDN w:val="0"/>
              <w:adjustRightInd w:val="0"/>
              <w:jc w:val="both"/>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1193" w:type="pct"/>
            <w:vAlign w:val="center"/>
          </w:tcPr>
          <w:p w14:paraId="3F68B2B0"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1,650.27</w:t>
            </w:r>
          </w:p>
        </w:tc>
        <w:tc>
          <w:tcPr>
            <w:tcW w:w="1193" w:type="pct"/>
            <w:vAlign w:val="center"/>
          </w:tcPr>
          <w:p w14:paraId="2E9BDCBC"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5,991.45</w:t>
            </w:r>
          </w:p>
        </w:tc>
        <w:tc>
          <w:tcPr>
            <w:tcW w:w="1192" w:type="pct"/>
            <w:vAlign w:val="center"/>
          </w:tcPr>
          <w:p w14:paraId="2C6FE71F"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7,641.72</w:t>
            </w:r>
          </w:p>
        </w:tc>
      </w:tr>
      <w:tr w:rsidR="00C02929" w14:paraId="7AC2C6F4" w14:textId="77777777">
        <w:trPr>
          <w:trHeight w:val="397"/>
        </w:trPr>
        <w:tc>
          <w:tcPr>
            <w:tcW w:w="1422" w:type="pct"/>
            <w:vAlign w:val="center"/>
          </w:tcPr>
          <w:p w14:paraId="642BB36D" w14:textId="77777777" w:rsidR="00C02929" w:rsidRDefault="006116D1">
            <w:pPr>
              <w:autoSpaceDE w:val="0"/>
              <w:autoSpaceDN w:val="0"/>
              <w:adjustRightInd w:val="0"/>
              <w:jc w:val="both"/>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1193" w:type="pct"/>
            <w:vAlign w:val="center"/>
          </w:tcPr>
          <w:p w14:paraId="7B8F4079"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2,391.06</w:t>
            </w:r>
          </w:p>
        </w:tc>
        <w:tc>
          <w:tcPr>
            <w:tcW w:w="1193" w:type="pct"/>
            <w:vAlign w:val="center"/>
          </w:tcPr>
          <w:p w14:paraId="41A96708"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5,673.81</w:t>
            </w:r>
          </w:p>
        </w:tc>
        <w:tc>
          <w:tcPr>
            <w:tcW w:w="1192" w:type="pct"/>
            <w:vAlign w:val="center"/>
          </w:tcPr>
          <w:p w14:paraId="1AE2682A" w14:textId="77777777" w:rsidR="00C02929" w:rsidRDefault="006116D1">
            <w:pPr>
              <w:autoSpaceDE w:val="0"/>
              <w:autoSpaceDN w:val="0"/>
              <w:adjustRightInd w:val="0"/>
              <w:jc w:val="right"/>
              <w:rPr>
                <w:rFonts w:ascii="Times New Roman" w:hAnsi="Times New Roman" w:cs="Times New Roman"/>
                <w:sz w:val="21"/>
                <w:szCs w:val="21"/>
              </w:rPr>
            </w:pPr>
            <w:r>
              <w:rPr>
                <w:rFonts w:ascii="Times New Roman" w:hAnsi="Times New Roman" w:cs="Times New Roman"/>
                <w:sz w:val="21"/>
                <w:szCs w:val="21"/>
              </w:rPr>
              <w:t>8,064.87</w:t>
            </w:r>
          </w:p>
        </w:tc>
      </w:tr>
    </w:tbl>
    <w:p w14:paraId="1D578B95" w14:textId="77777777" w:rsidR="00C02929" w:rsidRDefault="006116D1">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②</w:t>
      </w:r>
      <w:r>
        <w:rPr>
          <w:rFonts w:ascii="Times New Roman" w:hAnsi="Times New Roman" w:cs="Times New Roman"/>
          <w:lang w:bidi="ar"/>
        </w:rPr>
        <w:t>2021</w:t>
      </w:r>
      <w:r>
        <w:rPr>
          <w:rFonts w:ascii="Times New Roman" w:hAnsi="Times New Roman" w:cs="Times New Roman" w:hint="eastAsia"/>
          <w:lang w:bidi="ar"/>
        </w:rPr>
        <w:t>年收入预测</w:t>
      </w:r>
    </w:p>
    <w:p w14:paraId="4292A03B"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根据北洋天青至评估报告出具日的在手订单情况、客户近期招投标计划情况结合各业务类型生产工期情况，可以得出</w:t>
      </w:r>
      <w:r>
        <w:rPr>
          <w:rFonts w:ascii="Times New Roman" w:hAnsi="Times New Roman" w:cs="Times New Roman"/>
          <w:bCs/>
          <w:color w:val="000000"/>
          <w:szCs w:val="21"/>
          <w:lang w:bidi="ar"/>
        </w:rPr>
        <w:t>2021</w:t>
      </w:r>
      <w:r>
        <w:rPr>
          <w:rFonts w:ascii="Times New Roman" w:hAnsi="Times New Roman" w:cs="Times New Roman" w:hint="eastAsia"/>
          <w:bCs/>
          <w:color w:val="000000"/>
          <w:szCs w:val="21"/>
          <w:lang w:bidi="ar"/>
        </w:rPr>
        <w:t>年度北洋天青预计确认收入金额。</w:t>
      </w:r>
      <w:r>
        <w:rPr>
          <w:rFonts w:ascii="Times New Roman" w:hAnsi="Times New Roman" w:cs="Times New Roman"/>
          <w:bCs/>
          <w:color w:val="000000"/>
          <w:szCs w:val="21"/>
          <w:lang w:bidi="ar"/>
        </w:rPr>
        <w:t>2021</w:t>
      </w:r>
      <w:r>
        <w:rPr>
          <w:rFonts w:ascii="Times New Roman" w:hAnsi="Times New Roman" w:cs="Times New Roman" w:hint="eastAsia"/>
          <w:bCs/>
          <w:color w:val="000000"/>
          <w:szCs w:val="21"/>
          <w:lang w:bidi="ar"/>
        </w:rPr>
        <w:t>年收入预测详细情况如下：</w:t>
      </w:r>
    </w:p>
    <w:p w14:paraId="0E19CDC1"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02"/>
        <w:gridCol w:w="1418"/>
        <w:gridCol w:w="1420"/>
        <w:gridCol w:w="1844"/>
        <w:gridCol w:w="1038"/>
      </w:tblGrid>
      <w:tr w:rsidR="00C02929" w14:paraId="71DC486F" w14:textId="77777777">
        <w:trPr>
          <w:trHeight w:val="397"/>
          <w:tblHeader/>
        </w:trPr>
        <w:tc>
          <w:tcPr>
            <w:tcW w:w="1644" w:type="pct"/>
            <w:vMerge w:val="restart"/>
            <w:shd w:val="clear" w:color="auto" w:fill="auto"/>
            <w:noWrap/>
            <w:vAlign w:val="center"/>
          </w:tcPr>
          <w:p w14:paraId="0EF7222F" w14:textId="77777777" w:rsidR="00C02929" w:rsidRDefault="006116D1">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3356" w:type="pct"/>
            <w:gridSpan w:val="4"/>
            <w:shd w:val="clear" w:color="auto" w:fill="auto"/>
            <w:noWrap/>
            <w:vAlign w:val="center"/>
          </w:tcPr>
          <w:p w14:paraId="39E719F9" w14:textId="77777777" w:rsidR="00C02929" w:rsidRDefault="006116D1">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r>
      <w:tr w:rsidR="00C02929" w14:paraId="58256961" w14:textId="77777777">
        <w:trPr>
          <w:trHeight w:val="397"/>
          <w:tblHeader/>
        </w:trPr>
        <w:tc>
          <w:tcPr>
            <w:tcW w:w="1644" w:type="pct"/>
            <w:vMerge/>
            <w:vAlign w:val="center"/>
          </w:tcPr>
          <w:p w14:paraId="2AD3C881" w14:textId="77777777" w:rsidR="00C02929" w:rsidRDefault="00C02929">
            <w:pPr>
              <w:keepNext/>
              <w:ind w:leftChars="-25" w:left="-60" w:rightChars="-25" w:right="-60"/>
              <w:rPr>
                <w:rFonts w:ascii="Times New Roman" w:hAnsi="Times New Roman" w:cs="Times New Roman"/>
                <w:b/>
                <w:bCs/>
                <w:sz w:val="21"/>
                <w:szCs w:val="21"/>
              </w:rPr>
            </w:pPr>
          </w:p>
        </w:tc>
        <w:tc>
          <w:tcPr>
            <w:tcW w:w="832" w:type="pct"/>
            <w:shd w:val="clear" w:color="auto" w:fill="auto"/>
            <w:noWrap/>
            <w:vAlign w:val="center"/>
          </w:tcPr>
          <w:p w14:paraId="19BFD236" w14:textId="77777777" w:rsidR="00C02929" w:rsidRDefault="006116D1">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已签</w:t>
            </w:r>
          </w:p>
        </w:tc>
        <w:tc>
          <w:tcPr>
            <w:tcW w:w="833" w:type="pct"/>
            <w:shd w:val="clear" w:color="auto" w:fill="auto"/>
            <w:noWrap/>
            <w:vAlign w:val="center"/>
          </w:tcPr>
          <w:p w14:paraId="6EF010D2" w14:textId="77777777" w:rsidR="00C02929" w:rsidRDefault="006116D1">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中标通知书</w:t>
            </w:r>
          </w:p>
        </w:tc>
        <w:tc>
          <w:tcPr>
            <w:tcW w:w="1082" w:type="pct"/>
            <w:shd w:val="clear" w:color="auto" w:fill="auto"/>
            <w:noWrap/>
            <w:vAlign w:val="center"/>
          </w:tcPr>
          <w:p w14:paraId="0AC232C4" w14:textId="77777777" w:rsidR="00C02929" w:rsidRDefault="006116D1">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拟参与投标项目中预计可中标项目</w:t>
            </w:r>
          </w:p>
        </w:tc>
        <w:tc>
          <w:tcPr>
            <w:tcW w:w="609" w:type="pct"/>
            <w:vAlign w:val="center"/>
          </w:tcPr>
          <w:p w14:paraId="57224106" w14:textId="77777777" w:rsidR="00C02929" w:rsidRDefault="006116D1">
            <w:pPr>
              <w:keepNext/>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全年合计</w:t>
            </w:r>
          </w:p>
        </w:tc>
      </w:tr>
      <w:tr w:rsidR="00C02929" w14:paraId="47060738" w14:textId="77777777">
        <w:trPr>
          <w:trHeight w:val="397"/>
        </w:trPr>
        <w:tc>
          <w:tcPr>
            <w:tcW w:w="1644" w:type="pct"/>
            <w:shd w:val="clear" w:color="auto" w:fill="auto"/>
            <w:noWrap/>
            <w:vAlign w:val="center"/>
          </w:tcPr>
          <w:p w14:paraId="2E48A527" w14:textId="77777777" w:rsidR="00C02929" w:rsidRDefault="006116D1">
            <w:pPr>
              <w:ind w:leftChars="-25" w:left="-60" w:rightChars="-25" w:right="-60"/>
              <w:jc w:val="both"/>
              <w:rPr>
                <w:rFonts w:ascii="Times New Roman" w:hAnsi="Times New Roman" w:cs="Times New Roman"/>
                <w:b/>
                <w:bCs/>
                <w:sz w:val="21"/>
                <w:szCs w:val="21"/>
              </w:rPr>
            </w:pPr>
            <w:r>
              <w:rPr>
                <w:rFonts w:ascii="Times New Roman" w:hAnsi="Times New Roman" w:cs="Times New Roman" w:hint="eastAsia"/>
                <w:b/>
                <w:bCs/>
                <w:sz w:val="21"/>
                <w:szCs w:val="21"/>
              </w:rPr>
              <w:t>澳柯玛</w:t>
            </w:r>
          </w:p>
        </w:tc>
        <w:tc>
          <w:tcPr>
            <w:tcW w:w="832" w:type="pct"/>
            <w:shd w:val="clear" w:color="auto" w:fill="auto"/>
            <w:noWrap/>
            <w:vAlign w:val="center"/>
          </w:tcPr>
          <w:p w14:paraId="33F486C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10,978.22</w:t>
            </w:r>
          </w:p>
        </w:tc>
        <w:tc>
          <w:tcPr>
            <w:tcW w:w="833" w:type="pct"/>
            <w:shd w:val="clear" w:color="auto" w:fill="auto"/>
            <w:noWrap/>
            <w:vAlign w:val="center"/>
          </w:tcPr>
          <w:p w14:paraId="46E2A62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1082" w:type="pct"/>
            <w:shd w:val="clear" w:color="auto" w:fill="auto"/>
            <w:noWrap/>
            <w:vAlign w:val="center"/>
          </w:tcPr>
          <w:p w14:paraId="000D12AB"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609" w:type="pct"/>
            <w:vAlign w:val="center"/>
          </w:tcPr>
          <w:p w14:paraId="1091DE3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10,978.22</w:t>
            </w:r>
          </w:p>
        </w:tc>
      </w:tr>
      <w:tr w:rsidR="00C02929" w14:paraId="686BE559" w14:textId="77777777">
        <w:trPr>
          <w:trHeight w:val="397"/>
        </w:trPr>
        <w:tc>
          <w:tcPr>
            <w:tcW w:w="1644" w:type="pct"/>
            <w:shd w:val="clear" w:color="auto" w:fill="auto"/>
            <w:noWrap/>
            <w:vAlign w:val="center"/>
          </w:tcPr>
          <w:p w14:paraId="4D4FDBC9"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能源配套</w:t>
            </w:r>
          </w:p>
        </w:tc>
        <w:tc>
          <w:tcPr>
            <w:tcW w:w="832" w:type="pct"/>
            <w:shd w:val="clear" w:color="auto" w:fill="auto"/>
            <w:noWrap/>
            <w:vAlign w:val="center"/>
          </w:tcPr>
          <w:p w14:paraId="0BAF79A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6,044.41</w:t>
            </w:r>
          </w:p>
        </w:tc>
        <w:tc>
          <w:tcPr>
            <w:tcW w:w="833" w:type="pct"/>
            <w:shd w:val="clear" w:color="auto" w:fill="auto"/>
            <w:noWrap/>
            <w:vAlign w:val="center"/>
          </w:tcPr>
          <w:p w14:paraId="65D9AD2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6AD50D6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0A6F3C6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6,044.41</w:t>
            </w:r>
          </w:p>
        </w:tc>
      </w:tr>
      <w:tr w:rsidR="00C02929" w14:paraId="12482916" w14:textId="77777777">
        <w:trPr>
          <w:trHeight w:val="397"/>
        </w:trPr>
        <w:tc>
          <w:tcPr>
            <w:tcW w:w="1644" w:type="pct"/>
            <w:shd w:val="clear" w:color="auto" w:fill="auto"/>
            <w:noWrap/>
            <w:vAlign w:val="center"/>
          </w:tcPr>
          <w:p w14:paraId="0E4A6333"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企业信息化</w:t>
            </w:r>
          </w:p>
        </w:tc>
        <w:tc>
          <w:tcPr>
            <w:tcW w:w="832" w:type="pct"/>
            <w:shd w:val="clear" w:color="auto" w:fill="auto"/>
            <w:noWrap/>
            <w:vAlign w:val="center"/>
          </w:tcPr>
          <w:p w14:paraId="56CC432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176.99</w:t>
            </w:r>
          </w:p>
        </w:tc>
        <w:tc>
          <w:tcPr>
            <w:tcW w:w="833" w:type="pct"/>
            <w:shd w:val="clear" w:color="auto" w:fill="auto"/>
            <w:noWrap/>
            <w:vAlign w:val="center"/>
          </w:tcPr>
          <w:p w14:paraId="75397F7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39DBF6E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469D0EA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176.99</w:t>
            </w:r>
          </w:p>
        </w:tc>
      </w:tr>
      <w:tr w:rsidR="00C02929" w14:paraId="1E646334" w14:textId="77777777">
        <w:trPr>
          <w:trHeight w:val="397"/>
        </w:trPr>
        <w:tc>
          <w:tcPr>
            <w:tcW w:w="1644" w:type="pct"/>
            <w:shd w:val="clear" w:color="auto" w:fill="auto"/>
            <w:noWrap/>
            <w:vAlign w:val="center"/>
          </w:tcPr>
          <w:p w14:paraId="755CF39A"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832" w:type="pct"/>
            <w:shd w:val="clear" w:color="auto" w:fill="auto"/>
            <w:noWrap/>
            <w:vAlign w:val="center"/>
          </w:tcPr>
          <w:p w14:paraId="09FA472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3,473.63</w:t>
            </w:r>
          </w:p>
        </w:tc>
        <w:tc>
          <w:tcPr>
            <w:tcW w:w="833" w:type="pct"/>
            <w:shd w:val="clear" w:color="auto" w:fill="auto"/>
            <w:noWrap/>
            <w:vAlign w:val="center"/>
          </w:tcPr>
          <w:p w14:paraId="6188150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3C9ABAE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17010D3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3,473.63</w:t>
            </w:r>
          </w:p>
        </w:tc>
      </w:tr>
      <w:tr w:rsidR="00C02929" w14:paraId="7ED9EAC7" w14:textId="77777777">
        <w:trPr>
          <w:trHeight w:val="397"/>
        </w:trPr>
        <w:tc>
          <w:tcPr>
            <w:tcW w:w="1644" w:type="pct"/>
            <w:shd w:val="clear" w:color="auto" w:fill="auto"/>
            <w:noWrap/>
            <w:vAlign w:val="center"/>
          </w:tcPr>
          <w:p w14:paraId="0C3E772B"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832" w:type="pct"/>
            <w:shd w:val="clear" w:color="auto" w:fill="auto"/>
            <w:noWrap/>
            <w:vAlign w:val="center"/>
          </w:tcPr>
          <w:p w14:paraId="536E65B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1,283.19</w:t>
            </w:r>
          </w:p>
        </w:tc>
        <w:tc>
          <w:tcPr>
            <w:tcW w:w="833" w:type="pct"/>
            <w:shd w:val="clear" w:color="auto" w:fill="auto"/>
            <w:noWrap/>
            <w:vAlign w:val="center"/>
          </w:tcPr>
          <w:p w14:paraId="4D41070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52B87B4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0A5F234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1,283.19</w:t>
            </w:r>
          </w:p>
        </w:tc>
      </w:tr>
      <w:tr w:rsidR="00C02929" w14:paraId="4AA45AEB" w14:textId="77777777">
        <w:trPr>
          <w:trHeight w:val="397"/>
        </w:trPr>
        <w:tc>
          <w:tcPr>
            <w:tcW w:w="1644" w:type="pct"/>
            <w:shd w:val="clear" w:color="auto" w:fill="auto"/>
            <w:noWrap/>
            <w:vAlign w:val="center"/>
          </w:tcPr>
          <w:p w14:paraId="0910E223" w14:textId="77777777" w:rsidR="00C02929" w:rsidRDefault="006116D1">
            <w:pPr>
              <w:ind w:leftChars="-25" w:left="-60" w:rightChars="-25" w:right="-60"/>
              <w:jc w:val="both"/>
              <w:rPr>
                <w:rFonts w:ascii="Times New Roman" w:hAnsi="Times New Roman" w:cs="Times New Roman"/>
                <w:b/>
                <w:bCs/>
                <w:sz w:val="21"/>
                <w:szCs w:val="21"/>
              </w:rPr>
            </w:pPr>
            <w:r>
              <w:rPr>
                <w:rFonts w:ascii="Times New Roman" w:hAnsi="Times New Roman" w:cs="Times New Roman" w:hint="eastAsia"/>
                <w:b/>
                <w:bCs/>
                <w:sz w:val="21"/>
                <w:szCs w:val="21"/>
              </w:rPr>
              <w:t>海尔</w:t>
            </w:r>
          </w:p>
        </w:tc>
        <w:tc>
          <w:tcPr>
            <w:tcW w:w="832" w:type="pct"/>
            <w:shd w:val="clear" w:color="auto" w:fill="auto"/>
            <w:noWrap/>
            <w:vAlign w:val="center"/>
          </w:tcPr>
          <w:p w14:paraId="67C00658"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4,887.83</w:t>
            </w:r>
          </w:p>
        </w:tc>
        <w:tc>
          <w:tcPr>
            <w:tcW w:w="833" w:type="pct"/>
            <w:shd w:val="clear" w:color="auto" w:fill="auto"/>
            <w:noWrap/>
            <w:vAlign w:val="center"/>
          </w:tcPr>
          <w:p w14:paraId="4CC04F8F"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2,781.42</w:t>
            </w:r>
          </w:p>
        </w:tc>
        <w:tc>
          <w:tcPr>
            <w:tcW w:w="1082" w:type="pct"/>
            <w:shd w:val="clear" w:color="auto" w:fill="auto"/>
            <w:noWrap/>
            <w:vAlign w:val="center"/>
          </w:tcPr>
          <w:p w14:paraId="08B908E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9,628.32</w:t>
            </w:r>
          </w:p>
        </w:tc>
        <w:tc>
          <w:tcPr>
            <w:tcW w:w="609" w:type="pct"/>
            <w:vAlign w:val="center"/>
          </w:tcPr>
          <w:p w14:paraId="3D9650BE"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17,297.57</w:t>
            </w:r>
          </w:p>
        </w:tc>
      </w:tr>
      <w:tr w:rsidR="00C02929" w14:paraId="086DAF75" w14:textId="77777777">
        <w:trPr>
          <w:trHeight w:val="397"/>
        </w:trPr>
        <w:tc>
          <w:tcPr>
            <w:tcW w:w="1644" w:type="pct"/>
            <w:shd w:val="clear" w:color="auto" w:fill="auto"/>
            <w:noWrap/>
            <w:vAlign w:val="center"/>
          </w:tcPr>
          <w:p w14:paraId="1E40D7AB"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模具自动化仓储</w:t>
            </w:r>
          </w:p>
        </w:tc>
        <w:tc>
          <w:tcPr>
            <w:tcW w:w="832" w:type="pct"/>
            <w:shd w:val="clear" w:color="auto" w:fill="auto"/>
            <w:noWrap/>
            <w:vAlign w:val="center"/>
          </w:tcPr>
          <w:p w14:paraId="389E7CF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332D9C6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77D6C30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814.16</w:t>
            </w:r>
          </w:p>
        </w:tc>
        <w:tc>
          <w:tcPr>
            <w:tcW w:w="609" w:type="pct"/>
            <w:vAlign w:val="center"/>
          </w:tcPr>
          <w:p w14:paraId="0504138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814.16</w:t>
            </w:r>
          </w:p>
        </w:tc>
      </w:tr>
      <w:tr w:rsidR="00C02929" w14:paraId="6C40F40C" w14:textId="77777777">
        <w:trPr>
          <w:trHeight w:val="397"/>
        </w:trPr>
        <w:tc>
          <w:tcPr>
            <w:tcW w:w="1644" w:type="pct"/>
            <w:shd w:val="clear" w:color="auto" w:fill="auto"/>
            <w:noWrap/>
            <w:vAlign w:val="center"/>
          </w:tcPr>
          <w:p w14:paraId="72F0E2AF"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物流悬挂输送系统</w:t>
            </w:r>
            <w:r>
              <w:rPr>
                <w:rFonts w:ascii="Times New Roman" w:hAnsi="Times New Roman" w:cs="Times New Roman"/>
                <w:sz w:val="21"/>
                <w:szCs w:val="21"/>
              </w:rPr>
              <w:t>-</w:t>
            </w:r>
            <w:r>
              <w:rPr>
                <w:rFonts w:ascii="Times New Roman" w:hAnsi="Times New Roman" w:cs="Times New Roman" w:hint="eastAsia"/>
                <w:sz w:val="21"/>
                <w:szCs w:val="21"/>
              </w:rPr>
              <w:t>悬挂链</w:t>
            </w:r>
          </w:p>
        </w:tc>
        <w:tc>
          <w:tcPr>
            <w:tcW w:w="832" w:type="pct"/>
            <w:shd w:val="clear" w:color="auto" w:fill="auto"/>
            <w:noWrap/>
            <w:vAlign w:val="center"/>
          </w:tcPr>
          <w:p w14:paraId="1E3542D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1,361.06</w:t>
            </w:r>
          </w:p>
        </w:tc>
        <w:tc>
          <w:tcPr>
            <w:tcW w:w="833" w:type="pct"/>
            <w:shd w:val="clear" w:color="auto" w:fill="auto"/>
            <w:noWrap/>
            <w:vAlign w:val="center"/>
          </w:tcPr>
          <w:p w14:paraId="7C52284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76DFA3B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7C97F28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1,361.06</w:t>
            </w:r>
          </w:p>
        </w:tc>
      </w:tr>
      <w:tr w:rsidR="00C02929" w14:paraId="30D39FFA" w14:textId="77777777">
        <w:trPr>
          <w:trHeight w:val="397"/>
        </w:trPr>
        <w:tc>
          <w:tcPr>
            <w:tcW w:w="1644" w:type="pct"/>
            <w:shd w:val="clear" w:color="auto" w:fill="auto"/>
            <w:noWrap/>
            <w:vAlign w:val="center"/>
          </w:tcPr>
          <w:p w14:paraId="12DF4EB2"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832" w:type="pct"/>
            <w:shd w:val="clear" w:color="auto" w:fill="auto"/>
            <w:noWrap/>
            <w:vAlign w:val="center"/>
          </w:tcPr>
          <w:p w14:paraId="1BDAD08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3,173.67</w:t>
            </w:r>
          </w:p>
        </w:tc>
        <w:tc>
          <w:tcPr>
            <w:tcW w:w="833" w:type="pct"/>
            <w:shd w:val="clear" w:color="auto" w:fill="auto"/>
            <w:noWrap/>
            <w:vAlign w:val="center"/>
          </w:tcPr>
          <w:p w14:paraId="347E273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66B3BCA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185931A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3,173.67</w:t>
            </w:r>
          </w:p>
        </w:tc>
      </w:tr>
      <w:tr w:rsidR="00C02929" w14:paraId="2C368DC4" w14:textId="77777777">
        <w:trPr>
          <w:trHeight w:val="397"/>
        </w:trPr>
        <w:tc>
          <w:tcPr>
            <w:tcW w:w="1644" w:type="pct"/>
            <w:shd w:val="clear" w:color="auto" w:fill="auto"/>
            <w:noWrap/>
            <w:vAlign w:val="center"/>
          </w:tcPr>
          <w:p w14:paraId="41AD0366"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832" w:type="pct"/>
            <w:shd w:val="clear" w:color="auto" w:fill="auto"/>
            <w:noWrap/>
            <w:vAlign w:val="center"/>
          </w:tcPr>
          <w:p w14:paraId="2568482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353.10</w:t>
            </w:r>
          </w:p>
        </w:tc>
        <w:tc>
          <w:tcPr>
            <w:tcW w:w="833" w:type="pct"/>
            <w:shd w:val="clear" w:color="auto" w:fill="auto"/>
            <w:noWrap/>
            <w:vAlign w:val="center"/>
          </w:tcPr>
          <w:p w14:paraId="2CA3FF4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2,781.42</w:t>
            </w:r>
          </w:p>
        </w:tc>
        <w:tc>
          <w:tcPr>
            <w:tcW w:w="1082" w:type="pct"/>
            <w:shd w:val="clear" w:color="auto" w:fill="auto"/>
            <w:noWrap/>
            <w:vAlign w:val="center"/>
          </w:tcPr>
          <w:p w14:paraId="2A85A9E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8,814.16</w:t>
            </w:r>
          </w:p>
        </w:tc>
        <w:tc>
          <w:tcPr>
            <w:tcW w:w="609" w:type="pct"/>
            <w:vAlign w:val="center"/>
          </w:tcPr>
          <w:p w14:paraId="64D3CB99"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11,948.67</w:t>
            </w:r>
          </w:p>
        </w:tc>
      </w:tr>
      <w:tr w:rsidR="00C02929" w14:paraId="2AF84BB6" w14:textId="77777777">
        <w:trPr>
          <w:trHeight w:val="397"/>
        </w:trPr>
        <w:tc>
          <w:tcPr>
            <w:tcW w:w="1644" w:type="pct"/>
            <w:shd w:val="clear" w:color="auto" w:fill="auto"/>
            <w:noWrap/>
            <w:vAlign w:val="center"/>
          </w:tcPr>
          <w:p w14:paraId="43E9623B"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机器人本体</w:t>
            </w:r>
          </w:p>
        </w:tc>
        <w:tc>
          <w:tcPr>
            <w:tcW w:w="832" w:type="pct"/>
            <w:shd w:val="clear" w:color="auto" w:fill="auto"/>
            <w:noWrap/>
            <w:vAlign w:val="center"/>
          </w:tcPr>
          <w:p w14:paraId="6B6A5CF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6A7CEF9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55FFF32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5721138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3CDC4960" w14:textId="77777777">
        <w:trPr>
          <w:trHeight w:val="397"/>
        </w:trPr>
        <w:tc>
          <w:tcPr>
            <w:tcW w:w="1644" w:type="pct"/>
            <w:shd w:val="clear" w:color="auto" w:fill="auto"/>
            <w:noWrap/>
            <w:vAlign w:val="center"/>
          </w:tcPr>
          <w:p w14:paraId="127D5B23"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机器人集成应用（含压机）</w:t>
            </w:r>
          </w:p>
        </w:tc>
        <w:tc>
          <w:tcPr>
            <w:tcW w:w="832" w:type="pct"/>
            <w:shd w:val="clear" w:color="auto" w:fill="auto"/>
            <w:noWrap/>
            <w:vAlign w:val="center"/>
          </w:tcPr>
          <w:p w14:paraId="6E1E154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1322E3D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3C8A843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28FE3FA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78A6442C" w14:textId="77777777">
        <w:trPr>
          <w:trHeight w:val="397"/>
        </w:trPr>
        <w:tc>
          <w:tcPr>
            <w:tcW w:w="1644" w:type="pct"/>
            <w:shd w:val="clear" w:color="auto" w:fill="auto"/>
            <w:noWrap/>
            <w:vAlign w:val="center"/>
          </w:tcPr>
          <w:p w14:paraId="69F7B6B3" w14:textId="77777777" w:rsidR="00C02929" w:rsidRDefault="006116D1">
            <w:pPr>
              <w:ind w:leftChars="-25" w:left="-60" w:rightChars="-25" w:right="-60"/>
              <w:jc w:val="both"/>
              <w:rPr>
                <w:rFonts w:ascii="Times New Roman" w:hAnsi="Times New Roman" w:cs="Times New Roman"/>
                <w:b/>
                <w:bCs/>
                <w:sz w:val="21"/>
                <w:szCs w:val="21"/>
              </w:rPr>
            </w:pPr>
            <w:r>
              <w:rPr>
                <w:rFonts w:ascii="Times New Roman" w:hAnsi="Times New Roman" w:cs="Times New Roman" w:hint="eastAsia"/>
                <w:b/>
                <w:bCs/>
                <w:sz w:val="21"/>
                <w:szCs w:val="21"/>
              </w:rPr>
              <w:lastRenderedPageBreak/>
              <w:t>海信</w:t>
            </w:r>
          </w:p>
        </w:tc>
        <w:tc>
          <w:tcPr>
            <w:tcW w:w="832" w:type="pct"/>
            <w:shd w:val="clear" w:color="auto" w:fill="auto"/>
            <w:noWrap/>
            <w:vAlign w:val="center"/>
          </w:tcPr>
          <w:p w14:paraId="5F28CE29"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833" w:type="pct"/>
            <w:shd w:val="clear" w:color="auto" w:fill="auto"/>
            <w:noWrap/>
            <w:vAlign w:val="center"/>
          </w:tcPr>
          <w:p w14:paraId="3B79F2A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973.45</w:t>
            </w:r>
          </w:p>
        </w:tc>
        <w:tc>
          <w:tcPr>
            <w:tcW w:w="1082" w:type="pct"/>
            <w:shd w:val="clear" w:color="auto" w:fill="auto"/>
            <w:noWrap/>
            <w:vAlign w:val="center"/>
          </w:tcPr>
          <w:p w14:paraId="505DEE5E"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w:t>
            </w:r>
          </w:p>
        </w:tc>
        <w:tc>
          <w:tcPr>
            <w:tcW w:w="609" w:type="pct"/>
            <w:vAlign w:val="center"/>
          </w:tcPr>
          <w:p w14:paraId="3E8E6ADC"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973.45</w:t>
            </w:r>
          </w:p>
        </w:tc>
      </w:tr>
      <w:tr w:rsidR="00C02929" w14:paraId="0CD434E7" w14:textId="77777777">
        <w:trPr>
          <w:trHeight w:val="397"/>
        </w:trPr>
        <w:tc>
          <w:tcPr>
            <w:tcW w:w="1644" w:type="pct"/>
            <w:shd w:val="clear" w:color="auto" w:fill="auto"/>
            <w:noWrap/>
            <w:vAlign w:val="center"/>
          </w:tcPr>
          <w:p w14:paraId="1D924C6A"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智能制造装备</w:t>
            </w:r>
            <w:r>
              <w:rPr>
                <w:rFonts w:ascii="Times New Roman" w:hAnsi="Times New Roman" w:cs="Times New Roman"/>
                <w:sz w:val="21"/>
                <w:szCs w:val="21"/>
              </w:rPr>
              <w:t>-</w:t>
            </w:r>
            <w:r>
              <w:rPr>
                <w:rFonts w:ascii="Times New Roman" w:hAnsi="Times New Roman" w:cs="Times New Roman" w:hint="eastAsia"/>
                <w:sz w:val="21"/>
                <w:szCs w:val="21"/>
              </w:rPr>
              <w:t>总装</w:t>
            </w:r>
          </w:p>
        </w:tc>
        <w:tc>
          <w:tcPr>
            <w:tcW w:w="832" w:type="pct"/>
            <w:shd w:val="clear" w:color="auto" w:fill="auto"/>
            <w:noWrap/>
            <w:vAlign w:val="center"/>
          </w:tcPr>
          <w:p w14:paraId="108A3EE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229ACBF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1082" w:type="pct"/>
            <w:shd w:val="clear" w:color="auto" w:fill="auto"/>
            <w:noWrap/>
            <w:vAlign w:val="center"/>
          </w:tcPr>
          <w:p w14:paraId="278FFCE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59E6F86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7AE3CC40" w14:textId="77777777">
        <w:trPr>
          <w:trHeight w:val="397"/>
        </w:trPr>
        <w:tc>
          <w:tcPr>
            <w:tcW w:w="1644" w:type="pct"/>
            <w:shd w:val="clear" w:color="auto" w:fill="auto"/>
            <w:noWrap/>
            <w:vAlign w:val="center"/>
          </w:tcPr>
          <w:p w14:paraId="43FE3F36" w14:textId="77777777" w:rsidR="00C02929" w:rsidRDefault="006116D1">
            <w:pPr>
              <w:ind w:leftChars="-25" w:left="-60" w:rightChars="-25" w:right="-60" w:firstLineChars="100" w:firstLine="210"/>
              <w:jc w:val="both"/>
              <w:rPr>
                <w:rFonts w:ascii="Times New Roman" w:hAnsi="Times New Roman" w:cs="Times New Roman"/>
                <w:sz w:val="21"/>
                <w:szCs w:val="21"/>
              </w:rPr>
            </w:pPr>
            <w:r>
              <w:rPr>
                <w:rFonts w:ascii="Times New Roman" w:hAnsi="Times New Roman" w:cs="Times New Roman" w:hint="eastAsia"/>
                <w:sz w:val="21"/>
                <w:szCs w:val="21"/>
              </w:rPr>
              <w:t>机器人集成应用</w:t>
            </w:r>
          </w:p>
        </w:tc>
        <w:tc>
          <w:tcPr>
            <w:tcW w:w="832" w:type="pct"/>
            <w:shd w:val="clear" w:color="auto" w:fill="auto"/>
            <w:noWrap/>
            <w:vAlign w:val="center"/>
          </w:tcPr>
          <w:p w14:paraId="0BCBC46D"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833" w:type="pct"/>
            <w:shd w:val="clear" w:color="auto" w:fill="auto"/>
            <w:noWrap/>
            <w:vAlign w:val="center"/>
          </w:tcPr>
          <w:p w14:paraId="233B39D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973.45</w:t>
            </w:r>
          </w:p>
        </w:tc>
        <w:tc>
          <w:tcPr>
            <w:tcW w:w="1082" w:type="pct"/>
            <w:shd w:val="clear" w:color="auto" w:fill="auto"/>
            <w:noWrap/>
            <w:vAlign w:val="center"/>
          </w:tcPr>
          <w:p w14:paraId="3227392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9" w:type="pct"/>
            <w:vAlign w:val="center"/>
          </w:tcPr>
          <w:p w14:paraId="25C7BE7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973.45</w:t>
            </w:r>
          </w:p>
        </w:tc>
      </w:tr>
      <w:tr w:rsidR="00C02929" w14:paraId="3176F675" w14:textId="77777777">
        <w:trPr>
          <w:trHeight w:val="397"/>
        </w:trPr>
        <w:tc>
          <w:tcPr>
            <w:tcW w:w="1644" w:type="pct"/>
            <w:shd w:val="clear" w:color="auto" w:fill="auto"/>
            <w:noWrap/>
            <w:vAlign w:val="center"/>
          </w:tcPr>
          <w:p w14:paraId="101FA359" w14:textId="77777777" w:rsidR="00C02929" w:rsidRDefault="006116D1">
            <w:pPr>
              <w:ind w:leftChars="-25" w:left="-60" w:rightChars="-25" w:right="-60"/>
              <w:jc w:val="both"/>
              <w:rPr>
                <w:rFonts w:ascii="Times New Roman" w:hAnsi="Times New Roman" w:cs="Times New Roman"/>
                <w:sz w:val="21"/>
                <w:szCs w:val="21"/>
              </w:rPr>
            </w:pPr>
            <w:r>
              <w:rPr>
                <w:rFonts w:ascii="Times New Roman" w:hAnsi="Times New Roman" w:cs="Times New Roman" w:hint="eastAsia"/>
                <w:b/>
                <w:bCs/>
                <w:sz w:val="21"/>
                <w:szCs w:val="21"/>
              </w:rPr>
              <w:t>崂山矿泉水</w:t>
            </w:r>
          </w:p>
        </w:tc>
        <w:tc>
          <w:tcPr>
            <w:tcW w:w="832" w:type="pct"/>
            <w:shd w:val="clear" w:color="auto" w:fill="auto"/>
            <w:noWrap/>
            <w:vAlign w:val="center"/>
          </w:tcPr>
          <w:p w14:paraId="28CA369F" w14:textId="77777777" w:rsidR="00C02929" w:rsidRDefault="00C02929">
            <w:pPr>
              <w:ind w:leftChars="-25" w:left="-60" w:rightChars="-25" w:right="-60"/>
              <w:jc w:val="right"/>
              <w:rPr>
                <w:rFonts w:ascii="Times New Roman" w:hAnsi="Times New Roman" w:cs="Times New Roman"/>
                <w:sz w:val="21"/>
                <w:szCs w:val="21"/>
              </w:rPr>
            </w:pPr>
          </w:p>
        </w:tc>
        <w:tc>
          <w:tcPr>
            <w:tcW w:w="833" w:type="pct"/>
            <w:shd w:val="clear" w:color="auto" w:fill="auto"/>
            <w:noWrap/>
            <w:vAlign w:val="center"/>
          </w:tcPr>
          <w:p w14:paraId="709E2875" w14:textId="77777777" w:rsidR="00C02929" w:rsidRDefault="00C02929">
            <w:pPr>
              <w:ind w:leftChars="-25" w:left="-60" w:rightChars="-25" w:right="-60"/>
              <w:jc w:val="right"/>
              <w:rPr>
                <w:rFonts w:ascii="Times New Roman" w:hAnsi="Times New Roman" w:cs="Times New Roman"/>
                <w:sz w:val="21"/>
                <w:szCs w:val="21"/>
              </w:rPr>
            </w:pPr>
          </w:p>
        </w:tc>
        <w:tc>
          <w:tcPr>
            <w:tcW w:w="1082" w:type="pct"/>
            <w:shd w:val="clear" w:color="auto" w:fill="auto"/>
            <w:noWrap/>
            <w:vAlign w:val="center"/>
          </w:tcPr>
          <w:p w14:paraId="7E830144" w14:textId="77777777" w:rsidR="00C02929" w:rsidRDefault="00C02929">
            <w:pPr>
              <w:ind w:leftChars="-25" w:left="-60" w:rightChars="-25" w:right="-60"/>
              <w:jc w:val="right"/>
              <w:rPr>
                <w:rFonts w:ascii="Times New Roman" w:hAnsi="Times New Roman" w:cs="Times New Roman"/>
                <w:sz w:val="21"/>
                <w:szCs w:val="21"/>
              </w:rPr>
            </w:pPr>
          </w:p>
        </w:tc>
        <w:tc>
          <w:tcPr>
            <w:tcW w:w="609" w:type="pct"/>
            <w:vAlign w:val="center"/>
          </w:tcPr>
          <w:p w14:paraId="02D49C25" w14:textId="77777777" w:rsidR="00C02929" w:rsidRDefault="00C02929">
            <w:pPr>
              <w:ind w:leftChars="-25" w:left="-60" w:rightChars="-25" w:right="-60"/>
              <w:jc w:val="right"/>
              <w:rPr>
                <w:rFonts w:ascii="Times New Roman" w:hAnsi="Times New Roman" w:cs="Times New Roman"/>
                <w:sz w:val="21"/>
                <w:szCs w:val="21"/>
              </w:rPr>
            </w:pPr>
          </w:p>
        </w:tc>
      </w:tr>
      <w:tr w:rsidR="00C02929" w14:paraId="6CC3C756" w14:textId="77777777">
        <w:trPr>
          <w:trHeight w:val="397"/>
        </w:trPr>
        <w:tc>
          <w:tcPr>
            <w:tcW w:w="1644" w:type="pct"/>
            <w:shd w:val="clear" w:color="auto" w:fill="auto"/>
            <w:noWrap/>
            <w:vAlign w:val="center"/>
          </w:tcPr>
          <w:p w14:paraId="3BD9B721" w14:textId="77777777" w:rsidR="00C02929" w:rsidRDefault="006116D1">
            <w:pPr>
              <w:ind w:leftChars="-25" w:left="-60" w:rightChars="-25" w:right="-60" w:firstLineChars="100" w:firstLine="210"/>
              <w:jc w:val="both"/>
              <w:rPr>
                <w:rFonts w:ascii="Times New Roman" w:hAnsi="Times New Roman" w:cs="Times New Roman"/>
                <w:b/>
                <w:bCs/>
                <w:sz w:val="21"/>
                <w:szCs w:val="21"/>
              </w:rPr>
            </w:pPr>
            <w:r>
              <w:rPr>
                <w:rFonts w:ascii="Times New Roman" w:hAnsi="Times New Roman" w:cs="Times New Roman" w:hint="eastAsia"/>
                <w:sz w:val="21"/>
                <w:szCs w:val="21"/>
              </w:rPr>
              <w:t>企业信息化</w:t>
            </w:r>
          </w:p>
        </w:tc>
        <w:tc>
          <w:tcPr>
            <w:tcW w:w="832" w:type="pct"/>
            <w:shd w:val="clear" w:color="auto" w:fill="auto"/>
            <w:noWrap/>
            <w:vAlign w:val="center"/>
          </w:tcPr>
          <w:p w14:paraId="2A53488D" w14:textId="77777777" w:rsidR="00C02929" w:rsidRDefault="00C02929">
            <w:pPr>
              <w:ind w:leftChars="-25" w:left="-60" w:rightChars="-25" w:right="-60"/>
              <w:jc w:val="right"/>
              <w:rPr>
                <w:rFonts w:ascii="Times New Roman" w:hAnsi="Times New Roman" w:cs="Times New Roman"/>
                <w:b/>
                <w:bCs/>
                <w:sz w:val="21"/>
                <w:szCs w:val="21"/>
              </w:rPr>
            </w:pPr>
          </w:p>
        </w:tc>
        <w:tc>
          <w:tcPr>
            <w:tcW w:w="833" w:type="pct"/>
            <w:shd w:val="clear" w:color="auto" w:fill="auto"/>
            <w:noWrap/>
            <w:vAlign w:val="center"/>
          </w:tcPr>
          <w:p w14:paraId="581321B6" w14:textId="77777777" w:rsidR="00C02929" w:rsidRDefault="00C02929">
            <w:pPr>
              <w:ind w:leftChars="-25" w:left="-60" w:rightChars="-25" w:right="-60"/>
              <w:jc w:val="right"/>
              <w:rPr>
                <w:rFonts w:ascii="Times New Roman" w:hAnsi="Times New Roman" w:cs="Times New Roman"/>
                <w:b/>
                <w:bCs/>
                <w:sz w:val="21"/>
                <w:szCs w:val="21"/>
              </w:rPr>
            </w:pPr>
          </w:p>
        </w:tc>
        <w:tc>
          <w:tcPr>
            <w:tcW w:w="1082" w:type="pct"/>
            <w:shd w:val="clear" w:color="auto" w:fill="auto"/>
            <w:noWrap/>
            <w:vAlign w:val="center"/>
          </w:tcPr>
          <w:p w14:paraId="710130CF" w14:textId="77777777" w:rsidR="00C02929" w:rsidRDefault="00C02929">
            <w:pPr>
              <w:ind w:leftChars="-25" w:left="-60" w:rightChars="-25" w:right="-60"/>
              <w:jc w:val="right"/>
              <w:rPr>
                <w:rFonts w:ascii="Times New Roman" w:hAnsi="Times New Roman" w:cs="Times New Roman"/>
                <w:b/>
                <w:bCs/>
                <w:sz w:val="21"/>
                <w:szCs w:val="21"/>
              </w:rPr>
            </w:pPr>
          </w:p>
        </w:tc>
        <w:tc>
          <w:tcPr>
            <w:tcW w:w="609" w:type="pct"/>
            <w:vAlign w:val="center"/>
          </w:tcPr>
          <w:p w14:paraId="55BA726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r>
      <w:tr w:rsidR="00C02929" w14:paraId="6CDA01D2" w14:textId="77777777">
        <w:trPr>
          <w:trHeight w:val="397"/>
        </w:trPr>
        <w:tc>
          <w:tcPr>
            <w:tcW w:w="1644" w:type="pct"/>
            <w:shd w:val="clear" w:color="auto" w:fill="auto"/>
            <w:noWrap/>
            <w:vAlign w:val="center"/>
          </w:tcPr>
          <w:p w14:paraId="2DC319FE"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总计</w:t>
            </w:r>
          </w:p>
        </w:tc>
        <w:tc>
          <w:tcPr>
            <w:tcW w:w="832" w:type="pct"/>
            <w:shd w:val="clear" w:color="auto" w:fill="auto"/>
            <w:noWrap/>
            <w:vAlign w:val="center"/>
          </w:tcPr>
          <w:p w14:paraId="30C8E08B"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15,866.05</w:t>
            </w:r>
          </w:p>
        </w:tc>
        <w:tc>
          <w:tcPr>
            <w:tcW w:w="833" w:type="pct"/>
            <w:shd w:val="clear" w:color="auto" w:fill="auto"/>
            <w:noWrap/>
            <w:vAlign w:val="center"/>
          </w:tcPr>
          <w:p w14:paraId="255B01F9"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3,754.87</w:t>
            </w:r>
          </w:p>
        </w:tc>
        <w:tc>
          <w:tcPr>
            <w:tcW w:w="1082" w:type="pct"/>
            <w:shd w:val="clear" w:color="auto" w:fill="auto"/>
            <w:noWrap/>
            <w:vAlign w:val="center"/>
          </w:tcPr>
          <w:p w14:paraId="2F67804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9,628.32</w:t>
            </w:r>
          </w:p>
        </w:tc>
        <w:tc>
          <w:tcPr>
            <w:tcW w:w="609" w:type="pct"/>
            <w:vAlign w:val="center"/>
          </w:tcPr>
          <w:p w14:paraId="30B00C70"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29,249.24</w:t>
            </w:r>
          </w:p>
        </w:tc>
      </w:tr>
    </w:tbl>
    <w:p w14:paraId="0284CD07"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由上表可以看出，北洋天青</w:t>
      </w:r>
      <w:r>
        <w:rPr>
          <w:rFonts w:ascii="Times New Roman" w:hAnsi="Times New Roman" w:cs="Times New Roman"/>
          <w:bCs/>
          <w:color w:val="000000"/>
          <w:szCs w:val="21"/>
        </w:rPr>
        <w:t>2021</w:t>
      </w:r>
      <w:r>
        <w:rPr>
          <w:rFonts w:ascii="Times New Roman" w:hAnsi="Times New Roman" w:cs="Times New Roman" w:hint="eastAsia"/>
          <w:bCs/>
          <w:color w:val="000000"/>
          <w:szCs w:val="21"/>
        </w:rPr>
        <w:t>年全年预计确认收入金额为</w:t>
      </w:r>
      <w:r>
        <w:rPr>
          <w:rFonts w:ascii="Times New Roman" w:hAnsi="Times New Roman" w:cs="Times New Roman"/>
          <w:bCs/>
          <w:color w:val="000000"/>
          <w:szCs w:val="21"/>
        </w:rPr>
        <w:t>29,249.24</w:t>
      </w:r>
      <w:r>
        <w:rPr>
          <w:rFonts w:ascii="Times New Roman" w:hAnsi="Times New Roman" w:cs="Times New Roman" w:hint="eastAsia"/>
          <w:bCs/>
          <w:color w:val="000000"/>
          <w:szCs w:val="21"/>
        </w:rPr>
        <w:t>万元。按商品类型分类情况如下：</w:t>
      </w:r>
    </w:p>
    <w:p w14:paraId="3BBA4336"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61"/>
        <w:gridCol w:w="4261"/>
      </w:tblGrid>
      <w:tr w:rsidR="00C02929" w14:paraId="7C785491" w14:textId="77777777">
        <w:trPr>
          <w:trHeight w:val="397"/>
          <w:tblHeader/>
        </w:trPr>
        <w:tc>
          <w:tcPr>
            <w:tcW w:w="2500" w:type="pct"/>
            <w:shd w:val="clear" w:color="auto" w:fill="auto"/>
            <w:noWrap/>
            <w:vAlign w:val="center"/>
          </w:tcPr>
          <w:p w14:paraId="73B134E6"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2500" w:type="pct"/>
            <w:shd w:val="clear" w:color="auto" w:fill="auto"/>
            <w:noWrap/>
            <w:vAlign w:val="center"/>
          </w:tcPr>
          <w:p w14:paraId="70475AE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年度</w:t>
            </w:r>
          </w:p>
        </w:tc>
      </w:tr>
      <w:tr w:rsidR="00C02929" w14:paraId="2F214EC9" w14:textId="77777777">
        <w:trPr>
          <w:trHeight w:val="397"/>
        </w:trPr>
        <w:tc>
          <w:tcPr>
            <w:tcW w:w="2500" w:type="pct"/>
            <w:shd w:val="clear" w:color="auto" w:fill="auto"/>
            <w:vAlign w:val="center"/>
          </w:tcPr>
          <w:p w14:paraId="2F514579"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2500" w:type="pct"/>
            <w:shd w:val="clear" w:color="auto" w:fill="auto"/>
            <w:noWrap/>
            <w:vAlign w:val="center"/>
          </w:tcPr>
          <w:p w14:paraId="5BE3041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29,249.24</w:t>
            </w:r>
          </w:p>
        </w:tc>
      </w:tr>
      <w:tr w:rsidR="00C02929" w14:paraId="1D763E72" w14:textId="77777777">
        <w:trPr>
          <w:trHeight w:val="397"/>
        </w:trPr>
        <w:tc>
          <w:tcPr>
            <w:tcW w:w="2500" w:type="pct"/>
            <w:shd w:val="clear" w:color="auto" w:fill="auto"/>
            <w:noWrap/>
            <w:vAlign w:val="center"/>
          </w:tcPr>
          <w:p w14:paraId="2BD839BB"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2500" w:type="pct"/>
            <w:shd w:val="clear" w:color="auto" w:fill="auto"/>
            <w:noWrap/>
            <w:vAlign w:val="center"/>
          </w:tcPr>
          <w:p w14:paraId="212B841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15,043.93</w:t>
            </w:r>
          </w:p>
        </w:tc>
      </w:tr>
      <w:tr w:rsidR="00C02929" w14:paraId="0368D310" w14:textId="77777777">
        <w:trPr>
          <w:trHeight w:val="397"/>
        </w:trPr>
        <w:tc>
          <w:tcPr>
            <w:tcW w:w="2500" w:type="pct"/>
            <w:shd w:val="clear" w:color="auto" w:fill="auto"/>
            <w:noWrap/>
            <w:vAlign w:val="center"/>
          </w:tcPr>
          <w:p w14:paraId="5C464CB7" w14:textId="77777777" w:rsidR="00C02929" w:rsidRDefault="006116D1">
            <w:pPr>
              <w:ind w:firstLineChars="300" w:firstLine="630"/>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2500" w:type="pct"/>
            <w:shd w:val="clear" w:color="auto" w:fill="auto"/>
            <w:noWrap/>
            <w:vAlign w:val="center"/>
          </w:tcPr>
          <w:p w14:paraId="0FF9F64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14,205.31</w:t>
            </w:r>
          </w:p>
        </w:tc>
      </w:tr>
    </w:tbl>
    <w:p w14:paraId="6775D02C" w14:textId="77777777" w:rsidR="00C02929" w:rsidRDefault="006116D1">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③</w:t>
      </w:r>
      <w:r>
        <w:rPr>
          <w:rFonts w:ascii="Times New Roman" w:hAnsi="Times New Roman" w:cs="Times New Roman"/>
          <w:lang w:bidi="ar"/>
        </w:rPr>
        <w:t>2022</w:t>
      </w:r>
      <w:r>
        <w:rPr>
          <w:rFonts w:ascii="Times New Roman" w:hAnsi="Times New Roman" w:cs="Times New Roman" w:hint="eastAsia"/>
          <w:lang w:bidi="ar"/>
        </w:rPr>
        <w:t>年及以后各年度收入预测</w:t>
      </w:r>
    </w:p>
    <w:p w14:paraId="2DC00D24" w14:textId="687919B3"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val="en-GB"/>
        </w:rPr>
        <w:t>通过客户访谈以及标的公司未来经营计划，机器人</w:t>
      </w:r>
      <w:r w:rsidR="00504445">
        <w:rPr>
          <w:rFonts w:ascii="Times New Roman" w:hAnsi="Times New Roman" w:cs="Times New Roman" w:hint="eastAsia"/>
          <w:bCs/>
          <w:color w:val="000000"/>
          <w:szCs w:val="21"/>
          <w:lang w:val="en-GB"/>
        </w:rPr>
        <w:t>及</w:t>
      </w:r>
      <w:r>
        <w:rPr>
          <w:rFonts w:ascii="Times New Roman" w:hAnsi="Times New Roman" w:cs="Times New Roman" w:hint="eastAsia"/>
          <w:bCs/>
          <w:color w:val="000000"/>
          <w:szCs w:val="21"/>
          <w:lang w:val="en-GB"/>
        </w:rPr>
        <w:t>配套项目尤其是机器人</w:t>
      </w:r>
      <w:r w:rsidR="00504445">
        <w:rPr>
          <w:rFonts w:ascii="Times New Roman" w:hAnsi="Times New Roman" w:cs="Times New Roman" w:hint="eastAsia"/>
          <w:bCs/>
          <w:color w:val="000000"/>
          <w:szCs w:val="21"/>
          <w:lang w:val="en-GB"/>
        </w:rPr>
        <w:t>及</w:t>
      </w:r>
      <w:r>
        <w:rPr>
          <w:rFonts w:ascii="Times New Roman" w:hAnsi="Times New Roman" w:cs="Times New Roman" w:hint="eastAsia"/>
          <w:bCs/>
          <w:color w:val="000000"/>
          <w:szCs w:val="21"/>
          <w:lang w:val="en-GB"/>
        </w:rPr>
        <w:t>配套中的机器人本体安装项目由于毛利低，北洋天青未来将不再考虑继续承接。标的公司业务方向将以毛利更高的定制化集成和机器人应用项目为主。同时考虑一定的竞争因素，</w:t>
      </w:r>
      <w:r>
        <w:rPr>
          <w:rFonts w:ascii="Times New Roman" w:hAnsi="Times New Roman" w:cs="Times New Roman"/>
          <w:bCs/>
          <w:color w:val="000000"/>
          <w:szCs w:val="21"/>
          <w:lang w:val="en-GB"/>
        </w:rPr>
        <w:t>2023</w:t>
      </w:r>
      <w:r>
        <w:rPr>
          <w:rFonts w:ascii="Times New Roman" w:hAnsi="Times New Roman" w:cs="Times New Roman" w:hint="eastAsia"/>
          <w:bCs/>
          <w:color w:val="000000"/>
          <w:szCs w:val="21"/>
          <w:lang w:val="en-GB"/>
        </w:rPr>
        <w:t>年以后标的公司的收入规模增长速度将逐年放缓。</w:t>
      </w:r>
      <w:r>
        <w:rPr>
          <w:rFonts w:ascii="Times New Roman" w:hAnsi="Times New Roman" w:cs="Times New Roman" w:hint="eastAsia"/>
          <w:bCs/>
          <w:color w:val="000000"/>
          <w:szCs w:val="21"/>
          <w:lang w:bidi="ar"/>
        </w:rPr>
        <w:t>标的公司未来年度业务收入预测如下：</w:t>
      </w:r>
    </w:p>
    <w:p w14:paraId="3BC4D9CC"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8"/>
        <w:gridCol w:w="1019"/>
        <w:gridCol w:w="1018"/>
        <w:gridCol w:w="1018"/>
        <w:gridCol w:w="1019"/>
        <w:gridCol w:w="1018"/>
        <w:gridCol w:w="1019"/>
        <w:gridCol w:w="1103"/>
      </w:tblGrid>
      <w:tr w:rsidR="00C02929" w14:paraId="0F90B9AE" w14:textId="77777777">
        <w:trPr>
          <w:trHeight w:val="397"/>
          <w:tblHeader/>
        </w:trPr>
        <w:tc>
          <w:tcPr>
            <w:tcW w:w="768" w:type="pct"/>
            <w:vMerge w:val="restart"/>
            <w:shd w:val="clear" w:color="auto" w:fill="auto"/>
            <w:noWrap/>
            <w:vAlign w:val="center"/>
          </w:tcPr>
          <w:p w14:paraId="09E43809" w14:textId="77777777" w:rsidR="00C02929" w:rsidRDefault="006116D1">
            <w:pPr>
              <w:ind w:leftChars="-25" w:left="-60" w:rightChars="-25" w:right="-60"/>
              <w:jc w:val="center"/>
              <w:rPr>
                <w:rFonts w:ascii="Times New Roman" w:hAnsi="Times New Roman" w:cs="Times New Roman"/>
                <w:b/>
                <w:bCs/>
                <w:sz w:val="21"/>
                <w:szCs w:val="21"/>
              </w:rPr>
            </w:pPr>
            <w:bookmarkStart w:id="100" w:name="_Hlk58529532"/>
            <w:r>
              <w:rPr>
                <w:rFonts w:ascii="Times New Roman" w:hAnsi="Times New Roman" w:cs="Times New Roman" w:hint="eastAsia"/>
                <w:b/>
                <w:bCs/>
                <w:sz w:val="21"/>
                <w:szCs w:val="21"/>
              </w:rPr>
              <w:t>项目</w:t>
            </w:r>
          </w:p>
        </w:tc>
        <w:tc>
          <w:tcPr>
            <w:tcW w:w="4232" w:type="pct"/>
            <w:gridSpan w:val="7"/>
            <w:shd w:val="clear" w:color="auto" w:fill="auto"/>
            <w:noWrap/>
            <w:vAlign w:val="center"/>
          </w:tcPr>
          <w:p w14:paraId="13466B58"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未来年度业务收入预测数据</w:t>
            </w:r>
          </w:p>
        </w:tc>
      </w:tr>
      <w:tr w:rsidR="00C02929" w14:paraId="6A3562A9" w14:textId="77777777">
        <w:trPr>
          <w:trHeight w:val="397"/>
          <w:tblHeader/>
        </w:trPr>
        <w:tc>
          <w:tcPr>
            <w:tcW w:w="768" w:type="pct"/>
            <w:vMerge/>
            <w:vAlign w:val="center"/>
          </w:tcPr>
          <w:p w14:paraId="3E301038" w14:textId="77777777" w:rsidR="00C02929" w:rsidRDefault="00C02929">
            <w:pPr>
              <w:ind w:leftChars="-25" w:left="-60" w:rightChars="-25" w:right="-60"/>
              <w:rPr>
                <w:rFonts w:ascii="Times New Roman" w:hAnsi="Times New Roman" w:cs="Times New Roman"/>
                <w:b/>
                <w:bCs/>
                <w:sz w:val="21"/>
                <w:szCs w:val="21"/>
              </w:rPr>
            </w:pPr>
          </w:p>
        </w:tc>
        <w:tc>
          <w:tcPr>
            <w:tcW w:w="598" w:type="pct"/>
            <w:shd w:val="clear" w:color="auto" w:fill="auto"/>
            <w:noWrap/>
            <w:vAlign w:val="center"/>
          </w:tcPr>
          <w:p w14:paraId="54EAFD2C"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97" w:type="pct"/>
            <w:shd w:val="clear" w:color="auto" w:fill="auto"/>
            <w:noWrap/>
            <w:vAlign w:val="center"/>
          </w:tcPr>
          <w:p w14:paraId="55FF701A"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2021</w:t>
            </w:r>
          </w:p>
        </w:tc>
        <w:tc>
          <w:tcPr>
            <w:tcW w:w="597" w:type="pct"/>
            <w:shd w:val="clear" w:color="auto" w:fill="auto"/>
            <w:noWrap/>
            <w:vAlign w:val="center"/>
          </w:tcPr>
          <w:p w14:paraId="437C7D99"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2022</w:t>
            </w:r>
          </w:p>
        </w:tc>
        <w:tc>
          <w:tcPr>
            <w:tcW w:w="598" w:type="pct"/>
            <w:shd w:val="clear" w:color="auto" w:fill="auto"/>
            <w:noWrap/>
            <w:vAlign w:val="center"/>
          </w:tcPr>
          <w:p w14:paraId="19EB1C7E"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2023</w:t>
            </w:r>
          </w:p>
        </w:tc>
        <w:tc>
          <w:tcPr>
            <w:tcW w:w="597" w:type="pct"/>
            <w:shd w:val="clear" w:color="auto" w:fill="auto"/>
            <w:noWrap/>
            <w:vAlign w:val="center"/>
          </w:tcPr>
          <w:p w14:paraId="6BB0D34E"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2024</w:t>
            </w:r>
          </w:p>
        </w:tc>
        <w:tc>
          <w:tcPr>
            <w:tcW w:w="598" w:type="pct"/>
            <w:shd w:val="clear" w:color="auto" w:fill="auto"/>
            <w:noWrap/>
            <w:vAlign w:val="center"/>
          </w:tcPr>
          <w:p w14:paraId="79A746C0"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2025</w:t>
            </w:r>
          </w:p>
        </w:tc>
        <w:tc>
          <w:tcPr>
            <w:tcW w:w="647" w:type="pct"/>
            <w:shd w:val="clear" w:color="auto" w:fill="auto"/>
            <w:noWrap/>
            <w:vAlign w:val="center"/>
          </w:tcPr>
          <w:p w14:paraId="215237DA"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C02929" w14:paraId="5C1B8099" w14:textId="77777777">
        <w:trPr>
          <w:trHeight w:val="397"/>
        </w:trPr>
        <w:tc>
          <w:tcPr>
            <w:tcW w:w="768" w:type="pct"/>
            <w:shd w:val="clear" w:color="auto" w:fill="auto"/>
            <w:noWrap/>
            <w:vAlign w:val="center"/>
          </w:tcPr>
          <w:p w14:paraId="1D16DDA4"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主营业务收入</w:t>
            </w:r>
          </w:p>
        </w:tc>
        <w:tc>
          <w:tcPr>
            <w:tcW w:w="598" w:type="pct"/>
            <w:shd w:val="clear" w:color="auto" w:fill="auto"/>
            <w:noWrap/>
            <w:vAlign w:val="center"/>
          </w:tcPr>
          <w:p w14:paraId="114193C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11,665.26</w:t>
            </w:r>
          </w:p>
        </w:tc>
        <w:tc>
          <w:tcPr>
            <w:tcW w:w="597" w:type="pct"/>
            <w:shd w:val="clear" w:color="auto" w:fill="auto"/>
            <w:noWrap/>
            <w:vAlign w:val="center"/>
          </w:tcPr>
          <w:p w14:paraId="1BCFF44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29,249.24</w:t>
            </w:r>
          </w:p>
        </w:tc>
        <w:tc>
          <w:tcPr>
            <w:tcW w:w="597" w:type="pct"/>
            <w:shd w:val="clear" w:color="auto" w:fill="auto"/>
            <w:noWrap/>
            <w:vAlign w:val="center"/>
          </w:tcPr>
          <w:p w14:paraId="13DBAC6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32,361.96</w:t>
            </w:r>
          </w:p>
        </w:tc>
        <w:tc>
          <w:tcPr>
            <w:tcW w:w="598" w:type="pct"/>
            <w:shd w:val="clear" w:color="auto" w:fill="auto"/>
            <w:noWrap/>
            <w:vAlign w:val="center"/>
          </w:tcPr>
          <w:p w14:paraId="6D71A60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34,790.00</w:t>
            </w:r>
          </w:p>
        </w:tc>
        <w:tc>
          <w:tcPr>
            <w:tcW w:w="597" w:type="pct"/>
            <w:shd w:val="clear" w:color="auto" w:fill="auto"/>
            <w:noWrap/>
            <w:vAlign w:val="center"/>
          </w:tcPr>
          <w:p w14:paraId="3BFA9C9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36,700.00</w:t>
            </w:r>
          </w:p>
        </w:tc>
        <w:tc>
          <w:tcPr>
            <w:tcW w:w="598" w:type="pct"/>
            <w:shd w:val="clear" w:color="auto" w:fill="auto"/>
            <w:noWrap/>
            <w:vAlign w:val="center"/>
          </w:tcPr>
          <w:p w14:paraId="1855AB5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c>
          <w:tcPr>
            <w:tcW w:w="647" w:type="pct"/>
            <w:shd w:val="clear" w:color="auto" w:fill="auto"/>
            <w:noWrap/>
            <w:vAlign w:val="center"/>
          </w:tcPr>
          <w:p w14:paraId="299BE13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r>
      <w:tr w:rsidR="00C02929" w14:paraId="418A28EE" w14:textId="77777777">
        <w:trPr>
          <w:trHeight w:val="397"/>
        </w:trPr>
        <w:tc>
          <w:tcPr>
            <w:tcW w:w="768" w:type="pct"/>
            <w:shd w:val="clear" w:color="auto" w:fill="auto"/>
            <w:noWrap/>
            <w:vAlign w:val="center"/>
          </w:tcPr>
          <w:p w14:paraId="26215F53"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598" w:type="pct"/>
            <w:shd w:val="clear" w:color="auto" w:fill="auto"/>
            <w:noWrap/>
            <w:vAlign w:val="center"/>
          </w:tcPr>
          <w:p w14:paraId="6952C2A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5,991.45</w:t>
            </w:r>
          </w:p>
        </w:tc>
        <w:tc>
          <w:tcPr>
            <w:tcW w:w="597" w:type="pct"/>
            <w:shd w:val="clear" w:color="auto" w:fill="auto"/>
            <w:noWrap/>
            <w:vAlign w:val="center"/>
          </w:tcPr>
          <w:p w14:paraId="27024FC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15,043.93</w:t>
            </w:r>
          </w:p>
        </w:tc>
        <w:tc>
          <w:tcPr>
            <w:tcW w:w="597" w:type="pct"/>
            <w:shd w:val="clear" w:color="auto" w:fill="auto"/>
            <w:noWrap/>
            <w:vAlign w:val="center"/>
          </w:tcPr>
          <w:p w14:paraId="1EBBF16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24,857.53</w:t>
            </w:r>
          </w:p>
        </w:tc>
        <w:tc>
          <w:tcPr>
            <w:tcW w:w="598" w:type="pct"/>
            <w:shd w:val="clear" w:color="auto" w:fill="auto"/>
            <w:noWrap/>
            <w:vAlign w:val="center"/>
          </w:tcPr>
          <w:p w14:paraId="2B28709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7" w:type="pct"/>
            <w:shd w:val="clear" w:color="auto" w:fill="auto"/>
            <w:noWrap/>
            <w:vAlign w:val="center"/>
          </w:tcPr>
          <w:p w14:paraId="4973C32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8" w:type="pct"/>
            <w:shd w:val="clear" w:color="auto" w:fill="auto"/>
            <w:noWrap/>
            <w:vAlign w:val="center"/>
          </w:tcPr>
          <w:p w14:paraId="7912331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647" w:type="pct"/>
            <w:shd w:val="clear" w:color="auto" w:fill="auto"/>
            <w:noWrap/>
            <w:vAlign w:val="center"/>
          </w:tcPr>
          <w:p w14:paraId="4A3DD7B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r>
      <w:tr w:rsidR="00C02929" w14:paraId="18C45F46" w14:textId="77777777">
        <w:trPr>
          <w:trHeight w:val="397"/>
        </w:trPr>
        <w:tc>
          <w:tcPr>
            <w:tcW w:w="768" w:type="pct"/>
            <w:shd w:val="clear" w:color="auto" w:fill="auto"/>
            <w:noWrap/>
            <w:vAlign w:val="center"/>
          </w:tcPr>
          <w:p w14:paraId="6C50FFEF"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598" w:type="pct"/>
            <w:shd w:val="clear" w:color="auto" w:fill="auto"/>
            <w:noWrap/>
            <w:vAlign w:val="center"/>
          </w:tcPr>
          <w:p w14:paraId="7A776CF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5,673.81</w:t>
            </w:r>
          </w:p>
        </w:tc>
        <w:tc>
          <w:tcPr>
            <w:tcW w:w="597" w:type="pct"/>
            <w:shd w:val="clear" w:color="auto" w:fill="auto"/>
            <w:noWrap/>
            <w:vAlign w:val="center"/>
          </w:tcPr>
          <w:p w14:paraId="529CCE7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14,205.31</w:t>
            </w:r>
          </w:p>
        </w:tc>
        <w:tc>
          <w:tcPr>
            <w:tcW w:w="597" w:type="pct"/>
            <w:shd w:val="clear" w:color="auto" w:fill="auto"/>
            <w:noWrap/>
            <w:vAlign w:val="center"/>
          </w:tcPr>
          <w:p w14:paraId="64A8CF9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7,504.42</w:t>
            </w:r>
          </w:p>
        </w:tc>
        <w:tc>
          <w:tcPr>
            <w:tcW w:w="598" w:type="pct"/>
            <w:shd w:val="clear" w:color="auto" w:fill="auto"/>
            <w:noWrap/>
            <w:vAlign w:val="center"/>
          </w:tcPr>
          <w:p w14:paraId="3B30CE7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7" w:type="pct"/>
            <w:shd w:val="clear" w:color="auto" w:fill="auto"/>
            <w:noWrap/>
            <w:vAlign w:val="center"/>
          </w:tcPr>
          <w:p w14:paraId="5A6C7ED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598" w:type="pct"/>
            <w:shd w:val="clear" w:color="auto" w:fill="auto"/>
            <w:noWrap/>
            <w:vAlign w:val="center"/>
          </w:tcPr>
          <w:p w14:paraId="0F4A19D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c>
          <w:tcPr>
            <w:tcW w:w="647" w:type="pct"/>
            <w:shd w:val="clear" w:color="auto" w:fill="auto"/>
            <w:noWrap/>
            <w:vAlign w:val="center"/>
          </w:tcPr>
          <w:p w14:paraId="28CE98B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hint="eastAsia"/>
                <w:sz w:val="21"/>
                <w:szCs w:val="21"/>
              </w:rPr>
              <w:t>-</w:t>
            </w:r>
          </w:p>
        </w:tc>
      </w:tr>
    </w:tbl>
    <w:p w14:paraId="4087B0E9"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101" w:name="_Toc163542853"/>
      <w:bookmarkStart w:id="102" w:name="_Toc161394621"/>
      <w:bookmarkEnd w:id="100"/>
      <w:r>
        <w:rPr>
          <w:rFonts w:ascii="Times New Roman" w:hAnsi="Times New Roman" w:cs="Times New Roman"/>
          <w:lang w:bidi="ar"/>
        </w:rPr>
        <w:t>2</w:t>
      </w:r>
      <w:r>
        <w:rPr>
          <w:rFonts w:ascii="Times New Roman" w:hAnsi="Times New Roman" w:cs="Times New Roman" w:hint="eastAsia"/>
          <w:lang w:bidi="ar"/>
        </w:rPr>
        <w:t>）营业成本预测</w:t>
      </w:r>
      <w:bookmarkEnd w:id="101"/>
      <w:bookmarkEnd w:id="102"/>
    </w:p>
    <w:p w14:paraId="309AA22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lastRenderedPageBreak/>
        <w:t>北洋天青主营业务历史各类产品的成本及毛利率情况如下所示：</w:t>
      </w:r>
    </w:p>
    <w:p w14:paraId="374A8A68"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36"/>
        <w:gridCol w:w="1616"/>
        <w:gridCol w:w="1616"/>
        <w:gridCol w:w="1737"/>
        <w:gridCol w:w="1617"/>
      </w:tblGrid>
      <w:tr w:rsidR="00C02929" w14:paraId="5852C16B" w14:textId="77777777">
        <w:trPr>
          <w:trHeight w:val="397"/>
        </w:trPr>
        <w:tc>
          <w:tcPr>
            <w:tcW w:w="1136" w:type="pct"/>
            <w:vMerge w:val="restart"/>
            <w:shd w:val="clear" w:color="auto" w:fill="auto"/>
            <w:vAlign w:val="center"/>
          </w:tcPr>
          <w:p w14:paraId="41AC7705" w14:textId="77777777" w:rsidR="00C02929" w:rsidRDefault="006116D1">
            <w:pPr>
              <w:keepNext/>
              <w:jc w:val="center"/>
              <w:rPr>
                <w:rFonts w:ascii="Times New Roman" w:hAnsi="Times New Roman" w:cs="Times New Roman"/>
                <w:b/>
                <w:bCs/>
                <w:sz w:val="21"/>
                <w:szCs w:val="21"/>
              </w:rPr>
            </w:pPr>
            <w:bookmarkStart w:id="103" w:name="_Hlk58529548"/>
            <w:r>
              <w:rPr>
                <w:rFonts w:ascii="Times New Roman" w:hAnsi="Times New Roman" w:cs="Times New Roman" w:hint="eastAsia"/>
                <w:b/>
                <w:bCs/>
                <w:sz w:val="21"/>
                <w:szCs w:val="21"/>
              </w:rPr>
              <w:t>合同分类</w:t>
            </w:r>
          </w:p>
        </w:tc>
        <w:tc>
          <w:tcPr>
            <w:tcW w:w="948" w:type="pct"/>
            <w:shd w:val="clear" w:color="auto" w:fill="auto"/>
            <w:vAlign w:val="center"/>
          </w:tcPr>
          <w:p w14:paraId="105EE059" w14:textId="77777777" w:rsidR="00C02929" w:rsidRDefault="006116D1">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2017</w:t>
            </w:r>
            <w:r>
              <w:rPr>
                <w:rFonts w:ascii="Times New Roman" w:hAnsi="Times New Roman" w:cs="Times New Roman" w:hint="eastAsia"/>
                <w:b/>
                <w:bCs/>
                <w:sz w:val="21"/>
                <w:szCs w:val="21"/>
                <w:lang w:val="en-GB"/>
              </w:rPr>
              <w:t>年度</w:t>
            </w:r>
          </w:p>
        </w:tc>
        <w:tc>
          <w:tcPr>
            <w:tcW w:w="948" w:type="pct"/>
            <w:shd w:val="clear" w:color="auto" w:fill="auto"/>
            <w:vAlign w:val="center"/>
          </w:tcPr>
          <w:p w14:paraId="22D16E88" w14:textId="77777777" w:rsidR="00C02929" w:rsidRDefault="006116D1">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2018</w:t>
            </w:r>
            <w:r>
              <w:rPr>
                <w:rFonts w:ascii="Times New Roman" w:hAnsi="Times New Roman" w:cs="Times New Roman" w:hint="eastAsia"/>
                <w:b/>
                <w:bCs/>
                <w:sz w:val="21"/>
                <w:szCs w:val="21"/>
                <w:lang w:val="en-GB"/>
              </w:rPr>
              <w:t>年度</w:t>
            </w:r>
          </w:p>
        </w:tc>
        <w:tc>
          <w:tcPr>
            <w:tcW w:w="1019" w:type="pct"/>
            <w:shd w:val="clear" w:color="auto" w:fill="auto"/>
            <w:vAlign w:val="center"/>
          </w:tcPr>
          <w:p w14:paraId="578A13B9" w14:textId="77777777" w:rsidR="00C02929" w:rsidRDefault="006116D1">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2019</w:t>
            </w:r>
            <w:r>
              <w:rPr>
                <w:rFonts w:ascii="Times New Roman" w:hAnsi="Times New Roman" w:cs="Times New Roman" w:hint="eastAsia"/>
                <w:b/>
                <w:bCs/>
                <w:sz w:val="21"/>
                <w:szCs w:val="21"/>
                <w:lang w:val="en-GB"/>
              </w:rPr>
              <w:t>年度</w:t>
            </w:r>
          </w:p>
        </w:tc>
        <w:tc>
          <w:tcPr>
            <w:tcW w:w="948" w:type="pct"/>
            <w:shd w:val="clear" w:color="auto" w:fill="auto"/>
            <w:vAlign w:val="center"/>
          </w:tcPr>
          <w:p w14:paraId="67238283" w14:textId="77777777" w:rsidR="00C02929" w:rsidRDefault="006116D1">
            <w:pPr>
              <w:keepNext/>
              <w:jc w:val="center"/>
              <w:rPr>
                <w:rFonts w:ascii="Times New Roman" w:hAnsi="Times New Roman" w:cs="Times New Roman"/>
                <w:b/>
                <w:bCs/>
                <w:sz w:val="21"/>
                <w:szCs w:val="21"/>
              </w:rPr>
            </w:pPr>
            <w:r>
              <w:rPr>
                <w:rFonts w:ascii="Times New Roman" w:hAnsi="Times New Roman" w:cs="Times New Roman" w:hint="eastAsia"/>
                <w:b/>
                <w:bCs/>
                <w:sz w:val="21"/>
                <w:szCs w:val="21"/>
                <w:lang w:val="en-GB"/>
              </w:rPr>
              <w:t>2020</w:t>
            </w:r>
            <w:r>
              <w:rPr>
                <w:rFonts w:ascii="Times New Roman" w:hAnsi="Times New Roman" w:cs="Times New Roman" w:hint="eastAsia"/>
                <w:b/>
                <w:bCs/>
                <w:sz w:val="21"/>
                <w:szCs w:val="21"/>
                <w:lang w:val="en-GB"/>
              </w:rPr>
              <w:t>年</w:t>
            </w:r>
            <w:r>
              <w:rPr>
                <w:rFonts w:ascii="Times New Roman" w:hAnsi="Times New Roman" w:cs="Times New Roman" w:hint="eastAsia"/>
                <w:b/>
                <w:bCs/>
                <w:sz w:val="21"/>
                <w:szCs w:val="21"/>
                <w:lang w:val="en-GB"/>
              </w:rPr>
              <w:t>1-6</w:t>
            </w:r>
            <w:r>
              <w:rPr>
                <w:rFonts w:ascii="Times New Roman" w:hAnsi="Times New Roman" w:cs="Times New Roman" w:hint="eastAsia"/>
                <w:b/>
                <w:bCs/>
                <w:sz w:val="21"/>
                <w:szCs w:val="21"/>
                <w:lang w:val="en-GB"/>
              </w:rPr>
              <w:t>月</w:t>
            </w:r>
          </w:p>
        </w:tc>
      </w:tr>
      <w:tr w:rsidR="00C02929" w14:paraId="6EE4D743" w14:textId="77777777">
        <w:trPr>
          <w:trHeight w:val="397"/>
        </w:trPr>
        <w:tc>
          <w:tcPr>
            <w:tcW w:w="1136" w:type="pct"/>
            <w:vMerge/>
            <w:vAlign w:val="center"/>
          </w:tcPr>
          <w:p w14:paraId="79D2F9F0" w14:textId="77777777" w:rsidR="00C02929" w:rsidRDefault="00C02929">
            <w:pPr>
              <w:jc w:val="center"/>
              <w:rPr>
                <w:rFonts w:ascii="Times New Roman" w:hAnsi="Times New Roman" w:cs="Times New Roman"/>
                <w:b/>
                <w:bCs/>
                <w:sz w:val="21"/>
                <w:szCs w:val="21"/>
              </w:rPr>
            </w:pPr>
          </w:p>
        </w:tc>
        <w:tc>
          <w:tcPr>
            <w:tcW w:w="3864" w:type="pct"/>
            <w:gridSpan w:val="4"/>
            <w:shd w:val="clear" w:color="auto" w:fill="auto"/>
            <w:vAlign w:val="center"/>
          </w:tcPr>
          <w:p w14:paraId="2DCB64C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主营业务成本</w:t>
            </w:r>
          </w:p>
        </w:tc>
      </w:tr>
      <w:tr w:rsidR="00C02929" w14:paraId="2AE8C79C" w14:textId="77777777">
        <w:trPr>
          <w:trHeight w:val="397"/>
        </w:trPr>
        <w:tc>
          <w:tcPr>
            <w:tcW w:w="1136" w:type="pct"/>
            <w:shd w:val="clear" w:color="auto" w:fill="auto"/>
            <w:vAlign w:val="center"/>
          </w:tcPr>
          <w:p w14:paraId="5C232A69"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948" w:type="pct"/>
            <w:shd w:val="clear" w:color="auto" w:fill="auto"/>
            <w:vAlign w:val="center"/>
          </w:tcPr>
          <w:p w14:paraId="4C1EEEC3"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2,447.82</w:t>
            </w:r>
          </w:p>
        </w:tc>
        <w:tc>
          <w:tcPr>
            <w:tcW w:w="948" w:type="pct"/>
            <w:shd w:val="clear" w:color="auto" w:fill="auto"/>
            <w:vAlign w:val="center"/>
          </w:tcPr>
          <w:p w14:paraId="59BA88E7"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4,113.44</w:t>
            </w:r>
          </w:p>
        </w:tc>
        <w:tc>
          <w:tcPr>
            <w:tcW w:w="1019" w:type="pct"/>
            <w:shd w:val="clear" w:color="auto" w:fill="auto"/>
            <w:vAlign w:val="center"/>
          </w:tcPr>
          <w:p w14:paraId="6422EC7E"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6,911.95</w:t>
            </w:r>
          </w:p>
        </w:tc>
        <w:tc>
          <w:tcPr>
            <w:tcW w:w="948" w:type="pct"/>
            <w:shd w:val="clear" w:color="auto" w:fill="auto"/>
            <w:vAlign w:val="center"/>
          </w:tcPr>
          <w:p w14:paraId="2AD7912A"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2,873.98</w:t>
            </w:r>
          </w:p>
        </w:tc>
      </w:tr>
      <w:tr w:rsidR="00C02929" w14:paraId="4AE7C710" w14:textId="77777777">
        <w:trPr>
          <w:trHeight w:val="397"/>
        </w:trPr>
        <w:tc>
          <w:tcPr>
            <w:tcW w:w="1136" w:type="pct"/>
            <w:shd w:val="clear" w:color="auto" w:fill="auto"/>
            <w:vAlign w:val="center"/>
          </w:tcPr>
          <w:p w14:paraId="3F3E6CDC"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948" w:type="pct"/>
            <w:shd w:val="clear" w:color="auto" w:fill="auto"/>
            <w:vAlign w:val="center"/>
          </w:tcPr>
          <w:p w14:paraId="58E30EC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1,496.53</w:t>
            </w:r>
          </w:p>
        </w:tc>
        <w:tc>
          <w:tcPr>
            <w:tcW w:w="948" w:type="pct"/>
            <w:shd w:val="clear" w:color="auto" w:fill="auto"/>
            <w:vAlign w:val="center"/>
          </w:tcPr>
          <w:p w14:paraId="19BC01B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437.38</w:t>
            </w:r>
          </w:p>
        </w:tc>
        <w:tc>
          <w:tcPr>
            <w:tcW w:w="1019" w:type="pct"/>
            <w:shd w:val="clear" w:color="auto" w:fill="auto"/>
            <w:vAlign w:val="center"/>
          </w:tcPr>
          <w:p w14:paraId="5C9A1C7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5,620.31</w:t>
            </w:r>
          </w:p>
        </w:tc>
        <w:tc>
          <w:tcPr>
            <w:tcW w:w="948" w:type="pct"/>
            <w:shd w:val="clear" w:color="auto" w:fill="auto"/>
            <w:vAlign w:val="center"/>
          </w:tcPr>
          <w:p w14:paraId="1F423B4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1,185.84</w:t>
            </w:r>
          </w:p>
        </w:tc>
      </w:tr>
      <w:tr w:rsidR="00C02929" w14:paraId="0D6DC6C7" w14:textId="77777777">
        <w:trPr>
          <w:trHeight w:val="397"/>
        </w:trPr>
        <w:tc>
          <w:tcPr>
            <w:tcW w:w="1136" w:type="pct"/>
            <w:shd w:val="clear" w:color="auto" w:fill="auto"/>
            <w:vAlign w:val="center"/>
          </w:tcPr>
          <w:p w14:paraId="38CC8F39"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948" w:type="pct"/>
            <w:shd w:val="clear" w:color="auto" w:fill="auto"/>
            <w:vAlign w:val="center"/>
          </w:tcPr>
          <w:p w14:paraId="1A9F527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951.29</w:t>
            </w:r>
          </w:p>
        </w:tc>
        <w:tc>
          <w:tcPr>
            <w:tcW w:w="948" w:type="pct"/>
            <w:shd w:val="clear" w:color="auto" w:fill="auto"/>
            <w:vAlign w:val="center"/>
          </w:tcPr>
          <w:p w14:paraId="6D2AF05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3,676.06</w:t>
            </w:r>
          </w:p>
        </w:tc>
        <w:tc>
          <w:tcPr>
            <w:tcW w:w="1019" w:type="pct"/>
            <w:shd w:val="clear" w:color="auto" w:fill="auto"/>
            <w:vAlign w:val="center"/>
          </w:tcPr>
          <w:p w14:paraId="2352853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1,291.64</w:t>
            </w:r>
          </w:p>
        </w:tc>
        <w:tc>
          <w:tcPr>
            <w:tcW w:w="948" w:type="pct"/>
            <w:shd w:val="clear" w:color="auto" w:fill="auto"/>
            <w:vAlign w:val="center"/>
          </w:tcPr>
          <w:p w14:paraId="2FCE039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1,688.14</w:t>
            </w:r>
          </w:p>
        </w:tc>
      </w:tr>
      <w:tr w:rsidR="00C02929" w14:paraId="78A41FC3" w14:textId="77777777">
        <w:trPr>
          <w:trHeight w:val="397"/>
        </w:trPr>
        <w:tc>
          <w:tcPr>
            <w:tcW w:w="1136" w:type="pct"/>
            <w:vMerge w:val="restart"/>
            <w:shd w:val="clear" w:color="auto" w:fill="auto"/>
            <w:vAlign w:val="center"/>
          </w:tcPr>
          <w:p w14:paraId="476F75DE"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合同分类</w:t>
            </w:r>
          </w:p>
        </w:tc>
        <w:tc>
          <w:tcPr>
            <w:tcW w:w="948" w:type="pct"/>
            <w:shd w:val="clear" w:color="auto" w:fill="auto"/>
            <w:vAlign w:val="center"/>
          </w:tcPr>
          <w:p w14:paraId="1A099A9F"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年度</w:t>
            </w:r>
          </w:p>
        </w:tc>
        <w:tc>
          <w:tcPr>
            <w:tcW w:w="948" w:type="pct"/>
            <w:shd w:val="clear" w:color="auto" w:fill="auto"/>
            <w:vAlign w:val="center"/>
          </w:tcPr>
          <w:p w14:paraId="7D7D787C"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年度</w:t>
            </w:r>
          </w:p>
        </w:tc>
        <w:tc>
          <w:tcPr>
            <w:tcW w:w="1019" w:type="pct"/>
            <w:shd w:val="clear" w:color="auto" w:fill="auto"/>
            <w:vAlign w:val="center"/>
          </w:tcPr>
          <w:p w14:paraId="51842C2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年度</w:t>
            </w:r>
          </w:p>
        </w:tc>
        <w:tc>
          <w:tcPr>
            <w:tcW w:w="948" w:type="pct"/>
            <w:shd w:val="clear" w:color="auto" w:fill="auto"/>
            <w:vAlign w:val="center"/>
          </w:tcPr>
          <w:p w14:paraId="569DA3DC"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1-6</w:t>
            </w:r>
            <w:r>
              <w:rPr>
                <w:rFonts w:ascii="Times New Roman" w:hAnsi="Times New Roman" w:cs="Times New Roman" w:hint="eastAsia"/>
                <w:b/>
                <w:bCs/>
                <w:sz w:val="21"/>
                <w:szCs w:val="21"/>
              </w:rPr>
              <w:t>月</w:t>
            </w:r>
          </w:p>
        </w:tc>
      </w:tr>
      <w:tr w:rsidR="00C02929" w14:paraId="2979CD88" w14:textId="77777777">
        <w:trPr>
          <w:trHeight w:val="397"/>
        </w:trPr>
        <w:tc>
          <w:tcPr>
            <w:tcW w:w="1136" w:type="pct"/>
            <w:vMerge/>
            <w:vAlign w:val="center"/>
          </w:tcPr>
          <w:p w14:paraId="4B636ACF" w14:textId="77777777" w:rsidR="00C02929" w:rsidRDefault="00C02929">
            <w:pPr>
              <w:rPr>
                <w:rFonts w:ascii="Times New Roman" w:hAnsi="Times New Roman" w:cs="Times New Roman"/>
                <w:b/>
                <w:bCs/>
                <w:sz w:val="21"/>
                <w:szCs w:val="21"/>
              </w:rPr>
            </w:pPr>
          </w:p>
        </w:tc>
        <w:tc>
          <w:tcPr>
            <w:tcW w:w="3864" w:type="pct"/>
            <w:gridSpan w:val="4"/>
            <w:shd w:val="clear" w:color="auto" w:fill="auto"/>
            <w:vAlign w:val="center"/>
          </w:tcPr>
          <w:p w14:paraId="4005617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毛利率</w:t>
            </w:r>
          </w:p>
        </w:tc>
      </w:tr>
      <w:tr w:rsidR="00C02929" w14:paraId="24B146C4" w14:textId="77777777">
        <w:trPr>
          <w:trHeight w:val="397"/>
        </w:trPr>
        <w:tc>
          <w:tcPr>
            <w:tcW w:w="1136" w:type="pct"/>
            <w:shd w:val="clear" w:color="auto" w:fill="auto"/>
            <w:vAlign w:val="center"/>
          </w:tcPr>
          <w:p w14:paraId="40CE9B12"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按商品类型分类</w:t>
            </w:r>
          </w:p>
        </w:tc>
        <w:tc>
          <w:tcPr>
            <w:tcW w:w="948" w:type="pct"/>
            <w:shd w:val="clear" w:color="auto" w:fill="auto"/>
            <w:vAlign w:val="center"/>
          </w:tcPr>
          <w:p w14:paraId="511FD203"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27.9</w:t>
            </w:r>
            <w:r>
              <w:rPr>
                <w:rFonts w:ascii="Times New Roman" w:hAnsi="Times New Roman" w:cs="Times New Roman" w:hint="eastAsia"/>
                <w:b/>
                <w:bCs/>
                <w:sz w:val="21"/>
                <w:szCs w:val="21"/>
              </w:rPr>
              <w:t>5</w:t>
            </w:r>
            <w:r>
              <w:rPr>
                <w:rFonts w:ascii="Times New Roman" w:hAnsi="Times New Roman" w:cs="Times New Roman"/>
                <w:b/>
                <w:bCs/>
                <w:sz w:val="21"/>
                <w:szCs w:val="21"/>
              </w:rPr>
              <w:t>%</w:t>
            </w:r>
          </w:p>
        </w:tc>
        <w:tc>
          <w:tcPr>
            <w:tcW w:w="948" w:type="pct"/>
            <w:shd w:val="clear" w:color="auto" w:fill="auto"/>
            <w:vAlign w:val="center"/>
          </w:tcPr>
          <w:p w14:paraId="4CC89A13"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32.6</w:t>
            </w:r>
            <w:r>
              <w:rPr>
                <w:rFonts w:ascii="Times New Roman" w:hAnsi="Times New Roman" w:cs="Times New Roman" w:hint="eastAsia"/>
                <w:b/>
                <w:bCs/>
                <w:sz w:val="21"/>
                <w:szCs w:val="21"/>
              </w:rPr>
              <w:t>3</w:t>
            </w:r>
            <w:r>
              <w:rPr>
                <w:rFonts w:ascii="Times New Roman" w:hAnsi="Times New Roman" w:cs="Times New Roman"/>
                <w:b/>
                <w:bCs/>
                <w:sz w:val="21"/>
                <w:szCs w:val="21"/>
              </w:rPr>
              <w:t>%</w:t>
            </w:r>
          </w:p>
        </w:tc>
        <w:tc>
          <w:tcPr>
            <w:tcW w:w="1019" w:type="pct"/>
            <w:shd w:val="clear" w:color="auto" w:fill="auto"/>
            <w:vAlign w:val="center"/>
          </w:tcPr>
          <w:p w14:paraId="46CBB4B3"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33.</w:t>
            </w:r>
            <w:r>
              <w:rPr>
                <w:rFonts w:ascii="Times New Roman" w:hAnsi="Times New Roman" w:cs="Times New Roman" w:hint="eastAsia"/>
                <w:b/>
                <w:bCs/>
                <w:sz w:val="21"/>
                <w:szCs w:val="21"/>
              </w:rPr>
              <w:t>06</w:t>
            </w:r>
            <w:r>
              <w:rPr>
                <w:rFonts w:ascii="Times New Roman" w:hAnsi="Times New Roman" w:cs="Times New Roman"/>
                <w:b/>
                <w:bCs/>
                <w:sz w:val="21"/>
                <w:szCs w:val="21"/>
              </w:rPr>
              <w:t>%</w:t>
            </w:r>
          </w:p>
        </w:tc>
        <w:tc>
          <w:tcPr>
            <w:tcW w:w="948" w:type="pct"/>
            <w:shd w:val="clear" w:color="auto" w:fill="auto"/>
            <w:vAlign w:val="center"/>
          </w:tcPr>
          <w:p w14:paraId="0FE02327"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28.</w:t>
            </w:r>
            <w:r>
              <w:rPr>
                <w:rFonts w:ascii="Times New Roman" w:hAnsi="Times New Roman" w:cs="Times New Roman" w:hint="eastAsia"/>
                <w:b/>
                <w:bCs/>
                <w:sz w:val="21"/>
                <w:szCs w:val="21"/>
              </w:rPr>
              <w:t>8</w:t>
            </w:r>
            <w:r>
              <w:rPr>
                <w:rFonts w:ascii="Times New Roman" w:hAnsi="Times New Roman" w:cs="Times New Roman"/>
                <w:b/>
                <w:bCs/>
                <w:sz w:val="21"/>
                <w:szCs w:val="21"/>
              </w:rPr>
              <w:t>9%</w:t>
            </w:r>
          </w:p>
        </w:tc>
      </w:tr>
      <w:tr w:rsidR="00C02929" w14:paraId="5476E2EE" w14:textId="77777777">
        <w:trPr>
          <w:trHeight w:val="397"/>
        </w:trPr>
        <w:tc>
          <w:tcPr>
            <w:tcW w:w="1136" w:type="pct"/>
            <w:shd w:val="clear" w:color="auto" w:fill="auto"/>
            <w:vAlign w:val="center"/>
          </w:tcPr>
          <w:p w14:paraId="3FF49E80"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其中：定制化集成</w:t>
            </w:r>
          </w:p>
        </w:tc>
        <w:tc>
          <w:tcPr>
            <w:tcW w:w="948" w:type="pct"/>
            <w:shd w:val="clear" w:color="auto" w:fill="auto"/>
            <w:vAlign w:val="center"/>
          </w:tcPr>
          <w:p w14:paraId="2671716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33.</w:t>
            </w:r>
            <w:r>
              <w:rPr>
                <w:rFonts w:ascii="Times New Roman" w:hAnsi="Times New Roman" w:cs="Times New Roman" w:hint="eastAsia"/>
                <w:sz w:val="21"/>
                <w:szCs w:val="21"/>
              </w:rPr>
              <w:t>39</w:t>
            </w:r>
            <w:r>
              <w:rPr>
                <w:rFonts w:ascii="Times New Roman" w:hAnsi="Times New Roman" w:cs="Times New Roman"/>
                <w:sz w:val="21"/>
                <w:szCs w:val="21"/>
              </w:rPr>
              <w:t>%</w:t>
            </w:r>
          </w:p>
        </w:tc>
        <w:tc>
          <w:tcPr>
            <w:tcW w:w="948" w:type="pct"/>
            <w:shd w:val="clear" w:color="auto" w:fill="auto"/>
            <w:vAlign w:val="center"/>
          </w:tcPr>
          <w:p w14:paraId="6918ABF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50.9</w:t>
            </w:r>
            <w:r>
              <w:rPr>
                <w:rFonts w:ascii="Times New Roman" w:hAnsi="Times New Roman" w:cs="Times New Roman" w:hint="eastAsia"/>
                <w:sz w:val="21"/>
                <w:szCs w:val="21"/>
              </w:rPr>
              <w:t>0</w:t>
            </w:r>
            <w:r>
              <w:rPr>
                <w:rFonts w:ascii="Times New Roman" w:hAnsi="Times New Roman" w:cs="Times New Roman"/>
                <w:sz w:val="21"/>
                <w:szCs w:val="21"/>
              </w:rPr>
              <w:t>%</w:t>
            </w:r>
          </w:p>
        </w:tc>
        <w:tc>
          <w:tcPr>
            <w:tcW w:w="1019" w:type="pct"/>
            <w:shd w:val="clear" w:color="auto" w:fill="auto"/>
            <w:vAlign w:val="center"/>
          </w:tcPr>
          <w:p w14:paraId="728A5FB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34.2</w:t>
            </w:r>
            <w:r>
              <w:rPr>
                <w:rFonts w:ascii="Times New Roman" w:hAnsi="Times New Roman" w:cs="Times New Roman" w:hint="eastAsia"/>
                <w:sz w:val="21"/>
                <w:szCs w:val="21"/>
              </w:rPr>
              <w:t>2</w:t>
            </w:r>
            <w:r>
              <w:rPr>
                <w:rFonts w:ascii="Times New Roman" w:hAnsi="Times New Roman" w:cs="Times New Roman"/>
                <w:sz w:val="21"/>
                <w:szCs w:val="21"/>
              </w:rPr>
              <w:t>%</w:t>
            </w:r>
          </w:p>
        </w:tc>
        <w:tc>
          <w:tcPr>
            <w:tcW w:w="948" w:type="pct"/>
            <w:shd w:val="clear" w:color="auto" w:fill="auto"/>
            <w:vAlign w:val="center"/>
          </w:tcPr>
          <w:p w14:paraId="4186339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28.1</w:t>
            </w:r>
            <w:r>
              <w:rPr>
                <w:rFonts w:ascii="Times New Roman" w:hAnsi="Times New Roman" w:cs="Times New Roman" w:hint="eastAsia"/>
                <w:sz w:val="21"/>
                <w:szCs w:val="21"/>
              </w:rPr>
              <w:t>4</w:t>
            </w:r>
            <w:r>
              <w:rPr>
                <w:rFonts w:ascii="Times New Roman" w:hAnsi="Times New Roman" w:cs="Times New Roman"/>
                <w:sz w:val="21"/>
                <w:szCs w:val="21"/>
              </w:rPr>
              <w:t>%</w:t>
            </w:r>
          </w:p>
        </w:tc>
      </w:tr>
      <w:tr w:rsidR="00C02929" w14:paraId="47287321" w14:textId="77777777">
        <w:trPr>
          <w:trHeight w:val="397"/>
        </w:trPr>
        <w:tc>
          <w:tcPr>
            <w:tcW w:w="1136" w:type="pct"/>
            <w:shd w:val="clear" w:color="auto" w:fill="auto"/>
            <w:vAlign w:val="center"/>
          </w:tcPr>
          <w:p w14:paraId="6FEC9694"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机器人及配套</w:t>
            </w:r>
          </w:p>
        </w:tc>
        <w:tc>
          <w:tcPr>
            <w:tcW w:w="948" w:type="pct"/>
            <w:shd w:val="clear" w:color="auto" w:fill="auto"/>
            <w:vAlign w:val="center"/>
          </w:tcPr>
          <w:p w14:paraId="6259AEF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17.3</w:t>
            </w:r>
            <w:r>
              <w:rPr>
                <w:rFonts w:ascii="Times New Roman" w:hAnsi="Times New Roman" w:cs="Times New Roman" w:hint="eastAsia"/>
                <w:sz w:val="21"/>
                <w:szCs w:val="21"/>
              </w:rPr>
              <w:t>3</w:t>
            </w:r>
            <w:r>
              <w:rPr>
                <w:rFonts w:ascii="Times New Roman" w:hAnsi="Times New Roman" w:cs="Times New Roman"/>
                <w:sz w:val="21"/>
                <w:szCs w:val="21"/>
              </w:rPr>
              <w:t>%</w:t>
            </w:r>
          </w:p>
        </w:tc>
        <w:tc>
          <w:tcPr>
            <w:tcW w:w="948" w:type="pct"/>
            <w:shd w:val="clear" w:color="auto" w:fill="auto"/>
            <w:vAlign w:val="center"/>
          </w:tcPr>
          <w:p w14:paraId="259A15A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29.5</w:t>
            </w:r>
            <w:r>
              <w:rPr>
                <w:rFonts w:ascii="Times New Roman" w:hAnsi="Times New Roman" w:cs="Times New Roman" w:hint="eastAsia"/>
                <w:sz w:val="21"/>
                <w:szCs w:val="21"/>
              </w:rPr>
              <w:t>1</w:t>
            </w:r>
            <w:r>
              <w:rPr>
                <w:rFonts w:ascii="Times New Roman" w:hAnsi="Times New Roman" w:cs="Times New Roman"/>
                <w:sz w:val="21"/>
                <w:szCs w:val="21"/>
              </w:rPr>
              <w:t>%</w:t>
            </w:r>
          </w:p>
        </w:tc>
        <w:tc>
          <w:tcPr>
            <w:tcW w:w="1019" w:type="pct"/>
            <w:shd w:val="clear" w:color="auto" w:fill="auto"/>
            <w:vAlign w:val="center"/>
          </w:tcPr>
          <w:p w14:paraId="233E161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27.5</w:t>
            </w:r>
            <w:r>
              <w:rPr>
                <w:rFonts w:ascii="Times New Roman" w:hAnsi="Times New Roman" w:cs="Times New Roman" w:hint="eastAsia"/>
                <w:sz w:val="21"/>
                <w:szCs w:val="21"/>
              </w:rPr>
              <w:t>0</w:t>
            </w:r>
            <w:r>
              <w:rPr>
                <w:rFonts w:ascii="Times New Roman" w:hAnsi="Times New Roman" w:cs="Times New Roman"/>
                <w:sz w:val="21"/>
                <w:szCs w:val="21"/>
              </w:rPr>
              <w:t>%</w:t>
            </w:r>
          </w:p>
        </w:tc>
        <w:tc>
          <w:tcPr>
            <w:tcW w:w="948" w:type="pct"/>
            <w:shd w:val="clear" w:color="auto" w:fill="auto"/>
            <w:vAlign w:val="center"/>
          </w:tcPr>
          <w:p w14:paraId="1FE2497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29.4</w:t>
            </w:r>
            <w:r>
              <w:rPr>
                <w:rFonts w:ascii="Times New Roman" w:hAnsi="Times New Roman" w:cs="Times New Roman" w:hint="eastAsia"/>
                <w:sz w:val="21"/>
                <w:szCs w:val="21"/>
              </w:rPr>
              <w:t>0</w:t>
            </w:r>
            <w:r>
              <w:rPr>
                <w:rFonts w:ascii="Times New Roman" w:hAnsi="Times New Roman" w:cs="Times New Roman"/>
                <w:sz w:val="21"/>
                <w:szCs w:val="21"/>
              </w:rPr>
              <w:t>%</w:t>
            </w:r>
          </w:p>
        </w:tc>
      </w:tr>
    </w:tbl>
    <w:bookmarkEnd w:id="103"/>
    <w:p w14:paraId="75D59539"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主营业务成本由生产成本结转。生产成本包括直接材料、直接人工、制造费用，其中制造费具体可以分为厂房房租、水电费、折旧和摊销、物料消耗、劳保费等。</w:t>
      </w:r>
    </w:p>
    <w:p w14:paraId="1DCA9C8D"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hint="eastAsia"/>
          <w:bCs/>
          <w:color w:val="000000"/>
          <w:szCs w:val="21"/>
          <w:lang w:bidi="ar"/>
        </w:rPr>
        <w:t>根据标的公司历史年度毛利情况可以看出，综合毛利呈逐年上升状态，主要是由于标的公司成立初期，为了打开市场，采取低价竞争以及承接机器人本体安装等毛利较低项目的方式获取订单，不断积累客户资源，通过多年客户积累以及产品质量和产品技术水平的提高，近年来标的公司产品综合毛利呈现出逐年上升趋势。</w:t>
      </w:r>
    </w:p>
    <w:p w14:paraId="00E495FB"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bidi="ar"/>
        </w:rPr>
      </w:pP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w:t>
      </w:r>
      <w:r>
        <w:rPr>
          <w:rFonts w:ascii="Times New Roman" w:hAnsi="Times New Roman" w:cs="Times New Roman"/>
          <w:bCs/>
          <w:color w:val="000000"/>
          <w:szCs w:val="21"/>
          <w:lang w:bidi="ar"/>
        </w:rPr>
        <w:t>1-6</w:t>
      </w:r>
      <w:r>
        <w:rPr>
          <w:rFonts w:ascii="Times New Roman" w:hAnsi="Times New Roman" w:cs="Times New Roman" w:hint="eastAsia"/>
          <w:bCs/>
          <w:color w:val="000000"/>
          <w:szCs w:val="21"/>
          <w:lang w:bidi="ar"/>
        </w:rPr>
        <w:t>月毛利降低，主要是受疫情及海外因素影响，下游客户高毛利订单的招投标工作推迟，已签约高毛利海外订单交货推迟，同时标的公司</w:t>
      </w:r>
      <w:r>
        <w:rPr>
          <w:rFonts w:ascii="Times New Roman" w:hAnsi="Times New Roman" w:cs="Times New Roman"/>
          <w:bCs/>
          <w:color w:val="000000"/>
          <w:szCs w:val="21"/>
          <w:lang w:bidi="ar"/>
        </w:rPr>
        <w:t>1-6</w:t>
      </w:r>
      <w:r>
        <w:rPr>
          <w:rFonts w:ascii="Times New Roman" w:hAnsi="Times New Roman" w:cs="Times New Roman" w:hint="eastAsia"/>
          <w:bCs/>
          <w:color w:val="000000"/>
          <w:szCs w:val="21"/>
          <w:lang w:bidi="ar"/>
        </w:rPr>
        <w:t>月份订单中低毛利订单占比较高导致。本次评估综合考虑标的公司未来产品结构调整及成本上涨因素，并结合</w:t>
      </w:r>
      <w:r>
        <w:rPr>
          <w:rFonts w:ascii="Times New Roman" w:hAnsi="Times New Roman" w:cs="Times New Roman"/>
          <w:bCs/>
          <w:color w:val="000000"/>
          <w:szCs w:val="21"/>
          <w:lang w:bidi="ar"/>
        </w:rPr>
        <w:t>2019</w:t>
      </w:r>
      <w:r>
        <w:rPr>
          <w:rFonts w:ascii="Times New Roman" w:hAnsi="Times New Roman" w:cs="Times New Roman" w:hint="eastAsia"/>
          <w:bCs/>
          <w:color w:val="000000"/>
          <w:szCs w:val="21"/>
          <w:lang w:bidi="ar"/>
        </w:rPr>
        <w:t>年、</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年至评估报告出具体日在手订单综合毛利情况，以及</w:t>
      </w:r>
      <w:r>
        <w:rPr>
          <w:rFonts w:ascii="Times New Roman" w:hAnsi="Times New Roman" w:cs="Times New Roman"/>
          <w:bCs/>
          <w:color w:val="000000"/>
          <w:szCs w:val="21"/>
          <w:lang w:bidi="ar"/>
        </w:rPr>
        <w:t>2020</w:t>
      </w:r>
      <w:r>
        <w:rPr>
          <w:rFonts w:ascii="Times New Roman" w:hAnsi="Times New Roman" w:cs="Times New Roman" w:hint="eastAsia"/>
          <w:bCs/>
          <w:color w:val="000000"/>
          <w:szCs w:val="21"/>
          <w:lang w:bidi="ar"/>
        </w:rPr>
        <w:t>年在手订单预算毛利情况，预测未来年度企业毛利。</w:t>
      </w:r>
    </w:p>
    <w:p w14:paraId="5C5A7FF8"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bidi="ar"/>
        </w:rPr>
        <w:t>综上，标的公司未来年度营业成本预测情况如下表：</w:t>
      </w:r>
    </w:p>
    <w:p w14:paraId="16EC395E"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8233"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76"/>
        <w:gridCol w:w="945"/>
        <w:gridCol w:w="1008"/>
        <w:gridCol w:w="966"/>
        <w:gridCol w:w="1066"/>
        <w:gridCol w:w="1024"/>
        <w:gridCol w:w="982"/>
        <w:gridCol w:w="940"/>
        <w:gridCol w:w="26"/>
      </w:tblGrid>
      <w:tr w:rsidR="00C02929" w14:paraId="259C116C" w14:textId="77777777">
        <w:trPr>
          <w:trHeight w:val="397"/>
          <w:tblHeader/>
        </w:trPr>
        <w:tc>
          <w:tcPr>
            <w:tcW w:w="1276" w:type="dxa"/>
            <w:vMerge w:val="restart"/>
            <w:shd w:val="clear" w:color="auto" w:fill="auto"/>
            <w:vAlign w:val="center"/>
          </w:tcPr>
          <w:p w14:paraId="7F619C24" w14:textId="77777777" w:rsidR="00C02929" w:rsidRDefault="006116D1">
            <w:pPr>
              <w:ind w:leftChars="-25" w:left="-60" w:rightChars="-25" w:right="-60"/>
              <w:jc w:val="center"/>
              <w:rPr>
                <w:rFonts w:ascii="Times New Roman" w:hAnsi="Times New Roman" w:cs="Times New Roman"/>
                <w:b/>
                <w:bCs/>
                <w:sz w:val="21"/>
                <w:szCs w:val="21"/>
              </w:rPr>
            </w:pPr>
            <w:bookmarkStart w:id="104" w:name="_Hlk58135716"/>
            <w:bookmarkStart w:id="105" w:name="_Toc161394623"/>
            <w:bookmarkStart w:id="106" w:name="_Toc163542855"/>
            <w:r>
              <w:rPr>
                <w:rFonts w:ascii="Times New Roman" w:hAnsi="Times New Roman" w:cs="Times New Roman" w:hint="eastAsia"/>
                <w:b/>
                <w:bCs/>
                <w:sz w:val="21"/>
                <w:szCs w:val="21"/>
              </w:rPr>
              <w:t>项目</w:t>
            </w:r>
          </w:p>
        </w:tc>
        <w:tc>
          <w:tcPr>
            <w:tcW w:w="6957" w:type="dxa"/>
            <w:gridSpan w:val="8"/>
            <w:shd w:val="clear" w:color="auto" w:fill="auto"/>
            <w:noWrap/>
            <w:vAlign w:val="center"/>
          </w:tcPr>
          <w:p w14:paraId="5EB01ED7"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未来年度营业成本预测数据</w:t>
            </w:r>
          </w:p>
        </w:tc>
      </w:tr>
      <w:tr w:rsidR="00C02929" w14:paraId="07BA2365" w14:textId="77777777">
        <w:trPr>
          <w:gridAfter w:val="1"/>
          <w:wAfter w:w="26" w:type="dxa"/>
          <w:trHeight w:val="397"/>
          <w:tblHeader/>
        </w:trPr>
        <w:tc>
          <w:tcPr>
            <w:tcW w:w="1276" w:type="dxa"/>
            <w:vMerge/>
            <w:vAlign w:val="center"/>
          </w:tcPr>
          <w:p w14:paraId="6F55249D" w14:textId="77777777" w:rsidR="00C02929" w:rsidRDefault="00C02929">
            <w:pPr>
              <w:ind w:leftChars="-25" w:left="-60" w:rightChars="-25" w:right="-60"/>
              <w:rPr>
                <w:rFonts w:ascii="Times New Roman" w:hAnsi="Times New Roman" w:cs="Times New Roman"/>
                <w:b/>
                <w:bCs/>
                <w:sz w:val="21"/>
                <w:szCs w:val="21"/>
              </w:rPr>
            </w:pPr>
          </w:p>
        </w:tc>
        <w:tc>
          <w:tcPr>
            <w:tcW w:w="945" w:type="dxa"/>
            <w:shd w:val="clear" w:color="auto" w:fill="auto"/>
            <w:noWrap/>
            <w:vAlign w:val="center"/>
          </w:tcPr>
          <w:p w14:paraId="306A86B5"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p>
          <w:p w14:paraId="01BEA859"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1008" w:type="dxa"/>
            <w:shd w:val="clear" w:color="auto" w:fill="auto"/>
            <w:noWrap/>
            <w:vAlign w:val="center"/>
          </w:tcPr>
          <w:p w14:paraId="0A4D029A"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2021</w:t>
            </w:r>
          </w:p>
        </w:tc>
        <w:tc>
          <w:tcPr>
            <w:tcW w:w="966" w:type="dxa"/>
            <w:shd w:val="clear" w:color="auto" w:fill="auto"/>
            <w:noWrap/>
            <w:vAlign w:val="center"/>
          </w:tcPr>
          <w:p w14:paraId="47697E20"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2022</w:t>
            </w:r>
          </w:p>
        </w:tc>
        <w:tc>
          <w:tcPr>
            <w:tcW w:w="1066" w:type="dxa"/>
            <w:shd w:val="clear" w:color="auto" w:fill="auto"/>
            <w:noWrap/>
            <w:vAlign w:val="center"/>
          </w:tcPr>
          <w:p w14:paraId="35187A97"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2023</w:t>
            </w:r>
          </w:p>
        </w:tc>
        <w:tc>
          <w:tcPr>
            <w:tcW w:w="1024" w:type="dxa"/>
            <w:shd w:val="clear" w:color="auto" w:fill="auto"/>
            <w:noWrap/>
            <w:vAlign w:val="center"/>
          </w:tcPr>
          <w:p w14:paraId="0723CFC5"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2024</w:t>
            </w:r>
          </w:p>
        </w:tc>
        <w:tc>
          <w:tcPr>
            <w:tcW w:w="982" w:type="dxa"/>
            <w:shd w:val="clear" w:color="auto" w:fill="auto"/>
            <w:noWrap/>
            <w:vAlign w:val="center"/>
          </w:tcPr>
          <w:p w14:paraId="03E6750A"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b/>
                <w:bCs/>
                <w:sz w:val="21"/>
                <w:szCs w:val="21"/>
              </w:rPr>
              <w:t>2025</w:t>
            </w:r>
          </w:p>
        </w:tc>
        <w:tc>
          <w:tcPr>
            <w:tcW w:w="940" w:type="dxa"/>
            <w:shd w:val="clear" w:color="auto" w:fill="auto"/>
            <w:noWrap/>
            <w:vAlign w:val="center"/>
          </w:tcPr>
          <w:p w14:paraId="3B24A426"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C02929" w14:paraId="4C8EB003" w14:textId="77777777">
        <w:trPr>
          <w:gridAfter w:val="1"/>
          <w:wAfter w:w="26" w:type="dxa"/>
          <w:trHeight w:val="397"/>
        </w:trPr>
        <w:tc>
          <w:tcPr>
            <w:tcW w:w="1276" w:type="dxa"/>
            <w:shd w:val="clear" w:color="auto" w:fill="auto"/>
            <w:vAlign w:val="center"/>
          </w:tcPr>
          <w:p w14:paraId="0AEC8827"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营业成本</w:t>
            </w:r>
          </w:p>
        </w:tc>
        <w:tc>
          <w:tcPr>
            <w:tcW w:w="945" w:type="dxa"/>
            <w:shd w:val="clear" w:color="auto" w:fill="auto"/>
            <w:noWrap/>
            <w:vAlign w:val="center"/>
          </w:tcPr>
          <w:p w14:paraId="2F2FE4F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1008" w:type="dxa"/>
            <w:shd w:val="clear" w:color="auto" w:fill="auto"/>
            <w:noWrap/>
            <w:vAlign w:val="center"/>
          </w:tcPr>
          <w:p w14:paraId="5B6F6BF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966" w:type="dxa"/>
            <w:shd w:val="clear" w:color="auto" w:fill="auto"/>
            <w:noWrap/>
            <w:vAlign w:val="center"/>
          </w:tcPr>
          <w:p w14:paraId="5C8D97D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1066" w:type="dxa"/>
            <w:shd w:val="clear" w:color="auto" w:fill="auto"/>
            <w:noWrap/>
            <w:vAlign w:val="center"/>
          </w:tcPr>
          <w:p w14:paraId="3F077E1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1024" w:type="dxa"/>
            <w:shd w:val="clear" w:color="auto" w:fill="auto"/>
            <w:noWrap/>
            <w:vAlign w:val="center"/>
          </w:tcPr>
          <w:p w14:paraId="1D7CB71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982" w:type="dxa"/>
            <w:shd w:val="clear" w:color="auto" w:fill="auto"/>
            <w:noWrap/>
            <w:vAlign w:val="center"/>
          </w:tcPr>
          <w:p w14:paraId="5488771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940" w:type="dxa"/>
            <w:shd w:val="clear" w:color="auto" w:fill="auto"/>
            <w:noWrap/>
            <w:vAlign w:val="center"/>
          </w:tcPr>
          <w:p w14:paraId="124DC51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r w:rsidR="00C02929" w14:paraId="786DB39E" w14:textId="77777777">
        <w:trPr>
          <w:gridAfter w:val="1"/>
          <w:wAfter w:w="26" w:type="dxa"/>
          <w:trHeight w:val="397"/>
        </w:trPr>
        <w:tc>
          <w:tcPr>
            <w:tcW w:w="1276" w:type="dxa"/>
            <w:shd w:val="clear" w:color="auto" w:fill="auto"/>
            <w:vAlign w:val="center"/>
          </w:tcPr>
          <w:p w14:paraId="190346D2" w14:textId="77777777" w:rsidR="00C02929" w:rsidRDefault="006116D1">
            <w:pPr>
              <w:ind w:leftChars="-22" w:left="-53" w:rightChars="-25" w:right="-60"/>
              <w:rPr>
                <w:rFonts w:ascii="Times New Roman" w:hAnsi="Times New Roman" w:cs="Times New Roman"/>
                <w:sz w:val="21"/>
                <w:szCs w:val="21"/>
              </w:rPr>
            </w:pPr>
            <w:r>
              <w:rPr>
                <w:rFonts w:ascii="Times New Roman" w:hAnsi="Times New Roman" w:cs="Times New Roman" w:hint="eastAsia"/>
                <w:sz w:val="21"/>
                <w:szCs w:val="21"/>
              </w:rPr>
              <w:lastRenderedPageBreak/>
              <w:t>其中：定制化集成和机器人及配套</w:t>
            </w:r>
          </w:p>
        </w:tc>
        <w:tc>
          <w:tcPr>
            <w:tcW w:w="945" w:type="dxa"/>
            <w:shd w:val="clear" w:color="auto" w:fill="auto"/>
            <w:noWrap/>
            <w:vAlign w:val="center"/>
          </w:tcPr>
          <w:p w14:paraId="2DC0B71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1008" w:type="dxa"/>
            <w:shd w:val="clear" w:color="auto" w:fill="auto"/>
            <w:noWrap/>
            <w:vAlign w:val="center"/>
          </w:tcPr>
          <w:p w14:paraId="553BB34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966" w:type="dxa"/>
            <w:shd w:val="clear" w:color="auto" w:fill="auto"/>
            <w:noWrap/>
            <w:vAlign w:val="center"/>
          </w:tcPr>
          <w:p w14:paraId="6E5AB70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1066" w:type="dxa"/>
            <w:shd w:val="clear" w:color="auto" w:fill="auto"/>
            <w:noWrap/>
            <w:vAlign w:val="center"/>
          </w:tcPr>
          <w:p w14:paraId="292BDBB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1024" w:type="dxa"/>
            <w:shd w:val="clear" w:color="auto" w:fill="auto"/>
            <w:noWrap/>
            <w:vAlign w:val="center"/>
          </w:tcPr>
          <w:p w14:paraId="1298A51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982" w:type="dxa"/>
            <w:shd w:val="clear" w:color="auto" w:fill="auto"/>
            <w:noWrap/>
            <w:vAlign w:val="center"/>
          </w:tcPr>
          <w:p w14:paraId="05014FC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940" w:type="dxa"/>
            <w:shd w:val="clear" w:color="auto" w:fill="auto"/>
            <w:noWrap/>
            <w:vAlign w:val="center"/>
          </w:tcPr>
          <w:p w14:paraId="1E5D32A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bl>
    <w:bookmarkEnd w:id="104"/>
    <w:p w14:paraId="2390AB03"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3</w:t>
      </w:r>
      <w:r>
        <w:rPr>
          <w:rFonts w:ascii="Times New Roman" w:hAnsi="Times New Roman" w:cs="Times New Roman" w:hint="eastAsia"/>
          <w:lang w:bidi="ar"/>
        </w:rPr>
        <w:t>）税金及附加预测</w:t>
      </w:r>
      <w:bookmarkEnd w:id="105"/>
      <w:bookmarkEnd w:id="106"/>
    </w:p>
    <w:p w14:paraId="7FFD5A3E" w14:textId="77777777" w:rsidR="00C02929" w:rsidRDefault="006116D1">
      <w:pPr>
        <w:pStyle w:val="affffd"/>
        <w:spacing w:before="156"/>
        <w:ind w:firstLine="480"/>
        <w:rPr>
          <w:bCs/>
        </w:rPr>
      </w:pPr>
      <w:r>
        <w:rPr>
          <w:rFonts w:hint="eastAsia"/>
          <w:bCs/>
        </w:rPr>
        <w:t>北洋天青的税金及附加包括城市维护建设税、教育费附加和地方教育费附加、车船税及地方水利基金。</w:t>
      </w:r>
    </w:p>
    <w:p w14:paraId="357BF9A8" w14:textId="77777777" w:rsidR="00C02929" w:rsidRDefault="006116D1">
      <w:pPr>
        <w:pStyle w:val="affffd"/>
        <w:spacing w:before="156"/>
        <w:ind w:firstLine="480"/>
        <w:rPr>
          <w:bCs/>
        </w:rPr>
      </w:pPr>
      <w:r>
        <w:rPr>
          <w:rFonts w:hint="eastAsia"/>
          <w:bCs/>
        </w:rPr>
        <w:t>以预测年度的营业收入为基础结合评估基准日适用的税率确定未来年度的税金及附加。</w:t>
      </w:r>
    </w:p>
    <w:p w14:paraId="702562B1" w14:textId="77777777" w:rsidR="00C02929" w:rsidRDefault="006116D1">
      <w:pPr>
        <w:pStyle w:val="affffd"/>
        <w:spacing w:before="156"/>
        <w:ind w:firstLine="480"/>
        <w:rPr>
          <w:bCs/>
        </w:rPr>
      </w:pPr>
      <w:r>
        <w:rPr>
          <w:rFonts w:hint="eastAsia"/>
          <w:bCs/>
        </w:rPr>
        <w:t>评估基准日北洋天青执行的税率详见下表：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67"/>
        <w:gridCol w:w="3422"/>
        <w:gridCol w:w="3133"/>
      </w:tblGrid>
      <w:tr w:rsidR="00C02929" w14:paraId="4097508E" w14:textId="77777777">
        <w:trPr>
          <w:trHeight w:val="397"/>
          <w:tblHeader/>
        </w:trPr>
        <w:tc>
          <w:tcPr>
            <w:tcW w:w="1154" w:type="pct"/>
            <w:vAlign w:val="center"/>
          </w:tcPr>
          <w:p w14:paraId="65481723" w14:textId="77777777" w:rsidR="00C02929" w:rsidRDefault="006116D1">
            <w:pPr>
              <w:jc w:val="center"/>
              <w:rPr>
                <w:rFonts w:ascii="Times New Roman" w:hAnsi="Times New Roman" w:cs="Times New Roman"/>
                <w:b/>
                <w:sz w:val="21"/>
                <w:szCs w:val="21"/>
              </w:rPr>
            </w:pPr>
            <w:bookmarkStart w:id="107" w:name="_Hlk48396962"/>
            <w:r>
              <w:rPr>
                <w:rFonts w:ascii="Times New Roman" w:hAnsi="Times New Roman" w:cs="Times New Roman" w:hint="eastAsia"/>
                <w:b/>
                <w:sz w:val="21"/>
                <w:szCs w:val="21"/>
              </w:rPr>
              <w:t>税种</w:t>
            </w:r>
          </w:p>
        </w:tc>
        <w:tc>
          <w:tcPr>
            <w:tcW w:w="2008" w:type="pct"/>
            <w:vAlign w:val="center"/>
          </w:tcPr>
          <w:p w14:paraId="19AC76DA"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计税依据</w:t>
            </w:r>
          </w:p>
        </w:tc>
        <w:tc>
          <w:tcPr>
            <w:tcW w:w="1838" w:type="pct"/>
            <w:vAlign w:val="center"/>
          </w:tcPr>
          <w:p w14:paraId="08585A92"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税率</w:t>
            </w:r>
          </w:p>
        </w:tc>
      </w:tr>
      <w:tr w:rsidR="00C02929" w14:paraId="23E4B7E9" w14:textId="77777777">
        <w:trPr>
          <w:trHeight w:val="397"/>
        </w:trPr>
        <w:tc>
          <w:tcPr>
            <w:tcW w:w="1154" w:type="pct"/>
            <w:vAlign w:val="center"/>
          </w:tcPr>
          <w:p w14:paraId="07FA364D"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增值税</w:t>
            </w:r>
          </w:p>
        </w:tc>
        <w:tc>
          <w:tcPr>
            <w:tcW w:w="2008" w:type="pct"/>
            <w:vAlign w:val="center"/>
          </w:tcPr>
          <w:p w14:paraId="2501CBDE"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应纳税增值额</w:t>
            </w:r>
          </w:p>
        </w:tc>
        <w:tc>
          <w:tcPr>
            <w:tcW w:w="1838" w:type="pct"/>
            <w:vAlign w:val="center"/>
          </w:tcPr>
          <w:p w14:paraId="50F6B75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13%</w:t>
            </w:r>
            <w:r>
              <w:rPr>
                <w:rFonts w:ascii="Times New Roman" w:hAnsi="Times New Roman" w:cs="Times New Roman" w:hint="eastAsia"/>
                <w:sz w:val="21"/>
                <w:szCs w:val="21"/>
              </w:rPr>
              <w:t>、</w:t>
            </w:r>
            <w:r>
              <w:rPr>
                <w:rFonts w:ascii="Times New Roman" w:hAnsi="Times New Roman" w:cs="Times New Roman" w:hint="eastAsia"/>
                <w:sz w:val="21"/>
                <w:szCs w:val="21"/>
              </w:rPr>
              <w:t>6%</w:t>
            </w:r>
            <w:r>
              <w:rPr>
                <w:rFonts w:ascii="Times New Roman" w:hAnsi="Times New Roman" w:cs="Times New Roman" w:hint="eastAsia"/>
                <w:sz w:val="21"/>
                <w:szCs w:val="21"/>
              </w:rPr>
              <w:t>（少部分收入）</w:t>
            </w:r>
          </w:p>
        </w:tc>
      </w:tr>
      <w:tr w:rsidR="00C02929" w14:paraId="7131C659" w14:textId="77777777">
        <w:trPr>
          <w:trHeight w:val="397"/>
        </w:trPr>
        <w:tc>
          <w:tcPr>
            <w:tcW w:w="1154" w:type="pct"/>
            <w:vAlign w:val="center"/>
          </w:tcPr>
          <w:p w14:paraId="187032AC"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城市维护建设税</w:t>
            </w:r>
          </w:p>
        </w:tc>
        <w:tc>
          <w:tcPr>
            <w:tcW w:w="2008" w:type="pct"/>
            <w:vAlign w:val="center"/>
          </w:tcPr>
          <w:p w14:paraId="2354BFD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应纳增值税额</w:t>
            </w:r>
          </w:p>
        </w:tc>
        <w:tc>
          <w:tcPr>
            <w:tcW w:w="1838" w:type="pct"/>
            <w:vAlign w:val="center"/>
          </w:tcPr>
          <w:p w14:paraId="055035EF"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7%</w:t>
            </w:r>
          </w:p>
        </w:tc>
      </w:tr>
      <w:tr w:rsidR="00C02929" w14:paraId="754424B9" w14:textId="77777777">
        <w:trPr>
          <w:trHeight w:val="397"/>
        </w:trPr>
        <w:tc>
          <w:tcPr>
            <w:tcW w:w="1154" w:type="pct"/>
            <w:vAlign w:val="center"/>
          </w:tcPr>
          <w:p w14:paraId="1D932AD6"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教育费附加</w:t>
            </w:r>
          </w:p>
        </w:tc>
        <w:tc>
          <w:tcPr>
            <w:tcW w:w="2008" w:type="pct"/>
            <w:vAlign w:val="center"/>
          </w:tcPr>
          <w:p w14:paraId="31DF19C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应纳增值税额</w:t>
            </w:r>
          </w:p>
        </w:tc>
        <w:tc>
          <w:tcPr>
            <w:tcW w:w="1838" w:type="pct"/>
            <w:vAlign w:val="center"/>
          </w:tcPr>
          <w:p w14:paraId="56EDA0F1"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5%</w:t>
            </w:r>
          </w:p>
        </w:tc>
      </w:tr>
      <w:tr w:rsidR="00C02929" w14:paraId="5CAA6305" w14:textId="77777777">
        <w:trPr>
          <w:trHeight w:val="397"/>
        </w:trPr>
        <w:tc>
          <w:tcPr>
            <w:tcW w:w="1154" w:type="pct"/>
            <w:vAlign w:val="center"/>
          </w:tcPr>
          <w:p w14:paraId="5241D1FB"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企业所得税</w:t>
            </w:r>
          </w:p>
        </w:tc>
        <w:tc>
          <w:tcPr>
            <w:tcW w:w="2008" w:type="pct"/>
            <w:vAlign w:val="center"/>
          </w:tcPr>
          <w:p w14:paraId="42215EE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应纳税所得额</w:t>
            </w:r>
          </w:p>
        </w:tc>
        <w:tc>
          <w:tcPr>
            <w:tcW w:w="1838" w:type="pct"/>
            <w:vAlign w:val="center"/>
          </w:tcPr>
          <w:p w14:paraId="154394A6"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15%</w:t>
            </w:r>
          </w:p>
        </w:tc>
      </w:tr>
      <w:tr w:rsidR="00C02929" w14:paraId="4FF5A254" w14:textId="77777777">
        <w:trPr>
          <w:trHeight w:val="397"/>
        </w:trPr>
        <w:tc>
          <w:tcPr>
            <w:tcW w:w="1154" w:type="pct"/>
            <w:vAlign w:val="center"/>
          </w:tcPr>
          <w:p w14:paraId="0FA591EF"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地方水利基金</w:t>
            </w:r>
          </w:p>
        </w:tc>
        <w:tc>
          <w:tcPr>
            <w:tcW w:w="2008" w:type="pct"/>
            <w:vAlign w:val="center"/>
          </w:tcPr>
          <w:p w14:paraId="5DDC2C8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应纳税增值额</w:t>
            </w:r>
          </w:p>
        </w:tc>
        <w:tc>
          <w:tcPr>
            <w:tcW w:w="1838" w:type="pct"/>
            <w:vAlign w:val="center"/>
          </w:tcPr>
          <w:p w14:paraId="62A430EB"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0.5%</w:t>
            </w:r>
          </w:p>
        </w:tc>
      </w:tr>
    </w:tbl>
    <w:bookmarkEnd w:id="107"/>
    <w:p w14:paraId="1D614D2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lang w:bidi="ar"/>
        </w:rPr>
        <w:t>未来年度税金及附加见下表：</w:t>
      </w:r>
    </w:p>
    <w:p w14:paraId="38D8B1F2"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9"/>
        <w:gridCol w:w="1319"/>
        <w:gridCol w:w="865"/>
        <w:gridCol w:w="877"/>
        <w:gridCol w:w="914"/>
        <w:gridCol w:w="917"/>
        <w:gridCol w:w="1050"/>
        <w:gridCol w:w="915"/>
      </w:tblGrid>
      <w:tr w:rsidR="00C02929" w14:paraId="5254757D" w14:textId="77777777">
        <w:trPr>
          <w:trHeight w:val="397"/>
          <w:tblHeader/>
        </w:trPr>
        <w:tc>
          <w:tcPr>
            <w:tcW w:w="872" w:type="pct"/>
            <w:shd w:val="clear" w:color="auto" w:fill="auto"/>
            <w:noWrap/>
            <w:vAlign w:val="center"/>
          </w:tcPr>
          <w:p w14:paraId="6C2F6B46" w14:textId="77777777" w:rsidR="00C02929" w:rsidRDefault="006116D1">
            <w:pPr>
              <w:jc w:val="center"/>
              <w:rPr>
                <w:rFonts w:ascii="Times New Roman" w:hAnsi="Times New Roman" w:cs="Times New Roman"/>
                <w:b/>
                <w:bCs/>
                <w:sz w:val="21"/>
                <w:szCs w:val="21"/>
              </w:rPr>
            </w:pPr>
            <w:bookmarkStart w:id="108" w:name="_Toc163542856"/>
            <w:r>
              <w:rPr>
                <w:rFonts w:ascii="Times New Roman" w:hAnsi="Times New Roman" w:cs="Times New Roman" w:hint="eastAsia"/>
                <w:b/>
                <w:bCs/>
                <w:sz w:val="21"/>
                <w:szCs w:val="21"/>
              </w:rPr>
              <w:t>项目</w:t>
            </w:r>
          </w:p>
        </w:tc>
        <w:tc>
          <w:tcPr>
            <w:tcW w:w="794" w:type="pct"/>
            <w:shd w:val="clear" w:color="auto" w:fill="auto"/>
            <w:noWrap/>
            <w:vAlign w:val="center"/>
          </w:tcPr>
          <w:p w14:paraId="72335EE1"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21" w:type="pct"/>
            <w:shd w:val="clear" w:color="auto" w:fill="auto"/>
            <w:noWrap/>
            <w:vAlign w:val="center"/>
          </w:tcPr>
          <w:p w14:paraId="37CBC0B8"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28" w:type="pct"/>
            <w:shd w:val="clear" w:color="auto" w:fill="auto"/>
            <w:noWrap/>
            <w:vAlign w:val="center"/>
          </w:tcPr>
          <w:p w14:paraId="1EAD2AB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50" w:type="pct"/>
            <w:shd w:val="clear" w:color="auto" w:fill="auto"/>
            <w:noWrap/>
            <w:vAlign w:val="center"/>
          </w:tcPr>
          <w:p w14:paraId="744D4A9B"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52" w:type="pct"/>
            <w:shd w:val="clear" w:color="auto" w:fill="auto"/>
            <w:noWrap/>
            <w:vAlign w:val="center"/>
          </w:tcPr>
          <w:p w14:paraId="5434141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632" w:type="pct"/>
            <w:shd w:val="clear" w:color="auto" w:fill="auto"/>
            <w:noWrap/>
            <w:vAlign w:val="center"/>
          </w:tcPr>
          <w:p w14:paraId="6CF4ADD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51" w:type="pct"/>
            <w:shd w:val="clear" w:color="auto" w:fill="auto"/>
            <w:noWrap/>
            <w:vAlign w:val="center"/>
          </w:tcPr>
          <w:p w14:paraId="01BD32D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C02929" w14:paraId="2F555941" w14:textId="77777777">
        <w:trPr>
          <w:trHeight w:val="397"/>
        </w:trPr>
        <w:tc>
          <w:tcPr>
            <w:tcW w:w="872" w:type="pct"/>
            <w:shd w:val="clear" w:color="auto" w:fill="auto"/>
            <w:noWrap/>
            <w:vAlign w:val="center"/>
          </w:tcPr>
          <w:p w14:paraId="0D2C2145"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城建税</w:t>
            </w:r>
          </w:p>
        </w:tc>
        <w:tc>
          <w:tcPr>
            <w:tcW w:w="794" w:type="pct"/>
            <w:shd w:val="clear" w:color="auto" w:fill="auto"/>
            <w:noWrap/>
            <w:vAlign w:val="center"/>
          </w:tcPr>
          <w:p w14:paraId="71050AE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35.45</w:t>
            </w:r>
          </w:p>
        </w:tc>
        <w:tc>
          <w:tcPr>
            <w:tcW w:w="521" w:type="pct"/>
            <w:shd w:val="clear" w:color="auto" w:fill="auto"/>
            <w:noWrap/>
            <w:vAlign w:val="center"/>
          </w:tcPr>
          <w:p w14:paraId="69808B5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81.79</w:t>
            </w:r>
          </w:p>
        </w:tc>
        <w:tc>
          <w:tcPr>
            <w:tcW w:w="528" w:type="pct"/>
            <w:shd w:val="clear" w:color="auto" w:fill="auto"/>
            <w:noWrap/>
            <w:vAlign w:val="center"/>
          </w:tcPr>
          <w:p w14:paraId="036EB52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90.62</w:t>
            </w:r>
          </w:p>
        </w:tc>
        <w:tc>
          <w:tcPr>
            <w:tcW w:w="550" w:type="pct"/>
            <w:shd w:val="clear" w:color="auto" w:fill="auto"/>
            <w:noWrap/>
            <w:vAlign w:val="center"/>
          </w:tcPr>
          <w:p w14:paraId="4928F24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97.50</w:t>
            </w:r>
          </w:p>
        </w:tc>
        <w:tc>
          <w:tcPr>
            <w:tcW w:w="552" w:type="pct"/>
            <w:shd w:val="clear" w:color="auto" w:fill="auto"/>
            <w:noWrap/>
            <w:vAlign w:val="center"/>
          </w:tcPr>
          <w:p w14:paraId="42E4A9A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102.92</w:t>
            </w:r>
          </w:p>
        </w:tc>
        <w:tc>
          <w:tcPr>
            <w:tcW w:w="632" w:type="pct"/>
            <w:shd w:val="clear" w:color="auto" w:fill="auto"/>
            <w:noWrap/>
            <w:vAlign w:val="center"/>
          </w:tcPr>
          <w:p w14:paraId="594E17A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106.04</w:t>
            </w:r>
          </w:p>
        </w:tc>
        <w:tc>
          <w:tcPr>
            <w:tcW w:w="551" w:type="pct"/>
            <w:shd w:val="clear" w:color="auto" w:fill="auto"/>
            <w:noWrap/>
            <w:vAlign w:val="center"/>
          </w:tcPr>
          <w:p w14:paraId="23EF532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106.04</w:t>
            </w:r>
          </w:p>
        </w:tc>
      </w:tr>
      <w:tr w:rsidR="00C02929" w14:paraId="7ADFF447" w14:textId="77777777">
        <w:trPr>
          <w:trHeight w:val="397"/>
        </w:trPr>
        <w:tc>
          <w:tcPr>
            <w:tcW w:w="872" w:type="pct"/>
            <w:shd w:val="clear" w:color="auto" w:fill="auto"/>
            <w:noWrap/>
            <w:vAlign w:val="center"/>
          </w:tcPr>
          <w:p w14:paraId="784DEFE5"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教育费附加</w:t>
            </w:r>
          </w:p>
        </w:tc>
        <w:tc>
          <w:tcPr>
            <w:tcW w:w="794" w:type="pct"/>
            <w:shd w:val="clear" w:color="auto" w:fill="auto"/>
            <w:noWrap/>
            <w:vAlign w:val="center"/>
          </w:tcPr>
          <w:p w14:paraId="60F929D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25.32</w:t>
            </w:r>
          </w:p>
        </w:tc>
        <w:tc>
          <w:tcPr>
            <w:tcW w:w="521" w:type="pct"/>
            <w:shd w:val="clear" w:color="auto" w:fill="auto"/>
            <w:noWrap/>
            <w:vAlign w:val="center"/>
          </w:tcPr>
          <w:p w14:paraId="51C7DEE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58.42</w:t>
            </w:r>
          </w:p>
        </w:tc>
        <w:tc>
          <w:tcPr>
            <w:tcW w:w="528" w:type="pct"/>
            <w:shd w:val="clear" w:color="auto" w:fill="auto"/>
            <w:noWrap/>
            <w:vAlign w:val="center"/>
          </w:tcPr>
          <w:p w14:paraId="7BBFE33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64.73</w:t>
            </w:r>
          </w:p>
        </w:tc>
        <w:tc>
          <w:tcPr>
            <w:tcW w:w="550" w:type="pct"/>
            <w:shd w:val="clear" w:color="auto" w:fill="auto"/>
            <w:noWrap/>
            <w:vAlign w:val="center"/>
          </w:tcPr>
          <w:p w14:paraId="0B7BB86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69.64</w:t>
            </w:r>
          </w:p>
        </w:tc>
        <w:tc>
          <w:tcPr>
            <w:tcW w:w="552" w:type="pct"/>
            <w:shd w:val="clear" w:color="auto" w:fill="auto"/>
            <w:noWrap/>
            <w:vAlign w:val="center"/>
          </w:tcPr>
          <w:p w14:paraId="245D122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73.51</w:t>
            </w:r>
          </w:p>
        </w:tc>
        <w:tc>
          <w:tcPr>
            <w:tcW w:w="632" w:type="pct"/>
            <w:shd w:val="clear" w:color="auto" w:fill="auto"/>
            <w:noWrap/>
            <w:vAlign w:val="center"/>
          </w:tcPr>
          <w:p w14:paraId="218EC68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75.74</w:t>
            </w:r>
          </w:p>
        </w:tc>
        <w:tc>
          <w:tcPr>
            <w:tcW w:w="551" w:type="pct"/>
            <w:shd w:val="clear" w:color="auto" w:fill="auto"/>
            <w:noWrap/>
            <w:vAlign w:val="center"/>
          </w:tcPr>
          <w:p w14:paraId="7D63DB4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75.74</w:t>
            </w:r>
          </w:p>
        </w:tc>
      </w:tr>
      <w:tr w:rsidR="00C02929" w14:paraId="261CD477" w14:textId="77777777">
        <w:trPr>
          <w:trHeight w:val="397"/>
        </w:trPr>
        <w:tc>
          <w:tcPr>
            <w:tcW w:w="872" w:type="pct"/>
            <w:shd w:val="clear" w:color="auto" w:fill="auto"/>
            <w:noWrap/>
            <w:vAlign w:val="center"/>
          </w:tcPr>
          <w:p w14:paraId="7CAB3EB3"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印花税</w:t>
            </w:r>
          </w:p>
        </w:tc>
        <w:tc>
          <w:tcPr>
            <w:tcW w:w="794" w:type="pct"/>
            <w:shd w:val="clear" w:color="auto" w:fill="auto"/>
            <w:noWrap/>
            <w:vAlign w:val="center"/>
          </w:tcPr>
          <w:p w14:paraId="5091636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3.50</w:t>
            </w:r>
          </w:p>
        </w:tc>
        <w:tc>
          <w:tcPr>
            <w:tcW w:w="521" w:type="pct"/>
            <w:shd w:val="clear" w:color="auto" w:fill="auto"/>
            <w:noWrap/>
            <w:vAlign w:val="center"/>
          </w:tcPr>
          <w:p w14:paraId="749FEC9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8.77</w:t>
            </w:r>
          </w:p>
        </w:tc>
        <w:tc>
          <w:tcPr>
            <w:tcW w:w="528" w:type="pct"/>
            <w:shd w:val="clear" w:color="auto" w:fill="auto"/>
            <w:noWrap/>
            <w:vAlign w:val="center"/>
          </w:tcPr>
          <w:p w14:paraId="36444C3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9.71</w:t>
            </w:r>
          </w:p>
        </w:tc>
        <w:tc>
          <w:tcPr>
            <w:tcW w:w="550" w:type="pct"/>
            <w:shd w:val="clear" w:color="auto" w:fill="auto"/>
            <w:noWrap/>
            <w:vAlign w:val="center"/>
          </w:tcPr>
          <w:p w14:paraId="752C175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10.44</w:t>
            </w:r>
          </w:p>
        </w:tc>
        <w:tc>
          <w:tcPr>
            <w:tcW w:w="552" w:type="pct"/>
            <w:shd w:val="clear" w:color="auto" w:fill="auto"/>
            <w:noWrap/>
            <w:vAlign w:val="center"/>
          </w:tcPr>
          <w:p w14:paraId="37895EF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11.01</w:t>
            </w:r>
          </w:p>
        </w:tc>
        <w:tc>
          <w:tcPr>
            <w:tcW w:w="632" w:type="pct"/>
            <w:shd w:val="clear" w:color="auto" w:fill="auto"/>
            <w:noWrap/>
            <w:vAlign w:val="center"/>
          </w:tcPr>
          <w:p w14:paraId="2C0E1B3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11.34</w:t>
            </w:r>
          </w:p>
        </w:tc>
        <w:tc>
          <w:tcPr>
            <w:tcW w:w="551" w:type="pct"/>
            <w:shd w:val="clear" w:color="auto" w:fill="auto"/>
            <w:noWrap/>
            <w:vAlign w:val="center"/>
          </w:tcPr>
          <w:p w14:paraId="3436671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11.34</w:t>
            </w:r>
          </w:p>
        </w:tc>
      </w:tr>
      <w:tr w:rsidR="00C02929" w14:paraId="79F5817F" w14:textId="77777777">
        <w:trPr>
          <w:trHeight w:val="397"/>
        </w:trPr>
        <w:tc>
          <w:tcPr>
            <w:tcW w:w="872" w:type="pct"/>
            <w:shd w:val="clear" w:color="auto" w:fill="auto"/>
            <w:noWrap/>
            <w:vAlign w:val="center"/>
          </w:tcPr>
          <w:p w14:paraId="3B0F922D"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车船税</w:t>
            </w:r>
          </w:p>
        </w:tc>
        <w:tc>
          <w:tcPr>
            <w:tcW w:w="794" w:type="pct"/>
            <w:shd w:val="clear" w:color="auto" w:fill="auto"/>
            <w:noWrap/>
            <w:vAlign w:val="center"/>
          </w:tcPr>
          <w:p w14:paraId="5F67A3F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0.23</w:t>
            </w:r>
          </w:p>
        </w:tc>
        <w:tc>
          <w:tcPr>
            <w:tcW w:w="521" w:type="pct"/>
            <w:shd w:val="clear" w:color="auto" w:fill="auto"/>
            <w:noWrap/>
            <w:vAlign w:val="center"/>
          </w:tcPr>
          <w:p w14:paraId="260ADA0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0.52</w:t>
            </w:r>
          </w:p>
        </w:tc>
        <w:tc>
          <w:tcPr>
            <w:tcW w:w="528" w:type="pct"/>
            <w:shd w:val="clear" w:color="auto" w:fill="auto"/>
            <w:noWrap/>
            <w:vAlign w:val="center"/>
          </w:tcPr>
          <w:p w14:paraId="095A41F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0.52</w:t>
            </w:r>
          </w:p>
        </w:tc>
        <w:tc>
          <w:tcPr>
            <w:tcW w:w="550" w:type="pct"/>
            <w:shd w:val="clear" w:color="auto" w:fill="auto"/>
            <w:noWrap/>
            <w:vAlign w:val="center"/>
          </w:tcPr>
          <w:p w14:paraId="66A06B6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0.52</w:t>
            </w:r>
          </w:p>
        </w:tc>
        <w:tc>
          <w:tcPr>
            <w:tcW w:w="552" w:type="pct"/>
            <w:shd w:val="clear" w:color="auto" w:fill="auto"/>
            <w:noWrap/>
            <w:vAlign w:val="center"/>
          </w:tcPr>
          <w:p w14:paraId="334538B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0.52</w:t>
            </w:r>
          </w:p>
        </w:tc>
        <w:tc>
          <w:tcPr>
            <w:tcW w:w="632" w:type="pct"/>
            <w:shd w:val="clear" w:color="auto" w:fill="auto"/>
            <w:noWrap/>
            <w:vAlign w:val="center"/>
          </w:tcPr>
          <w:p w14:paraId="019EA13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0.52</w:t>
            </w:r>
          </w:p>
        </w:tc>
        <w:tc>
          <w:tcPr>
            <w:tcW w:w="551" w:type="pct"/>
            <w:shd w:val="clear" w:color="auto" w:fill="auto"/>
            <w:noWrap/>
            <w:vAlign w:val="center"/>
          </w:tcPr>
          <w:p w14:paraId="3D9AE2A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0.52</w:t>
            </w:r>
          </w:p>
        </w:tc>
      </w:tr>
      <w:tr w:rsidR="00C02929" w14:paraId="47BFBF3F" w14:textId="77777777">
        <w:trPr>
          <w:trHeight w:val="397"/>
        </w:trPr>
        <w:tc>
          <w:tcPr>
            <w:tcW w:w="872" w:type="pct"/>
            <w:shd w:val="clear" w:color="auto" w:fill="auto"/>
            <w:noWrap/>
            <w:vAlign w:val="center"/>
          </w:tcPr>
          <w:p w14:paraId="5A75DB39"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水利基金</w:t>
            </w:r>
          </w:p>
        </w:tc>
        <w:tc>
          <w:tcPr>
            <w:tcW w:w="794" w:type="pct"/>
            <w:shd w:val="clear" w:color="auto" w:fill="auto"/>
            <w:noWrap/>
            <w:vAlign w:val="center"/>
          </w:tcPr>
          <w:p w14:paraId="7667FDB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2.53</w:t>
            </w:r>
          </w:p>
        </w:tc>
        <w:tc>
          <w:tcPr>
            <w:tcW w:w="521" w:type="pct"/>
            <w:shd w:val="clear" w:color="auto" w:fill="auto"/>
            <w:noWrap/>
            <w:vAlign w:val="center"/>
          </w:tcPr>
          <w:p w14:paraId="0E7E01F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5.84</w:t>
            </w:r>
          </w:p>
        </w:tc>
        <w:tc>
          <w:tcPr>
            <w:tcW w:w="528" w:type="pct"/>
            <w:shd w:val="clear" w:color="auto" w:fill="auto"/>
            <w:noWrap/>
            <w:vAlign w:val="center"/>
          </w:tcPr>
          <w:p w14:paraId="131D631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6.47</w:t>
            </w:r>
          </w:p>
        </w:tc>
        <w:tc>
          <w:tcPr>
            <w:tcW w:w="550" w:type="pct"/>
            <w:shd w:val="clear" w:color="auto" w:fill="auto"/>
            <w:noWrap/>
            <w:vAlign w:val="center"/>
          </w:tcPr>
          <w:p w14:paraId="696EB8A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6.96</w:t>
            </w:r>
          </w:p>
        </w:tc>
        <w:tc>
          <w:tcPr>
            <w:tcW w:w="552" w:type="pct"/>
            <w:shd w:val="clear" w:color="auto" w:fill="auto"/>
            <w:noWrap/>
            <w:vAlign w:val="center"/>
          </w:tcPr>
          <w:p w14:paraId="57AEB5F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7.35</w:t>
            </w:r>
          </w:p>
        </w:tc>
        <w:tc>
          <w:tcPr>
            <w:tcW w:w="632" w:type="pct"/>
            <w:shd w:val="clear" w:color="auto" w:fill="auto"/>
            <w:noWrap/>
            <w:vAlign w:val="center"/>
          </w:tcPr>
          <w:p w14:paraId="6487694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7.57</w:t>
            </w:r>
          </w:p>
        </w:tc>
        <w:tc>
          <w:tcPr>
            <w:tcW w:w="551" w:type="pct"/>
            <w:shd w:val="clear" w:color="auto" w:fill="auto"/>
            <w:noWrap/>
            <w:vAlign w:val="center"/>
          </w:tcPr>
          <w:p w14:paraId="39DF54A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7.57</w:t>
            </w:r>
          </w:p>
        </w:tc>
      </w:tr>
      <w:tr w:rsidR="00C02929" w14:paraId="2015DC07" w14:textId="77777777">
        <w:trPr>
          <w:trHeight w:val="397"/>
        </w:trPr>
        <w:tc>
          <w:tcPr>
            <w:tcW w:w="872" w:type="pct"/>
            <w:shd w:val="clear" w:color="auto" w:fill="auto"/>
            <w:noWrap/>
            <w:vAlign w:val="center"/>
          </w:tcPr>
          <w:p w14:paraId="2218A449"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税金及附加</w:t>
            </w:r>
          </w:p>
        </w:tc>
        <w:tc>
          <w:tcPr>
            <w:tcW w:w="794" w:type="pct"/>
            <w:shd w:val="clear" w:color="auto" w:fill="auto"/>
            <w:noWrap/>
            <w:vAlign w:val="center"/>
          </w:tcPr>
          <w:p w14:paraId="26635A8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67.03</w:t>
            </w:r>
          </w:p>
        </w:tc>
        <w:tc>
          <w:tcPr>
            <w:tcW w:w="521" w:type="pct"/>
            <w:shd w:val="clear" w:color="auto" w:fill="auto"/>
            <w:noWrap/>
            <w:vAlign w:val="center"/>
          </w:tcPr>
          <w:p w14:paraId="4C9527B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155.36</w:t>
            </w:r>
          </w:p>
        </w:tc>
        <w:tc>
          <w:tcPr>
            <w:tcW w:w="528" w:type="pct"/>
            <w:shd w:val="clear" w:color="auto" w:fill="auto"/>
            <w:noWrap/>
            <w:vAlign w:val="center"/>
          </w:tcPr>
          <w:p w14:paraId="112076B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172.05</w:t>
            </w:r>
          </w:p>
        </w:tc>
        <w:tc>
          <w:tcPr>
            <w:tcW w:w="550" w:type="pct"/>
            <w:shd w:val="clear" w:color="auto" w:fill="auto"/>
            <w:noWrap/>
            <w:vAlign w:val="center"/>
          </w:tcPr>
          <w:p w14:paraId="2575F90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185.07</w:t>
            </w:r>
          </w:p>
        </w:tc>
        <w:tc>
          <w:tcPr>
            <w:tcW w:w="552" w:type="pct"/>
            <w:shd w:val="clear" w:color="auto" w:fill="auto"/>
            <w:noWrap/>
            <w:vAlign w:val="center"/>
          </w:tcPr>
          <w:p w14:paraId="39E073F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195.31</w:t>
            </w:r>
          </w:p>
        </w:tc>
        <w:tc>
          <w:tcPr>
            <w:tcW w:w="632" w:type="pct"/>
            <w:shd w:val="clear" w:color="auto" w:fill="auto"/>
            <w:noWrap/>
            <w:vAlign w:val="center"/>
          </w:tcPr>
          <w:p w14:paraId="72CE8BF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201.21</w:t>
            </w:r>
          </w:p>
        </w:tc>
        <w:tc>
          <w:tcPr>
            <w:tcW w:w="551" w:type="pct"/>
            <w:shd w:val="clear" w:color="auto" w:fill="auto"/>
            <w:noWrap/>
            <w:vAlign w:val="center"/>
          </w:tcPr>
          <w:p w14:paraId="78DBB75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201.21</w:t>
            </w:r>
          </w:p>
        </w:tc>
      </w:tr>
    </w:tbl>
    <w:p w14:paraId="01A6B46A"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4</w:t>
      </w:r>
      <w:r>
        <w:rPr>
          <w:rFonts w:ascii="Times New Roman" w:hAnsi="Times New Roman" w:cs="Times New Roman" w:hint="eastAsia"/>
          <w:lang w:bidi="ar"/>
        </w:rPr>
        <w:t>）销售费用预测</w:t>
      </w:r>
      <w:bookmarkEnd w:id="108"/>
    </w:p>
    <w:p w14:paraId="7363FF00" w14:textId="77777777" w:rsidR="00C02929" w:rsidRDefault="006116D1">
      <w:pPr>
        <w:pStyle w:val="affffd"/>
        <w:spacing w:before="156"/>
        <w:ind w:firstLine="480"/>
        <w:rPr>
          <w:bCs/>
        </w:rPr>
      </w:pPr>
      <w:r>
        <w:rPr>
          <w:rFonts w:hint="eastAsia"/>
          <w:bCs/>
        </w:rPr>
        <w:t>销售费用主要为销售人员的职工薪酬（含社保和公积金）、服务费、售后维护费、运输费、招待费、折旧费、办公费、差旅费、展览费和广告费以及其他费用。评估人员对各类费用分别预测如下：</w:t>
      </w:r>
    </w:p>
    <w:p w14:paraId="5E3AA18E" w14:textId="77777777" w:rsidR="00C02929" w:rsidRDefault="006116D1">
      <w:pPr>
        <w:pStyle w:val="affffd"/>
        <w:spacing w:before="156"/>
        <w:ind w:firstLine="480"/>
        <w:rPr>
          <w:bCs/>
        </w:rPr>
      </w:pPr>
      <w:r>
        <w:rPr>
          <w:rFonts w:hint="eastAsia"/>
          <w:bCs/>
        </w:rPr>
        <w:lastRenderedPageBreak/>
        <w:t>销售人员职工薪酬包括人员工资和根据人员工资计提的社保等。人员工资是公司营运过程中产生的销售部门人员的工资奖金，根据历史的人员工资水平，结合标的公司的人事发展策略，通过预测未来年度的销售业务人员人数和人均月工资确定预测期的人员工资；社会保险根据人员工资计提的各类社保和公积金。评估人员在分析历史年度各项保险费用的计提比例和实际支付情况后，以预测的人员工资为基础，预测未来年度的保险费。</w:t>
      </w:r>
    </w:p>
    <w:p w14:paraId="0A54A206" w14:textId="77777777" w:rsidR="00C02929" w:rsidRDefault="006116D1">
      <w:pPr>
        <w:pStyle w:val="affffd"/>
        <w:spacing w:before="156"/>
        <w:ind w:firstLine="480"/>
        <w:rPr>
          <w:bCs/>
        </w:rPr>
      </w:pPr>
      <w:r>
        <w:rPr>
          <w:rFonts w:hint="eastAsia"/>
          <w:bCs/>
        </w:rPr>
        <w:t>对折旧摊销，遵循了企业执行的一贯会计政策，按照预测年度的实际固定资产规模，采用直线法计提。永续年度按年折旧额确定资本性支出，同时确定当年的折旧费用。销售费用中的折旧摊销金额按照历史年度平均占全部折旧摊销金额比例确定。</w:t>
      </w:r>
    </w:p>
    <w:p w14:paraId="6BD8870F" w14:textId="77777777" w:rsidR="00C02929" w:rsidRDefault="006116D1">
      <w:pPr>
        <w:pStyle w:val="affffd"/>
        <w:spacing w:before="156"/>
        <w:ind w:firstLine="480"/>
        <w:rPr>
          <w:bCs/>
        </w:rPr>
      </w:pPr>
      <w:r>
        <w:rPr>
          <w:rFonts w:hint="eastAsia"/>
          <w:bCs/>
        </w:rPr>
        <w:t>对于其他销售费用，评估人员根据各项费用在历史年度中的支付水平，以企业发展规模和收入增长情况为基础，参考企业历史年度的费用发生额确定合理的增长比率预测未来年度中的相应费用。</w:t>
      </w:r>
    </w:p>
    <w:p w14:paraId="6CC24435" w14:textId="77777777" w:rsidR="00C02929" w:rsidRDefault="006116D1">
      <w:pPr>
        <w:pStyle w:val="affffd"/>
        <w:spacing w:before="156"/>
        <w:ind w:firstLine="480"/>
        <w:rPr>
          <w:bCs/>
        </w:rPr>
      </w:pPr>
      <w:r>
        <w:rPr>
          <w:rFonts w:hint="eastAsia"/>
          <w:bCs/>
        </w:rPr>
        <w:t>因此未来年度销售费用预测情况如下表：</w:t>
      </w:r>
    </w:p>
    <w:p w14:paraId="73BF8589"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668"/>
        <w:gridCol w:w="1520"/>
        <w:gridCol w:w="861"/>
        <w:gridCol w:w="861"/>
        <w:gridCol w:w="903"/>
        <w:gridCol w:w="903"/>
        <w:gridCol w:w="903"/>
        <w:gridCol w:w="903"/>
      </w:tblGrid>
      <w:tr w:rsidR="00C02929" w14:paraId="1EE9B245" w14:textId="77777777">
        <w:trPr>
          <w:trHeight w:val="397"/>
          <w:tblHeader/>
        </w:trPr>
        <w:tc>
          <w:tcPr>
            <w:tcW w:w="1024" w:type="pct"/>
            <w:vMerge w:val="restart"/>
            <w:shd w:val="clear" w:color="auto" w:fill="auto"/>
            <w:vAlign w:val="center"/>
          </w:tcPr>
          <w:p w14:paraId="1572C259" w14:textId="77777777" w:rsidR="00C02929" w:rsidRDefault="006116D1">
            <w:pPr>
              <w:jc w:val="center"/>
              <w:rPr>
                <w:rFonts w:ascii="Times New Roman" w:hAnsi="Times New Roman" w:cs="Times New Roman"/>
                <w:b/>
                <w:bCs/>
                <w:spacing w:val="-6"/>
                <w:sz w:val="21"/>
                <w:szCs w:val="21"/>
              </w:rPr>
            </w:pPr>
            <w:bookmarkStart w:id="109" w:name="_Hlk69654767"/>
            <w:bookmarkStart w:id="110" w:name="_Toc163542857"/>
            <w:bookmarkStart w:id="111" w:name="_Toc161394624"/>
            <w:r>
              <w:rPr>
                <w:rFonts w:ascii="Times New Roman" w:hAnsi="Times New Roman" w:cs="Times New Roman" w:hint="eastAsia"/>
                <w:b/>
                <w:bCs/>
                <w:spacing w:val="-6"/>
                <w:sz w:val="21"/>
                <w:szCs w:val="21"/>
              </w:rPr>
              <w:t>费用明细项</w:t>
            </w:r>
          </w:p>
        </w:tc>
        <w:tc>
          <w:tcPr>
            <w:tcW w:w="3976" w:type="pct"/>
            <w:gridSpan w:val="7"/>
            <w:shd w:val="clear" w:color="auto" w:fill="auto"/>
            <w:noWrap/>
            <w:vAlign w:val="center"/>
          </w:tcPr>
          <w:p w14:paraId="6E968142"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未来年度销售费用预测数据</w:t>
            </w:r>
          </w:p>
        </w:tc>
      </w:tr>
      <w:tr w:rsidR="00C02929" w14:paraId="66F9486F" w14:textId="77777777">
        <w:trPr>
          <w:trHeight w:val="397"/>
          <w:tblHeader/>
        </w:trPr>
        <w:tc>
          <w:tcPr>
            <w:tcW w:w="1024" w:type="pct"/>
            <w:vMerge/>
            <w:shd w:val="clear" w:color="auto" w:fill="auto"/>
            <w:vAlign w:val="center"/>
          </w:tcPr>
          <w:p w14:paraId="0668CD1F" w14:textId="77777777" w:rsidR="00C02929" w:rsidRDefault="00C02929">
            <w:pPr>
              <w:rPr>
                <w:rFonts w:ascii="Times New Roman" w:hAnsi="Times New Roman" w:cs="Times New Roman"/>
                <w:b/>
                <w:bCs/>
                <w:spacing w:val="-6"/>
                <w:sz w:val="21"/>
                <w:szCs w:val="21"/>
              </w:rPr>
            </w:pPr>
          </w:p>
        </w:tc>
        <w:tc>
          <w:tcPr>
            <w:tcW w:w="765" w:type="pct"/>
            <w:shd w:val="clear" w:color="auto" w:fill="auto"/>
            <w:noWrap/>
            <w:vAlign w:val="center"/>
          </w:tcPr>
          <w:p w14:paraId="7D91DFBF"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2020</w:t>
            </w:r>
            <w:r>
              <w:rPr>
                <w:rFonts w:ascii="Times New Roman" w:hAnsi="Times New Roman" w:cs="Times New Roman" w:hint="eastAsia"/>
                <w:b/>
                <w:bCs/>
                <w:spacing w:val="-6"/>
                <w:sz w:val="21"/>
                <w:szCs w:val="21"/>
              </w:rPr>
              <w:t>年</w:t>
            </w:r>
            <w:r>
              <w:rPr>
                <w:rFonts w:ascii="Times New Roman" w:hAnsi="Times New Roman" w:cs="Times New Roman" w:hint="eastAsia"/>
                <w:b/>
                <w:bCs/>
                <w:spacing w:val="-6"/>
                <w:sz w:val="21"/>
                <w:szCs w:val="21"/>
              </w:rPr>
              <w:t>7-12</w:t>
            </w:r>
            <w:r>
              <w:rPr>
                <w:rFonts w:ascii="Times New Roman" w:hAnsi="Times New Roman" w:cs="Times New Roman" w:hint="eastAsia"/>
                <w:b/>
                <w:bCs/>
                <w:spacing w:val="-6"/>
                <w:sz w:val="21"/>
                <w:szCs w:val="21"/>
              </w:rPr>
              <w:t>月</w:t>
            </w:r>
          </w:p>
        </w:tc>
        <w:tc>
          <w:tcPr>
            <w:tcW w:w="518" w:type="pct"/>
            <w:shd w:val="clear" w:color="auto" w:fill="auto"/>
            <w:noWrap/>
            <w:vAlign w:val="center"/>
          </w:tcPr>
          <w:p w14:paraId="60419925"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2021</w:t>
            </w:r>
            <w:r>
              <w:rPr>
                <w:rFonts w:ascii="Times New Roman" w:hAnsi="Times New Roman" w:cs="Times New Roman" w:hint="eastAsia"/>
                <w:b/>
                <w:bCs/>
                <w:spacing w:val="-6"/>
                <w:sz w:val="21"/>
                <w:szCs w:val="21"/>
              </w:rPr>
              <w:t>年</w:t>
            </w:r>
          </w:p>
        </w:tc>
        <w:tc>
          <w:tcPr>
            <w:tcW w:w="518" w:type="pct"/>
            <w:shd w:val="clear" w:color="auto" w:fill="auto"/>
            <w:noWrap/>
            <w:vAlign w:val="center"/>
          </w:tcPr>
          <w:p w14:paraId="4F9D1CE6"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2022</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596A7214"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2023</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63A750E4"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2024</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24D71CB0"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2025</w:t>
            </w:r>
            <w:r>
              <w:rPr>
                <w:rFonts w:ascii="Times New Roman" w:hAnsi="Times New Roman" w:cs="Times New Roman" w:hint="eastAsia"/>
                <w:b/>
                <w:bCs/>
                <w:spacing w:val="-6"/>
                <w:sz w:val="21"/>
                <w:szCs w:val="21"/>
              </w:rPr>
              <w:t>年</w:t>
            </w:r>
          </w:p>
        </w:tc>
        <w:tc>
          <w:tcPr>
            <w:tcW w:w="544" w:type="pct"/>
            <w:shd w:val="clear" w:color="auto" w:fill="auto"/>
            <w:noWrap/>
            <w:vAlign w:val="center"/>
          </w:tcPr>
          <w:p w14:paraId="6B7447F4"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稳定期</w:t>
            </w:r>
          </w:p>
        </w:tc>
      </w:tr>
      <w:tr w:rsidR="00C02929" w14:paraId="71B6D0EB" w14:textId="77777777">
        <w:trPr>
          <w:trHeight w:val="397"/>
        </w:trPr>
        <w:tc>
          <w:tcPr>
            <w:tcW w:w="1024" w:type="pct"/>
            <w:shd w:val="clear" w:color="auto" w:fill="auto"/>
            <w:vAlign w:val="center"/>
          </w:tcPr>
          <w:p w14:paraId="045CC0A4"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服务费</w:t>
            </w:r>
          </w:p>
        </w:tc>
        <w:tc>
          <w:tcPr>
            <w:tcW w:w="765" w:type="pct"/>
            <w:shd w:val="clear" w:color="auto" w:fill="auto"/>
            <w:noWrap/>
            <w:vAlign w:val="center"/>
          </w:tcPr>
          <w:p w14:paraId="7556FFC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124.55</w:t>
            </w:r>
          </w:p>
        </w:tc>
        <w:tc>
          <w:tcPr>
            <w:tcW w:w="518" w:type="pct"/>
            <w:shd w:val="clear" w:color="auto" w:fill="auto"/>
            <w:noWrap/>
            <w:vAlign w:val="center"/>
          </w:tcPr>
          <w:p w14:paraId="259FA24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257.57</w:t>
            </w:r>
          </w:p>
        </w:tc>
        <w:tc>
          <w:tcPr>
            <w:tcW w:w="518" w:type="pct"/>
            <w:shd w:val="clear" w:color="auto" w:fill="auto"/>
            <w:noWrap/>
            <w:vAlign w:val="center"/>
          </w:tcPr>
          <w:p w14:paraId="78224D8B"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284.98</w:t>
            </w:r>
          </w:p>
        </w:tc>
        <w:tc>
          <w:tcPr>
            <w:tcW w:w="544" w:type="pct"/>
            <w:shd w:val="clear" w:color="auto" w:fill="auto"/>
            <w:noWrap/>
            <w:vAlign w:val="center"/>
          </w:tcPr>
          <w:p w14:paraId="5705CB1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306.36</w:t>
            </w:r>
          </w:p>
        </w:tc>
        <w:tc>
          <w:tcPr>
            <w:tcW w:w="544" w:type="pct"/>
            <w:shd w:val="clear" w:color="auto" w:fill="auto"/>
            <w:noWrap/>
            <w:vAlign w:val="center"/>
          </w:tcPr>
          <w:p w14:paraId="144C823B"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323.18</w:t>
            </w:r>
          </w:p>
        </w:tc>
        <w:tc>
          <w:tcPr>
            <w:tcW w:w="544" w:type="pct"/>
            <w:shd w:val="clear" w:color="auto" w:fill="auto"/>
            <w:noWrap/>
            <w:vAlign w:val="center"/>
          </w:tcPr>
          <w:p w14:paraId="562CBB3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332.87</w:t>
            </w:r>
          </w:p>
        </w:tc>
        <w:tc>
          <w:tcPr>
            <w:tcW w:w="544" w:type="pct"/>
            <w:shd w:val="clear" w:color="auto" w:fill="auto"/>
            <w:noWrap/>
            <w:vAlign w:val="center"/>
          </w:tcPr>
          <w:p w14:paraId="0D18210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332.87</w:t>
            </w:r>
          </w:p>
        </w:tc>
      </w:tr>
      <w:tr w:rsidR="00C02929" w14:paraId="39AD7706" w14:textId="77777777">
        <w:trPr>
          <w:trHeight w:val="397"/>
        </w:trPr>
        <w:tc>
          <w:tcPr>
            <w:tcW w:w="1024" w:type="pct"/>
            <w:shd w:val="clear" w:color="auto" w:fill="auto"/>
            <w:vAlign w:val="center"/>
          </w:tcPr>
          <w:p w14:paraId="0D79B1FF"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职工薪酬</w:t>
            </w:r>
          </w:p>
        </w:tc>
        <w:tc>
          <w:tcPr>
            <w:tcW w:w="765" w:type="pct"/>
            <w:shd w:val="clear" w:color="auto" w:fill="auto"/>
            <w:noWrap/>
            <w:vAlign w:val="center"/>
          </w:tcPr>
          <w:p w14:paraId="10AE496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56.43</w:t>
            </w:r>
          </w:p>
        </w:tc>
        <w:tc>
          <w:tcPr>
            <w:tcW w:w="518" w:type="pct"/>
            <w:shd w:val="clear" w:color="auto" w:fill="auto"/>
            <w:noWrap/>
            <w:vAlign w:val="center"/>
          </w:tcPr>
          <w:p w14:paraId="094285A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141.66</w:t>
            </w:r>
          </w:p>
        </w:tc>
        <w:tc>
          <w:tcPr>
            <w:tcW w:w="518" w:type="pct"/>
            <w:shd w:val="clear" w:color="auto" w:fill="auto"/>
            <w:noWrap/>
            <w:vAlign w:val="center"/>
          </w:tcPr>
          <w:p w14:paraId="580E28F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153.00</w:t>
            </w:r>
          </w:p>
        </w:tc>
        <w:tc>
          <w:tcPr>
            <w:tcW w:w="544" w:type="pct"/>
            <w:shd w:val="clear" w:color="auto" w:fill="auto"/>
            <w:noWrap/>
            <w:vAlign w:val="center"/>
          </w:tcPr>
          <w:p w14:paraId="324668A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171.35</w:t>
            </w:r>
          </w:p>
        </w:tc>
        <w:tc>
          <w:tcPr>
            <w:tcW w:w="544" w:type="pct"/>
            <w:shd w:val="clear" w:color="auto" w:fill="auto"/>
            <w:noWrap/>
            <w:vAlign w:val="center"/>
          </w:tcPr>
          <w:p w14:paraId="52293E6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176.50</w:t>
            </w:r>
          </w:p>
        </w:tc>
        <w:tc>
          <w:tcPr>
            <w:tcW w:w="544" w:type="pct"/>
            <w:shd w:val="clear" w:color="auto" w:fill="auto"/>
            <w:noWrap/>
            <w:vAlign w:val="center"/>
          </w:tcPr>
          <w:p w14:paraId="134C0C0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180.03</w:t>
            </w:r>
          </w:p>
        </w:tc>
        <w:tc>
          <w:tcPr>
            <w:tcW w:w="544" w:type="pct"/>
            <w:shd w:val="clear" w:color="auto" w:fill="auto"/>
            <w:noWrap/>
            <w:vAlign w:val="center"/>
          </w:tcPr>
          <w:p w14:paraId="67761FC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180.03</w:t>
            </w:r>
          </w:p>
        </w:tc>
      </w:tr>
      <w:tr w:rsidR="00C02929" w14:paraId="46ACEA32" w14:textId="77777777">
        <w:trPr>
          <w:trHeight w:val="397"/>
        </w:trPr>
        <w:tc>
          <w:tcPr>
            <w:tcW w:w="1024" w:type="pct"/>
            <w:shd w:val="clear" w:color="auto" w:fill="auto"/>
            <w:vAlign w:val="center"/>
          </w:tcPr>
          <w:p w14:paraId="4EBBEC55"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售后维修费</w:t>
            </w:r>
          </w:p>
        </w:tc>
        <w:tc>
          <w:tcPr>
            <w:tcW w:w="765" w:type="pct"/>
            <w:shd w:val="clear" w:color="auto" w:fill="auto"/>
            <w:noWrap/>
            <w:vAlign w:val="center"/>
          </w:tcPr>
          <w:p w14:paraId="1A6659D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127.37</w:t>
            </w:r>
          </w:p>
        </w:tc>
        <w:tc>
          <w:tcPr>
            <w:tcW w:w="518" w:type="pct"/>
            <w:shd w:val="clear" w:color="auto" w:fill="auto"/>
            <w:noWrap/>
            <w:vAlign w:val="center"/>
          </w:tcPr>
          <w:p w14:paraId="6391423A"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409.91</w:t>
            </w:r>
          </w:p>
        </w:tc>
        <w:tc>
          <w:tcPr>
            <w:tcW w:w="518" w:type="pct"/>
            <w:shd w:val="clear" w:color="auto" w:fill="auto"/>
            <w:noWrap/>
            <w:vAlign w:val="center"/>
          </w:tcPr>
          <w:p w14:paraId="56A6A2F4"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453.53</w:t>
            </w:r>
          </w:p>
        </w:tc>
        <w:tc>
          <w:tcPr>
            <w:tcW w:w="544" w:type="pct"/>
            <w:shd w:val="clear" w:color="auto" w:fill="auto"/>
            <w:noWrap/>
            <w:vAlign w:val="center"/>
          </w:tcPr>
          <w:p w14:paraId="51C65C7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487.56</w:t>
            </w:r>
          </w:p>
        </w:tc>
        <w:tc>
          <w:tcPr>
            <w:tcW w:w="544" w:type="pct"/>
            <w:shd w:val="clear" w:color="auto" w:fill="auto"/>
            <w:noWrap/>
            <w:vAlign w:val="center"/>
          </w:tcPr>
          <w:p w14:paraId="41D5CAF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514.33</w:t>
            </w:r>
          </w:p>
        </w:tc>
        <w:tc>
          <w:tcPr>
            <w:tcW w:w="544" w:type="pct"/>
            <w:shd w:val="clear" w:color="auto" w:fill="auto"/>
            <w:noWrap/>
            <w:vAlign w:val="center"/>
          </w:tcPr>
          <w:p w14:paraId="41D87D7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529.74</w:t>
            </w:r>
          </w:p>
        </w:tc>
        <w:tc>
          <w:tcPr>
            <w:tcW w:w="544" w:type="pct"/>
            <w:shd w:val="clear" w:color="auto" w:fill="auto"/>
            <w:noWrap/>
            <w:vAlign w:val="center"/>
          </w:tcPr>
          <w:p w14:paraId="2951EAE4"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529.74</w:t>
            </w:r>
          </w:p>
        </w:tc>
      </w:tr>
      <w:tr w:rsidR="00C02929" w14:paraId="7E7E87EB" w14:textId="77777777">
        <w:trPr>
          <w:trHeight w:val="397"/>
        </w:trPr>
        <w:tc>
          <w:tcPr>
            <w:tcW w:w="1024" w:type="pct"/>
            <w:shd w:val="clear" w:color="auto" w:fill="auto"/>
            <w:vAlign w:val="center"/>
          </w:tcPr>
          <w:p w14:paraId="72A150EF"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运输费</w:t>
            </w:r>
          </w:p>
        </w:tc>
        <w:tc>
          <w:tcPr>
            <w:tcW w:w="765" w:type="pct"/>
            <w:shd w:val="clear" w:color="auto" w:fill="auto"/>
            <w:noWrap/>
            <w:vAlign w:val="center"/>
          </w:tcPr>
          <w:p w14:paraId="31AAD9A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18" w:type="pct"/>
            <w:shd w:val="clear" w:color="auto" w:fill="auto"/>
            <w:noWrap/>
            <w:vAlign w:val="center"/>
          </w:tcPr>
          <w:p w14:paraId="026DE7F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18" w:type="pct"/>
            <w:shd w:val="clear" w:color="auto" w:fill="auto"/>
            <w:noWrap/>
            <w:vAlign w:val="center"/>
          </w:tcPr>
          <w:p w14:paraId="4D68BCF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4625CEC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3379CB7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627F1F5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c>
          <w:tcPr>
            <w:tcW w:w="544" w:type="pct"/>
            <w:shd w:val="clear" w:color="auto" w:fill="auto"/>
            <w:noWrap/>
            <w:vAlign w:val="center"/>
          </w:tcPr>
          <w:p w14:paraId="41E1622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w:t>
            </w:r>
          </w:p>
        </w:tc>
      </w:tr>
      <w:tr w:rsidR="00C02929" w14:paraId="7EB8A6D4" w14:textId="77777777">
        <w:trPr>
          <w:trHeight w:val="397"/>
        </w:trPr>
        <w:tc>
          <w:tcPr>
            <w:tcW w:w="1024" w:type="pct"/>
            <w:shd w:val="clear" w:color="auto" w:fill="auto"/>
            <w:vAlign w:val="center"/>
          </w:tcPr>
          <w:p w14:paraId="57312CD8"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招待费</w:t>
            </w:r>
          </w:p>
        </w:tc>
        <w:tc>
          <w:tcPr>
            <w:tcW w:w="765" w:type="pct"/>
            <w:shd w:val="clear" w:color="auto" w:fill="auto"/>
            <w:noWrap/>
            <w:vAlign w:val="center"/>
          </w:tcPr>
          <w:p w14:paraId="149238A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31.21</w:t>
            </w:r>
          </w:p>
        </w:tc>
        <w:tc>
          <w:tcPr>
            <w:tcW w:w="518" w:type="pct"/>
            <w:shd w:val="clear" w:color="auto" w:fill="auto"/>
            <w:noWrap/>
            <w:vAlign w:val="center"/>
          </w:tcPr>
          <w:p w14:paraId="489444D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59.10</w:t>
            </w:r>
          </w:p>
        </w:tc>
        <w:tc>
          <w:tcPr>
            <w:tcW w:w="518" w:type="pct"/>
            <w:shd w:val="clear" w:color="auto" w:fill="auto"/>
            <w:noWrap/>
            <w:vAlign w:val="center"/>
          </w:tcPr>
          <w:p w14:paraId="7B22EF8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65.39</w:t>
            </w:r>
          </w:p>
        </w:tc>
        <w:tc>
          <w:tcPr>
            <w:tcW w:w="544" w:type="pct"/>
            <w:shd w:val="clear" w:color="auto" w:fill="auto"/>
            <w:noWrap/>
            <w:vAlign w:val="center"/>
          </w:tcPr>
          <w:p w14:paraId="064D24E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70.29</w:t>
            </w:r>
          </w:p>
        </w:tc>
        <w:tc>
          <w:tcPr>
            <w:tcW w:w="544" w:type="pct"/>
            <w:shd w:val="clear" w:color="auto" w:fill="auto"/>
            <w:noWrap/>
            <w:vAlign w:val="center"/>
          </w:tcPr>
          <w:p w14:paraId="588D97B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74.15</w:t>
            </w:r>
          </w:p>
        </w:tc>
        <w:tc>
          <w:tcPr>
            <w:tcW w:w="544" w:type="pct"/>
            <w:shd w:val="clear" w:color="auto" w:fill="auto"/>
            <w:noWrap/>
            <w:vAlign w:val="center"/>
          </w:tcPr>
          <w:p w14:paraId="4B034E7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76.37</w:t>
            </w:r>
          </w:p>
        </w:tc>
        <w:tc>
          <w:tcPr>
            <w:tcW w:w="544" w:type="pct"/>
            <w:shd w:val="clear" w:color="auto" w:fill="auto"/>
            <w:noWrap/>
            <w:vAlign w:val="center"/>
          </w:tcPr>
          <w:p w14:paraId="58E5B0B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76.37</w:t>
            </w:r>
          </w:p>
        </w:tc>
      </w:tr>
      <w:tr w:rsidR="00C02929" w14:paraId="70555C77" w14:textId="77777777">
        <w:trPr>
          <w:trHeight w:val="397"/>
        </w:trPr>
        <w:tc>
          <w:tcPr>
            <w:tcW w:w="1024" w:type="pct"/>
            <w:shd w:val="clear" w:color="auto" w:fill="auto"/>
            <w:vAlign w:val="center"/>
          </w:tcPr>
          <w:p w14:paraId="0CE51120"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折旧费</w:t>
            </w:r>
          </w:p>
        </w:tc>
        <w:tc>
          <w:tcPr>
            <w:tcW w:w="765" w:type="pct"/>
            <w:shd w:val="clear" w:color="auto" w:fill="auto"/>
            <w:noWrap/>
            <w:vAlign w:val="center"/>
          </w:tcPr>
          <w:p w14:paraId="4ACEA0B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1.15</w:t>
            </w:r>
          </w:p>
        </w:tc>
        <w:tc>
          <w:tcPr>
            <w:tcW w:w="518" w:type="pct"/>
            <w:shd w:val="clear" w:color="auto" w:fill="auto"/>
            <w:noWrap/>
            <w:vAlign w:val="center"/>
          </w:tcPr>
          <w:p w14:paraId="73F846C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18" w:type="pct"/>
            <w:shd w:val="clear" w:color="auto" w:fill="auto"/>
            <w:noWrap/>
            <w:vAlign w:val="center"/>
          </w:tcPr>
          <w:p w14:paraId="16BFFFE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5EC9495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6B1045B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6A4F112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c>
          <w:tcPr>
            <w:tcW w:w="544" w:type="pct"/>
            <w:shd w:val="clear" w:color="auto" w:fill="auto"/>
            <w:noWrap/>
            <w:vAlign w:val="center"/>
          </w:tcPr>
          <w:p w14:paraId="76532F9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2.30</w:t>
            </w:r>
          </w:p>
        </w:tc>
      </w:tr>
      <w:tr w:rsidR="00C02929" w14:paraId="352452CE" w14:textId="77777777">
        <w:trPr>
          <w:trHeight w:val="397"/>
        </w:trPr>
        <w:tc>
          <w:tcPr>
            <w:tcW w:w="1024" w:type="pct"/>
            <w:shd w:val="clear" w:color="auto" w:fill="auto"/>
            <w:vAlign w:val="center"/>
          </w:tcPr>
          <w:p w14:paraId="15C92C75"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办公费</w:t>
            </w:r>
          </w:p>
        </w:tc>
        <w:tc>
          <w:tcPr>
            <w:tcW w:w="765" w:type="pct"/>
            <w:shd w:val="clear" w:color="auto" w:fill="auto"/>
            <w:noWrap/>
            <w:vAlign w:val="center"/>
          </w:tcPr>
          <w:p w14:paraId="61BB354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4.37</w:t>
            </w:r>
          </w:p>
        </w:tc>
        <w:tc>
          <w:tcPr>
            <w:tcW w:w="518" w:type="pct"/>
            <w:shd w:val="clear" w:color="auto" w:fill="auto"/>
            <w:noWrap/>
            <w:vAlign w:val="center"/>
          </w:tcPr>
          <w:p w14:paraId="65F7EE8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8.14</w:t>
            </w:r>
          </w:p>
        </w:tc>
        <w:tc>
          <w:tcPr>
            <w:tcW w:w="518" w:type="pct"/>
            <w:shd w:val="clear" w:color="auto" w:fill="auto"/>
            <w:noWrap/>
            <w:vAlign w:val="center"/>
          </w:tcPr>
          <w:p w14:paraId="7385EBE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9.01</w:t>
            </w:r>
          </w:p>
        </w:tc>
        <w:tc>
          <w:tcPr>
            <w:tcW w:w="544" w:type="pct"/>
            <w:shd w:val="clear" w:color="auto" w:fill="auto"/>
            <w:noWrap/>
            <w:vAlign w:val="center"/>
          </w:tcPr>
          <w:p w14:paraId="73B7243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9.68</w:t>
            </w:r>
          </w:p>
        </w:tc>
        <w:tc>
          <w:tcPr>
            <w:tcW w:w="544" w:type="pct"/>
            <w:shd w:val="clear" w:color="auto" w:fill="auto"/>
            <w:noWrap/>
            <w:vAlign w:val="center"/>
          </w:tcPr>
          <w:p w14:paraId="53F4B65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10.22</w:t>
            </w:r>
          </w:p>
        </w:tc>
        <w:tc>
          <w:tcPr>
            <w:tcW w:w="544" w:type="pct"/>
            <w:shd w:val="clear" w:color="auto" w:fill="auto"/>
            <w:noWrap/>
            <w:vAlign w:val="center"/>
          </w:tcPr>
          <w:p w14:paraId="6E03B3D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10.52</w:t>
            </w:r>
          </w:p>
        </w:tc>
        <w:tc>
          <w:tcPr>
            <w:tcW w:w="544" w:type="pct"/>
            <w:shd w:val="clear" w:color="auto" w:fill="auto"/>
            <w:noWrap/>
            <w:vAlign w:val="center"/>
          </w:tcPr>
          <w:p w14:paraId="1F164A1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10.52</w:t>
            </w:r>
          </w:p>
        </w:tc>
      </w:tr>
      <w:tr w:rsidR="00C02929" w14:paraId="5666E316" w14:textId="77777777">
        <w:trPr>
          <w:trHeight w:val="397"/>
        </w:trPr>
        <w:tc>
          <w:tcPr>
            <w:tcW w:w="1024" w:type="pct"/>
            <w:shd w:val="clear" w:color="auto" w:fill="auto"/>
            <w:vAlign w:val="center"/>
          </w:tcPr>
          <w:p w14:paraId="4D898080"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展览费和广告费</w:t>
            </w:r>
          </w:p>
        </w:tc>
        <w:tc>
          <w:tcPr>
            <w:tcW w:w="765" w:type="pct"/>
            <w:shd w:val="clear" w:color="auto" w:fill="auto"/>
            <w:noWrap/>
            <w:vAlign w:val="center"/>
          </w:tcPr>
          <w:p w14:paraId="2F139C4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2.74</w:t>
            </w:r>
          </w:p>
        </w:tc>
        <w:tc>
          <w:tcPr>
            <w:tcW w:w="518" w:type="pct"/>
            <w:shd w:val="clear" w:color="auto" w:fill="auto"/>
            <w:noWrap/>
            <w:vAlign w:val="center"/>
          </w:tcPr>
          <w:p w14:paraId="1E5EE0E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5.10</w:t>
            </w:r>
          </w:p>
        </w:tc>
        <w:tc>
          <w:tcPr>
            <w:tcW w:w="518" w:type="pct"/>
            <w:shd w:val="clear" w:color="auto" w:fill="auto"/>
            <w:noWrap/>
            <w:vAlign w:val="center"/>
          </w:tcPr>
          <w:p w14:paraId="38E5DB1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5.64</w:t>
            </w:r>
          </w:p>
        </w:tc>
        <w:tc>
          <w:tcPr>
            <w:tcW w:w="544" w:type="pct"/>
            <w:shd w:val="clear" w:color="auto" w:fill="auto"/>
            <w:noWrap/>
            <w:vAlign w:val="center"/>
          </w:tcPr>
          <w:p w14:paraId="6513333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6.06</w:t>
            </w:r>
          </w:p>
        </w:tc>
        <w:tc>
          <w:tcPr>
            <w:tcW w:w="544" w:type="pct"/>
            <w:shd w:val="clear" w:color="auto" w:fill="auto"/>
            <w:noWrap/>
            <w:vAlign w:val="center"/>
          </w:tcPr>
          <w:p w14:paraId="2CA166E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6.40</w:t>
            </w:r>
          </w:p>
        </w:tc>
        <w:tc>
          <w:tcPr>
            <w:tcW w:w="544" w:type="pct"/>
            <w:shd w:val="clear" w:color="auto" w:fill="auto"/>
            <w:noWrap/>
            <w:vAlign w:val="center"/>
          </w:tcPr>
          <w:p w14:paraId="46F496A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6.59</w:t>
            </w:r>
          </w:p>
        </w:tc>
        <w:tc>
          <w:tcPr>
            <w:tcW w:w="544" w:type="pct"/>
            <w:shd w:val="clear" w:color="auto" w:fill="auto"/>
            <w:noWrap/>
            <w:vAlign w:val="center"/>
          </w:tcPr>
          <w:p w14:paraId="3044B1D4"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6.59</w:t>
            </w:r>
          </w:p>
        </w:tc>
      </w:tr>
      <w:tr w:rsidR="00C02929" w14:paraId="53805944" w14:textId="77777777">
        <w:trPr>
          <w:trHeight w:val="397"/>
        </w:trPr>
        <w:tc>
          <w:tcPr>
            <w:tcW w:w="1024" w:type="pct"/>
            <w:shd w:val="clear" w:color="auto" w:fill="auto"/>
            <w:vAlign w:val="center"/>
          </w:tcPr>
          <w:p w14:paraId="4422B15D"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差旅费</w:t>
            </w:r>
          </w:p>
        </w:tc>
        <w:tc>
          <w:tcPr>
            <w:tcW w:w="765" w:type="pct"/>
            <w:shd w:val="clear" w:color="auto" w:fill="auto"/>
            <w:noWrap/>
            <w:vAlign w:val="center"/>
          </w:tcPr>
          <w:p w14:paraId="01FB059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2.05</w:t>
            </w:r>
          </w:p>
        </w:tc>
        <w:tc>
          <w:tcPr>
            <w:tcW w:w="518" w:type="pct"/>
            <w:shd w:val="clear" w:color="auto" w:fill="auto"/>
            <w:noWrap/>
            <w:vAlign w:val="center"/>
          </w:tcPr>
          <w:p w14:paraId="1613472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5.15</w:t>
            </w:r>
          </w:p>
        </w:tc>
        <w:tc>
          <w:tcPr>
            <w:tcW w:w="518" w:type="pct"/>
            <w:shd w:val="clear" w:color="auto" w:fill="auto"/>
            <w:noWrap/>
            <w:vAlign w:val="center"/>
          </w:tcPr>
          <w:p w14:paraId="7C9D8B5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5.69</w:t>
            </w:r>
          </w:p>
        </w:tc>
        <w:tc>
          <w:tcPr>
            <w:tcW w:w="544" w:type="pct"/>
            <w:shd w:val="clear" w:color="auto" w:fill="auto"/>
            <w:noWrap/>
            <w:vAlign w:val="center"/>
          </w:tcPr>
          <w:p w14:paraId="42F6A5B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6.12</w:t>
            </w:r>
          </w:p>
        </w:tc>
        <w:tc>
          <w:tcPr>
            <w:tcW w:w="544" w:type="pct"/>
            <w:shd w:val="clear" w:color="auto" w:fill="auto"/>
            <w:noWrap/>
            <w:vAlign w:val="center"/>
          </w:tcPr>
          <w:p w14:paraId="0B3FA6D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6.46</w:t>
            </w:r>
          </w:p>
        </w:tc>
        <w:tc>
          <w:tcPr>
            <w:tcW w:w="544" w:type="pct"/>
            <w:shd w:val="clear" w:color="auto" w:fill="auto"/>
            <w:noWrap/>
            <w:vAlign w:val="center"/>
          </w:tcPr>
          <w:p w14:paraId="23F10FC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6.65</w:t>
            </w:r>
          </w:p>
        </w:tc>
        <w:tc>
          <w:tcPr>
            <w:tcW w:w="544" w:type="pct"/>
            <w:shd w:val="clear" w:color="auto" w:fill="auto"/>
            <w:noWrap/>
            <w:vAlign w:val="center"/>
          </w:tcPr>
          <w:p w14:paraId="71F8090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6.65</w:t>
            </w:r>
          </w:p>
        </w:tc>
      </w:tr>
      <w:tr w:rsidR="00C02929" w14:paraId="7E194B43" w14:textId="77777777">
        <w:trPr>
          <w:trHeight w:val="397"/>
        </w:trPr>
        <w:tc>
          <w:tcPr>
            <w:tcW w:w="1024" w:type="pct"/>
            <w:shd w:val="clear" w:color="auto" w:fill="auto"/>
            <w:vAlign w:val="center"/>
          </w:tcPr>
          <w:p w14:paraId="7DED7737"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其他</w:t>
            </w:r>
          </w:p>
        </w:tc>
        <w:tc>
          <w:tcPr>
            <w:tcW w:w="765" w:type="pct"/>
            <w:shd w:val="clear" w:color="auto" w:fill="auto"/>
            <w:noWrap/>
            <w:vAlign w:val="center"/>
          </w:tcPr>
          <w:p w14:paraId="1A03804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2.16</w:t>
            </w:r>
          </w:p>
        </w:tc>
        <w:tc>
          <w:tcPr>
            <w:tcW w:w="518" w:type="pct"/>
            <w:shd w:val="clear" w:color="auto" w:fill="auto"/>
            <w:noWrap/>
            <w:vAlign w:val="center"/>
          </w:tcPr>
          <w:p w14:paraId="135DE59D"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2.40</w:t>
            </w:r>
          </w:p>
        </w:tc>
        <w:tc>
          <w:tcPr>
            <w:tcW w:w="518" w:type="pct"/>
            <w:shd w:val="clear" w:color="auto" w:fill="auto"/>
            <w:noWrap/>
            <w:vAlign w:val="center"/>
          </w:tcPr>
          <w:p w14:paraId="143E712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2.47</w:t>
            </w:r>
          </w:p>
        </w:tc>
        <w:tc>
          <w:tcPr>
            <w:tcW w:w="544" w:type="pct"/>
            <w:shd w:val="clear" w:color="auto" w:fill="auto"/>
            <w:noWrap/>
            <w:vAlign w:val="center"/>
          </w:tcPr>
          <w:p w14:paraId="3A86E890"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2.54</w:t>
            </w:r>
          </w:p>
        </w:tc>
        <w:tc>
          <w:tcPr>
            <w:tcW w:w="544" w:type="pct"/>
            <w:shd w:val="clear" w:color="auto" w:fill="auto"/>
            <w:noWrap/>
            <w:vAlign w:val="center"/>
          </w:tcPr>
          <w:p w14:paraId="6494B38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2.62</w:t>
            </w:r>
          </w:p>
        </w:tc>
        <w:tc>
          <w:tcPr>
            <w:tcW w:w="544" w:type="pct"/>
            <w:shd w:val="clear" w:color="auto" w:fill="auto"/>
            <w:noWrap/>
            <w:vAlign w:val="center"/>
          </w:tcPr>
          <w:p w14:paraId="37B82C5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2.70</w:t>
            </w:r>
          </w:p>
        </w:tc>
        <w:tc>
          <w:tcPr>
            <w:tcW w:w="544" w:type="pct"/>
            <w:shd w:val="clear" w:color="auto" w:fill="auto"/>
            <w:noWrap/>
            <w:vAlign w:val="center"/>
          </w:tcPr>
          <w:p w14:paraId="2F8AE25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2.70</w:t>
            </w:r>
          </w:p>
        </w:tc>
      </w:tr>
      <w:tr w:rsidR="00C02929" w14:paraId="6B98E9A9" w14:textId="77777777">
        <w:trPr>
          <w:trHeight w:val="397"/>
        </w:trPr>
        <w:tc>
          <w:tcPr>
            <w:tcW w:w="1024" w:type="pct"/>
            <w:shd w:val="clear" w:color="auto" w:fill="auto"/>
            <w:noWrap/>
            <w:vAlign w:val="center"/>
          </w:tcPr>
          <w:p w14:paraId="2B6943A0"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合计</w:t>
            </w:r>
          </w:p>
        </w:tc>
        <w:tc>
          <w:tcPr>
            <w:tcW w:w="765" w:type="pct"/>
            <w:shd w:val="clear" w:color="auto" w:fill="auto"/>
            <w:noWrap/>
            <w:vAlign w:val="center"/>
          </w:tcPr>
          <w:p w14:paraId="00541564"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352.04</w:t>
            </w:r>
          </w:p>
        </w:tc>
        <w:tc>
          <w:tcPr>
            <w:tcW w:w="518" w:type="pct"/>
            <w:shd w:val="clear" w:color="auto" w:fill="auto"/>
            <w:noWrap/>
            <w:vAlign w:val="center"/>
          </w:tcPr>
          <w:p w14:paraId="34C53CA6"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891.33</w:t>
            </w:r>
          </w:p>
        </w:tc>
        <w:tc>
          <w:tcPr>
            <w:tcW w:w="518" w:type="pct"/>
            <w:shd w:val="clear" w:color="auto" w:fill="auto"/>
            <w:noWrap/>
            <w:vAlign w:val="center"/>
          </w:tcPr>
          <w:p w14:paraId="0DB4834D"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982.01</w:t>
            </w:r>
          </w:p>
        </w:tc>
        <w:tc>
          <w:tcPr>
            <w:tcW w:w="544" w:type="pct"/>
            <w:shd w:val="clear" w:color="auto" w:fill="auto"/>
            <w:noWrap/>
            <w:vAlign w:val="center"/>
          </w:tcPr>
          <w:p w14:paraId="611DDE6A"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1,062.29</w:t>
            </w:r>
          </w:p>
        </w:tc>
        <w:tc>
          <w:tcPr>
            <w:tcW w:w="544" w:type="pct"/>
            <w:shd w:val="clear" w:color="auto" w:fill="auto"/>
            <w:noWrap/>
            <w:vAlign w:val="center"/>
          </w:tcPr>
          <w:p w14:paraId="51EA6040"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1,116.15</w:t>
            </w:r>
          </w:p>
        </w:tc>
        <w:tc>
          <w:tcPr>
            <w:tcW w:w="544" w:type="pct"/>
            <w:shd w:val="clear" w:color="auto" w:fill="auto"/>
            <w:noWrap/>
            <w:vAlign w:val="center"/>
          </w:tcPr>
          <w:p w14:paraId="277B45A0"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1,147.77</w:t>
            </w:r>
          </w:p>
        </w:tc>
        <w:tc>
          <w:tcPr>
            <w:tcW w:w="544" w:type="pct"/>
            <w:shd w:val="clear" w:color="auto" w:fill="auto"/>
            <w:noWrap/>
            <w:vAlign w:val="center"/>
          </w:tcPr>
          <w:p w14:paraId="3F2AE4D1"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1,147.77</w:t>
            </w:r>
          </w:p>
        </w:tc>
      </w:tr>
    </w:tbl>
    <w:bookmarkEnd w:id="109"/>
    <w:p w14:paraId="6448DA06"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5</w:t>
      </w:r>
      <w:r>
        <w:rPr>
          <w:rFonts w:ascii="Times New Roman" w:hAnsi="Times New Roman" w:cs="Times New Roman" w:hint="eastAsia"/>
          <w:lang w:bidi="ar"/>
        </w:rPr>
        <w:t>）管理费用预测</w:t>
      </w:r>
      <w:bookmarkEnd w:id="110"/>
      <w:bookmarkEnd w:id="111"/>
    </w:p>
    <w:p w14:paraId="59E10C18" w14:textId="77777777" w:rsidR="00C02929" w:rsidRDefault="006116D1">
      <w:pPr>
        <w:pStyle w:val="affffd"/>
        <w:spacing w:before="156"/>
        <w:ind w:firstLine="480"/>
        <w:rPr>
          <w:bCs/>
        </w:rPr>
      </w:pPr>
      <w:r>
        <w:rPr>
          <w:rFonts w:hint="eastAsia"/>
          <w:bCs/>
        </w:rPr>
        <w:lastRenderedPageBreak/>
        <w:t>管理费用中的工资是管理部门人员的职工薪酬，根据历史的人员工资水平，结合标的公司的人事发展策略，通过预测未来年度的管理人员人数和人均月工资确定预测期的人员工资；社保费和公积金为根据人员工资计提的各类社保和公积金。评估人员在分析历史年度各项保险费用的计提比例和实际支付情况后，以预测的人员工资为基础，预测未来年度的保险费。</w:t>
      </w:r>
    </w:p>
    <w:p w14:paraId="2999CE7C" w14:textId="77777777" w:rsidR="00C02929" w:rsidRDefault="006116D1">
      <w:pPr>
        <w:pStyle w:val="affffd"/>
        <w:spacing w:before="156"/>
        <w:ind w:firstLine="480"/>
        <w:rPr>
          <w:bCs/>
        </w:rPr>
      </w:pPr>
      <w:r>
        <w:rPr>
          <w:rFonts w:hint="eastAsia"/>
          <w:bCs/>
        </w:rPr>
        <w:t>对折旧费，遵循了企业执行的一贯会计政策，按照预测年度的实际固定资产规模，采用直线法计提。永续年度按年金确定资本性支出，同时确定当年的折旧费用。</w:t>
      </w:r>
    </w:p>
    <w:p w14:paraId="0C9335C1"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其他管理费用主要是公司运营过程中产生的租赁费、中介费、办公费、车辆费、差旅费、招待费等，根据其在历史年度中的支付水平，以企业发展规模和收入水平为基础，预测未来年度中的其他管理费用。管理费用预测见下表：</w:t>
      </w:r>
    </w:p>
    <w:p w14:paraId="0681E444"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4916"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09"/>
        <w:gridCol w:w="1017"/>
        <w:gridCol w:w="1021"/>
        <w:gridCol w:w="1017"/>
        <w:gridCol w:w="1021"/>
        <w:gridCol w:w="1019"/>
        <w:gridCol w:w="1017"/>
        <w:gridCol w:w="935"/>
        <w:gridCol w:w="23"/>
      </w:tblGrid>
      <w:tr w:rsidR="00C02929" w14:paraId="403CF07C" w14:textId="77777777">
        <w:trPr>
          <w:trHeight w:val="397"/>
          <w:tblHeader/>
        </w:trPr>
        <w:tc>
          <w:tcPr>
            <w:tcW w:w="781" w:type="pct"/>
            <w:vMerge w:val="restart"/>
            <w:shd w:val="clear" w:color="auto" w:fill="auto"/>
            <w:vAlign w:val="center"/>
          </w:tcPr>
          <w:p w14:paraId="401EAC31" w14:textId="77777777" w:rsidR="00C02929" w:rsidRDefault="006116D1">
            <w:pPr>
              <w:jc w:val="center"/>
              <w:rPr>
                <w:rFonts w:ascii="Times New Roman" w:hAnsi="Times New Roman" w:cs="Times New Roman"/>
                <w:b/>
                <w:bCs/>
                <w:spacing w:val="-6"/>
                <w:sz w:val="21"/>
                <w:szCs w:val="21"/>
              </w:rPr>
            </w:pPr>
            <w:bookmarkStart w:id="112" w:name="_Toc161394626"/>
            <w:bookmarkStart w:id="113" w:name="_Toc163542859"/>
            <w:r>
              <w:rPr>
                <w:rFonts w:ascii="Times New Roman" w:hAnsi="Times New Roman" w:cs="Times New Roman" w:hint="eastAsia"/>
                <w:b/>
                <w:bCs/>
                <w:spacing w:val="-6"/>
                <w:sz w:val="21"/>
                <w:szCs w:val="21"/>
              </w:rPr>
              <w:t>费用明细项</w:t>
            </w:r>
          </w:p>
        </w:tc>
        <w:tc>
          <w:tcPr>
            <w:tcW w:w="4219" w:type="pct"/>
            <w:gridSpan w:val="8"/>
            <w:shd w:val="clear" w:color="auto" w:fill="auto"/>
            <w:noWrap/>
            <w:vAlign w:val="center"/>
          </w:tcPr>
          <w:p w14:paraId="73C0A312"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未来年度管理费用预测数据</w:t>
            </w:r>
          </w:p>
        </w:tc>
      </w:tr>
      <w:tr w:rsidR="00C02929" w14:paraId="11F20F0A" w14:textId="77777777">
        <w:trPr>
          <w:gridAfter w:val="1"/>
          <w:wAfter w:w="16" w:type="pct"/>
          <w:trHeight w:val="397"/>
          <w:tblHeader/>
        </w:trPr>
        <w:tc>
          <w:tcPr>
            <w:tcW w:w="781" w:type="pct"/>
            <w:vMerge/>
            <w:shd w:val="clear" w:color="auto" w:fill="auto"/>
            <w:vAlign w:val="center"/>
          </w:tcPr>
          <w:p w14:paraId="7CE2A421" w14:textId="77777777" w:rsidR="00C02929" w:rsidRDefault="00C02929">
            <w:pPr>
              <w:rPr>
                <w:rFonts w:ascii="Times New Roman" w:hAnsi="Times New Roman" w:cs="Times New Roman"/>
                <w:b/>
                <w:bCs/>
                <w:spacing w:val="-6"/>
                <w:sz w:val="21"/>
                <w:szCs w:val="21"/>
              </w:rPr>
            </w:pPr>
          </w:p>
        </w:tc>
        <w:tc>
          <w:tcPr>
            <w:tcW w:w="607" w:type="pct"/>
            <w:shd w:val="clear" w:color="auto" w:fill="auto"/>
            <w:noWrap/>
            <w:vAlign w:val="center"/>
          </w:tcPr>
          <w:p w14:paraId="1DBF7316"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2020</w:t>
            </w:r>
            <w:r>
              <w:rPr>
                <w:rFonts w:ascii="Times New Roman" w:hAnsi="Times New Roman" w:cs="Times New Roman" w:hint="eastAsia"/>
                <w:b/>
                <w:bCs/>
                <w:spacing w:val="-6"/>
                <w:sz w:val="21"/>
                <w:szCs w:val="21"/>
              </w:rPr>
              <w:t>年</w:t>
            </w:r>
            <w:r>
              <w:rPr>
                <w:rFonts w:ascii="Times New Roman" w:hAnsi="Times New Roman" w:cs="Times New Roman" w:hint="eastAsia"/>
                <w:b/>
                <w:bCs/>
                <w:spacing w:val="-6"/>
                <w:sz w:val="21"/>
                <w:szCs w:val="21"/>
              </w:rPr>
              <w:t>7-12</w:t>
            </w:r>
            <w:r>
              <w:rPr>
                <w:rFonts w:ascii="Times New Roman" w:hAnsi="Times New Roman" w:cs="Times New Roman" w:hint="eastAsia"/>
                <w:b/>
                <w:bCs/>
                <w:spacing w:val="-6"/>
                <w:sz w:val="21"/>
                <w:szCs w:val="21"/>
              </w:rPr>
              <w:t>月</w:t>
            </w:r>
          </w:p>
        </w:tc>
        <w:tc>
          <w:tcPr>
            <w:tcW w:w="609" w:type="pct"/>
            <w:shd w:val="clear" w:color="auto" w:fill="auto"/>
            <w:noWrap/>
            <w:vAlign w:val="center"/>
          </w:tcPr>
          <w:p w14:paraId="54AED873"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2021</w:t>
            </w:r>
            <w:r>
              <w:rPr>
                <w:rFonts w:ascii="Times New Roman" w:hAnsi="Times New Roman" w:cs="Times New Roman" w:hint="eastAsia"/>
                <w:b/>
                <w:bCs/>
                <w:spacing w:val="-6"/>
                <w:sz w:val="21"/>
                <w:szCs w:val="21"/>
              </w:rPr>
              <w:t>年</w:t>
            </w:r>
          </w:p>
        </w:tc>
        <w:tc>
          <w:tcPr>
            <w:tcW w:w="607" w:type="pct"/>
            <w:shd w:val="clear" w:color="auto" w:fill="auto"/>
            <w:noWrap/>
            <w:vAlign w:val="center"/>
          </w:tcPr>
          <w:p w14:paraId="52B29C3A"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2022</w:t>
            </w:r>
            <w:r>
              <w:rPr>
                <w:rFonts w:ascii="Times New Roman" w:hAnsi="Times New Roman" w:cs="Times New Roman" w:hint="eastAsia"/>
                <w:b/>
                <w:bCs/>
                <w:spacing w:val="-6"/>
                <w:sz w:val="21"/>
                <w:szCs w:val="21"/>
              </w:rPr>
              <w:t>年</w:t>
            </w:r>
          </w:p>
        </w:tc>
        <w:tc>
          <w:tcPr>
            <w:tcW w:w="609" w:type="pct"/>
            <w:shd w:val="clear" w:color="auto" w:fill="auto"/>
            <w:noWrap/>
            <w:vAlign w:val="center"/>
          </w:tcPr>
          <w:p w14:paraId="29203EDA"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2023</w:t>
            </w:r>
            <w:r>
              <w:rPr>
                <w:rFonts w:ascii="Times New Roman" w:hAnsi="Times New Roman" w:cs="Times New Roman" w:hint="eastAsia"/>
                <w:b/>
                <w:bCs/>
                <w:spacing w:val="-6"/>
                <w:sz w:val="21"/>
                <w:szCs w:val="21"/>
              </w:rPr>
              <w:t>年</w:t>
            </w:r>
          </w:p>
        </w:tc>
        <w:tc>
          <w:tcPr>
            <w:tcW w:w="608" w:type="pct"/>
            <w:shd w:val="clear" w:color="auto" w:fill="auto"/>
            <w:noWrap/>
            <w:vAlign w:val="center"/>
          </w:tcPr>
          <w:p w14:paraId="55180C9B"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2024</w:t>
            </w:r>
            <w:r>
              <w:rPr>
                <w:rFonts w:ascii="Times New Roman" w:hAnsi="Times New Roman" w:cs="Times New Roman" w:hint="eastAsia"/>
                <w:b/>
                <w:bCs/>
                <w:spacing w:val="-6"/>
                <w:sz w:val="21"/>
                <w:szCs w:val="21"/>
              </w:rPr>
              <w:t>年</w:t>
            </w:r>
          </w:p>
        </w:tc>
        <w:tc>
          <w:tcPr>
            <w:tcW w:w="607" w:type="pct"/>
            <w:shd w:val="clear" w:color="auto" w:fill="auto"/>
            <w:noWrap/>
            <w:vAlign w:val="center"/>
          </w:tcPr>
          <w:p w14:paraId="16A8873A"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2025</w:t>
            </w:r>
            <w:r>
              <w:rPr>
                <w:rFonts w:ascii="Times New Roman" w:hAnsi="Times New Roman" w:cs="Times New Roman" w:hint="eastAsia"/>
                <w:b/>
                <w:bCs/>
                <w:spacing w:val="-6"/>
                <w:sz w:val="21"/>
                <w:szCs w:val="21"/>
              </w:rPr>
              <w:t>年</w:t>
            </w:r>
          </w:p>
        </w:tc>
        <w:tc>
          <w:tcPr>
            <w:tcW w:w="558" w:type="pct"/>
            <w:shd w:val="clear" w:color="auto" w:fill="auto"/>
            <w:noWrap/>
            <w:vAlign w:val="center"/>
          </w:tcPr>
          <w:p w14:paraId="5A588BA5"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稳定期</w:t>
            </w:r>
          </w:p>
        </w:tc>
      </w:tr>
      <w:tr w:rsidR="00C02929" w14:paraId="18225090" w14:textId="77777777">
        <w:trPr>
          <w:gridAfter w:val="1"/>
          <w:wAfter w:w="16" w:type="pct"/>
          <w:trHeight w:val="397"/>
        </w:trPr>
        <w:tc>
          <w:tcPr>
            <w:tcW w:w="781" w:type="pct"/>
            <w:shd w:val="clear" w:color="auto" w:fill="auto"/>
            <w:noWrap/>
            <w:vAlign w:val="center"/>
          </w:tcPr>
          <w:p w14:paraId="0E379ACC"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职工薪酬</w:t>
            </w:r>
          </w:p>
        </w:tc>
        <w:tc>
          <w:tcPr>
            <w:tcW w:w="607" w:type="pct"/>
            <w:shd w:val="clear" w:color="auto" w:fill="auto"/>
            <w:noWrap/>
            <w:vAlign w:val="center"/>
          </w:tcPr>
          <w:p w14:paraId="063A4560"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366.00</w:t>
            </w:r>
          </w:p>
        </w:tc>
        <w:tc>
          <w:tcPr>
            <w:tcW w:w="609" w:type="pct"/>
            <w:shd w:val="clear" w:color="auto" w:fill="auto"/>
            <w:noWrap/>
            <w:vAlign w:val="center"/>
          </w:tcPr>
          <w:p w14:paraId="04842F5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1,208.20</w:t>
            </w:r>
          </w:p>
        </w:tc>
        <w:tc>
          <w:tcPr>
            <w:tcW w:w="607" w:type="pct"/>
            <w:shd w:val="clear" w:color="auto" w:fill="auto"/>
            <w:noWrap/>
            <w:vAlign w:val="center"/>
          </w:tcPr>
          <w:p w14:paraId="5E1A0B8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1,421.71</w:t>
            </w:r>
          </w:p>
        </w:tc>
        <w:tc>
          <w:tcPr>
            <w:tcW w:w="609" w:type="pct"/>
            <w:shd w:val="clear" w:color="auto" w:fill="auto"/>
            <w:noWrap/>
            <w:vAlign w:val="center"/>
          </w:tcPr>
          <w:p w14:paraId="283926D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1,595.04</w:t>
            </w:r>
          </w:p>
        </w:tc>
        <w:tc>
          <w:tcPr>
            <w:tcW w:w="608" w:type="pct"/>
            <w:shd w:val="clear" w:color="auto" w:fill="auto"/>
            <w:noWrap/>
            <w:vAlign w:val="center"/>
          </w:tcPr>
          <w:p w14:paraId="3393D60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1,685.02</w:t>
            </w:r>
          </w:p>
        </w:tc>
        <w:tc>
          <w:tcPr>
            <w:tcW w:w="607" w:type="pct"/>
            <w:shd w:val="clear" w:color="auto" w:fill="auto"/>
            <w:noWrap/>
            <w:vAlign w:val="center"/>
          </w:tcPr>
          <w:p w14:paraId="4987A9A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1,761.69</w:t>
            </w:r>
          </w:p>
        </w:tc>
        <w:tc>
          <w:tcPr>
            <w:tcW w:w="558" w:type="pct"/>
            <w:shd w:val="clear" w:color="auto" w:fill="auto"/>
            <w:noWrap/>
            <w:vAlign w:val="center"/>
          </w:tcPr>
          <w:p w14:paraId="74847250"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1,761.69</w:t>
            </w:r>
          </w:p>
        </w:tc>
      </w:tr>
      <w:tr w:rsidR="00C02929" w14:paraId="70299D23" w14:textId="77777777">
        <w:trPr>
          <w:gridAfter w:val="1"/>
          <w:wAfter w:w="16" w:type="pct"/>
          <w:trHeight w:val="397"/>
        </w:trPr>
        <w:tc>
          <w:tcPr>
            <w:tcW w:w="781" w:type="pct"/>
            <w:shd w:val="clear" w:color="auto" w:fill="auto"/>
            <w:noWrap/>
            <w:vAlign w:val="center"/>
          </w:tcPr>
          <w:p w14:paraId="7779748F"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折旧费</w:t>
            </w:r>
          </w:p>
        </w:tc>
        <w:tc>
          <w:tcPr>
            <w:tcW w:w="607" w:type="pct"/>
            <w:shd w:val="clear" w:color="auto" w:fill="auto"/>
            <w:noWrap/>
            <w:vAlign w:val="center"/>
          </w:tcPr>
          <w:p w14:paraId="0979806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18.68</w:t>
            </w:r>
          </w:p>
        </w:tc>
        <w:tc>
          <w:tcPr>
            <w:tcW w:w="609" w:type="pct"/>
            <w:shd w:val="clear" w:color="auto" w:fill="auto"/>
            <w:noWrap/>
            <w:vAlign w:val="center"/>
          </w:tcPr>
          <w:p w14:paraId="153F72A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7" w:type="pct"/>
            <w:shd w:val="clear" w:color="auto" w:fill="auto"/>
            <w:noWrap/>
            <w:vAlign w:val="center"/>
          </w:tcPr>
          <w:p w14:paraId="3E1DD02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9" w:type="pct"/>
            <w:shd w:val="clear" w:color="auto" w:fill="auto"/>
            <w:noWrap/>
            <w:vAlign w:val="center"/>
          </w:tcPr>
          <w:p w14:paraId="18C7221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8" w:type="pct"/>
            <w:shd w:val="clear" w:color="auto" w:fill="auto"/>
            <w:noWrap/>
            <w:vAlign w:val="center"/>
          </w:tcPr>
          <w:p w14:paraId="2A738F7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607" w:type="pct"/>
            <w:shd w:val="clear" w:color="auto" w:fill="auto"/>
            <w:noWrap/>
            <w:vAlign w:val="center"/>
          </w:tcPr>
          <w:p w14:paraId="2E54A50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c>
          <w:tcPr>
            <w:tcW w:w="558" w:type="pct"/>
            <w:shd w:val="clear" w:color="auto" w:fill="auto"/>
            <w:noWrap/>
            <w:vAlign w:val="center"/>
          </w:tcPr>
          <w:p w14:paraId="004B9F44"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37.35</w:t>
            </w:r>
          </w:p>
        </w:tc>
      </w:tr>
      <w:tr w:rsidR="00C02929" w14:paraId="03E6EFAC" w14:textId="77777777">
        <w:trPr>
          <w:gridAfter w:val="1"/>
          <w:wAfter w:w="16" w:type="pct"/>
          <w:trHeight w:val="397"/>
        </w:trPr>
        <w:tc>
          <w:tcPr>
            <w:tcW w:w="781" w:type="pct"/>
            <w:shd w:val="clear" w:color="auto" w:fill="auto"/>
            <w:noWrap/>
            <w:vAlign w:val="center"/>
          </w:tcPr>
          <w:p w14:paraId="077E32B8"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无形资产摊销</w:t>
            </w:r>
          </w:p>
        </w:tc>
        <w:tc>
          <w:tcPr>
            <w:tcW w:w="607" w:type="pct"/>
            <w:shd w:val="clear" w:color="auto" w:fill="auto"/>
            <w:noWrap/>
            <w:vAlign w:val="center"/>
          </w:tcPr>
          <w:p w14:paraId="0F6C670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1.13</w:t>
            </w:r>
          </w:p>
        </w:tc>
        <w:tc>
          <w:tcPr>
            <w:tcW w:w="609" w:type="pct"/>
            <w:shd w:val="clear" w:color="auto" w:fill="auto"/>
            <w:noWrap/>
            <w:vAlign w:val="center"/>
          </w:tcPr>
          <w:p w14:paraId="4CB95B7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7" w:type="pct"/>
            <w:shd w:val="clear" w:color="auto" w:fill="auto"/>
            <w:noWrap/>
            <w:vAlign w:val="center"/>
          </w:tcPr>
          <w:p w14:paraId="7DF7FCD0"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9" w:type="pct"/>
            <w:shd w:val="clear" w:color="auto" w:fill="auto"/>
            <w:noWrap/>
            <w:vAlign w:val="center"/>
          </w:tcPr>
          <w:p w14:paraId="2DAAA40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8" w:type="pct"/>
            <w:shd w:val="clear" w:color="auto" w:fill="auto"/>
            <w:noWrap/>
            <w:vAlign w:val="center"/>
          </w:tcPr>
          <w:p w14:paraId="0664ADE4"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607" w:type="pct"/>
            <w:shd w:val="clear" w:color="auto" w:fill="auto"/>
            <w:noWrap/>
            <w:vAlign w:val="center"/>
          </w:tcPr>
          <w:p w14:paraId="5F6FC08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c>
          <w:tcPr>
            <w:tcW w:w="558" w:type="pct"/>
            <w:shd w:val="clear" w:color="auto" w:fill="auto"/>
            <w:noWrap/>
            <w:vAlign w:val="center"/>
          </w:tcPr>
          <w:p w14:paraId="5D398D1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2.25</w:t>
            </w:r>
          </w:p>
        </w:tc>
      </w:tr>
      <w:tr w:rsidR="00C02929" w14:paraId="40770DA6" w14:textId="77777777">
        <w:trPr>
          <w:gridAfter w:val="1"/>
          <w:wAfter w:w="16" w:type="pct"/>
          <w:trHeight w:val="397"/>
        </w:trPr>
        <w:tc>
          <w:tcPr>
            <w:tcW w:w="781" w:type="pct"/>
            <w:shd w:val="clear" w:color="auto" w:fill="auto"/>
            <w:noWrap/>
            <w:vAlign w:val="center"/>
          </w:tcPr>
          <w:p w14:paraId="4D854910"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租赁费</w:t>
            </w:r>
          </w:p>
        </w:tc>
        <w:tc>
          <w:tcPr>
            <w:tcW w:w="607" w:type="pct"/>
            <w:shd w:val="clear" w:color="auto" w:fill="auto"/>
            <w:noWrap/>
            <w:vAlign w:val="center"/>
          </w:tcPr>
          <w:p w14:paraId="0D50D1C4"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11.25</w:t>
            </w:r>
          </w:p>
        </w:tc>
        <w:tc>
          <w:tcPr>
            <w:tcW w:w="609" w:type="pct"/>
            <w:shd w:val="clear" w:color="auto" w:fill="auto"/>
            <w:noWrap/>
            <w:vAlign w:val="center"/>
          </w:tcPr>
          <w:p w14:paraId="708C15B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22.59</w:t>
            </w:r>
          </w:p>
        </w:tc>
        <w:tc>
          <w:tcPr>
            <w:tcW w:w="607" w:type="pct"/>
            <w:shd w:val="clear" w:color="auto" w:fill="auto"/>
            <w:noWrap/>
            <w:vAlign w:val="center"/>
          </w:tcPr>
          <w:p w14:paraId="4929A1D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22.71</w:t>
            </w:r>
          </w:p>
        </w:tc>
        <w:tc>
          <w:tcPr>
            <w:tcW w:w="609" w:type="pct"/>
            <w:shd w:val="clear" w:color="auto" w:fill="auto"/>
            <w:noWrap/>
            <w:vAlign w:val="center"/>
          </w:tcPr>
          <w:p w14:paraId="5D335E5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23.49</w:t>
            </w:r>
          </w:p>
        </w:tc>
        <w:tc>
          <w:tcPr>
            <w:tcW w:w="608" w:type="pct"/>
            <w:shd w:val="clear" w:color="auto" w:fill="auto"/>
            <w:noWrap/>
            <w:vAlign w:val="center"/>
          </w:tcPr>
          <w:p w14:paraId="16B7459D"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23.91</w:t>
            </w:r>
          </w:p>
        </w:tc>
        <w:tc>
          <w:tcPr>
            <w:tcW w:w="607" w:type="pct"/>
            <w:shd w:val="clear" w:color="auto" w:fill="auto"/>
            <w:noWrap/>
            <w:vAlign w:val="center"/>
          </w:tcPr>
          <w:p w14:paraId="0FF6643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23.98</w:t>
            </w:r>
          </w:p>
        </w:tc>
        <w:tc>
          <w:tcPr>
            <w:tcW w:w="558" w:type="pct"/>
            <w:shd w:val="clear" w:color="auto" w:fill="auto"/>
            <w:noWrap/>
            <w:vAlign w:val="center"/>
          </w:tcPr>
          <w:p w14:paraId="7A70479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23.98</w:t>
            </w:r>
          </w:p>
        </w:tc>
      </w:tr>
      <w:tr w:rsidR="00C02929" w14:paraId="32067EC8" w14:textId="77777777">
        <w:trPr>
          <w:gridAfter w:val="1"/>
          <w:wAfter w:w="16" w:type="pct"/>
          <w:trHeight w:val="397"/>
        </w:trPr>
        <w:tc>
          <w:tcPr>
            <w:tcW w:w="781" w:type="pct"/>
            <w:shd w:val="clear" w:color="auto" w:fill="auto"/>
            <w:noWrap/>
            <w:vAlign w:val="center"/>
          </w:tcPr>
          <w:p w14:paraId="32537026"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中介费</w:t>
            </w:r>
          </w:p>
        </w:tc>
        <w:tc>
          <w:tcPr>
            <w:tcW w:w="607" w:type="pct"/>
            <w:shd w:val="clear" w:color="auto" w:fill="auto"/>
            <w:noWrap/>
            <w:vAlign w:val="center"/>
          </w:tcPr>
          <w:p w14:paraId="4602294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33.19</w:t>
            </w:r>
          </w:p>
        </w:tc>
        <w:tc>
          <w:tcPr>
            <w:tcW w:w="609" w:type="pct"/>
            <w:shd w:val="clear" w:color="auto" w:fill="auto"/>
            <w:noWrap/>
            <w:vAlign w:val="center"/>
          </w:tcPr>
          <w:p w14:paraId="5BF6BA4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42.60</w:t>
            </w:r>
          </w:p>
        </w:tc>
        <w:tc>
          <w:tcPr>
            <w:tcW w:w="607" w:type="pct"/>
            <w:shd w:val="clear" w:color="auto" w:fill="auto"/>
            <w:noWrap/>
            <w:vAlign w:val="center"/>
          </w:tcPr>
          <w:p w14:paraId="2355DB3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43.88</w:t>
            </w:r>
          </w:p>
        </w:tc>
        <w:tc>
          <w:tcPr>
            <w:tcW w:w="609" w:type="pct"/>
            <w:shd w:val="clear" w:color="auto" w:fill="auto"/>
            <w:noWrap/>
            <w:vAlign w:val="center"/>
          </w:tcPr>
          <w:p w14:paraId="2FC78C2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45.20</w:t>
            </w:r>
          </w:p>
        </w:tc>
        <w:tc>
          <w:tcPr>
            <w:tcW w:w="608" w:type="pct"/>
            <w:shd w:val="clear" w:color="auto" w:fill="auto"/>
            <w:noWrap/>
            <w:vAlign w:val="center"/>
          </w:tcPr>
          <w:p w14:paraId="1558460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46.55</w:t>
            </w:r>
          </w:p>
        </w:tc>
        <w:tc>
          <w:tcPr>
            <w:tcW w:w="607" w:type="pct"/>
            <w:shd w:val="clear" w:color="auto" w:fill="auto"/>
            <w:noWrap/>
            <w:vAlign w:val="center"/>
          </w:tcPr>
          <w:p w14:paraId="768250AD"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47.95</w:t>
            </w:r>
          </w:p>
        </w:tc>
        <w:tc>
          <w:tcPr>
            <w:tcW w:w="558" w:type="pct"/>
            <w:shd w:val="clear" w:color="auto" w:fill="auto"/>
            <w:noWrap/>
            <w:vAlign w:val="center"/>
          </w:tcPr>
          <w:p w14:paraId="005E058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47.95</w:t>
            </w:r>
          </w:p>
        </w:tc>
      </w:tr>
      <w:tr w:rsidR="00C02929" w14:paraId="5E876719" w14:textId="77777777">
        <w:trPr>
          <w:gridAfter w:val="1"/>
          <w:wAfter w:w="16" w:type="pct"/>
          <w:trHeight w:val="397"/>
        </w:trPr>
        <w:tc>
          <w:tcPr>
            <w:tcW w:w="781" w:type="pct"/>
            <w:shd w:val="clear" w:color="auto" w:fill="auto"/>
            <w:noWrap/>
            <w:vAlign w:val="center"/>
          </w:tcPr>
          <w:p w14:paraId="3E3A92BA"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办公费</w:t>
            </w:r>
          </w:p>
        </w:tc>
        <w:tc>
          <w:tcPr>
            <w:tcW w:w="607" w:type="pct"/>
            <w:shd w:val="clear" w:color="auto" w:fill="auto"/>
            <w:noWrap/>
            <w:vAlign w:val="center"/>
          </w:tcPr>
          <w:p w14:paraId="681BCA2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19.45</w:t>
            </w:r>
          </w:p>
        </w:tc>
        <w:tc>
          <w:tcPr>
            <w:tcW w:w="609" w:type="pct"/>
            <w:shd w:val="clear" w:color="auto" w:fill="auto"/>
            <w:noWrap/>
            <w:vAlign w:val="center"/>
          </w:tcPr>
          <w:p w14:paraId="0D27192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46.01</w:t>
            </w:r>
          </w:p>
        </w:tc>
        <w:tc>
          <w:tcPr>
            <w:tcW w:w="607" w:type="pct"/>
            <w:shd w:val="clear" w:color="auto" w:fill="auto"/>
            <w:noWrap/>
            <w:vAlign w:val="center"/>
          </w:tcPr>
          <w:p w14:paraId="2FFDB97A"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50.13</w:t>
            </w:r>
          </w:p>
        </w:tc>
        <w:tc>
          <w:tcPr>
            <w:tcW w:w="609" w:type="pct"/>
            <w:shd w:val="clear" w:color="auto" w:fill="auto"/>
            <w:noWrap/>
            <w:vAlign w:val="center"/>
          </w:tcPr>
          <w:p w14:paraId="33C146E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53.57</w:t>
            </w:r>
          </w:p>
        </w:tc>
        <w:tc>
          <w:tcPr>
            <w:tcW w:w="608" w:type="pct"/>
            <w:shd w:val="clear" w:color="auto" w:fill="auto"/>
            <w:noWrap/>
            <w:vAlign w:val="center"/>
          </w:tcPr>
          <w:p w14:paraId="18C9CDA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54.94</w:t>
            </w:r>
          </w:p>
        </w:tc>
        <w:tc>
          <w:tcPr>
            <w:tcW w:w="607" w:type="pct"/>
            <w:shd w:val="clear" w:color="auto" w:fill="auto"/>
            <w:noWrap/>
            <w:vAlign w:val="center"/>
          </w:tcPr>
          <w:p w14:paraId="10E27ECB"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56.31</w:t>
            </w:r>
          </w:p>
        </w:tc>
        <w:tc>
          <w:tcPr>
            <w:tcW w:w="558" w:type="pct"/>
            <w:shd w:val="clear" w:color="auto" w:fill="auto"/>
            <w:noWrap/>
            <w:vAlign w:val="center"/>
          </w:tcPr>
          <w:p w14:paraId="5C26FB6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56.31</w:t>
            </w:r>
          </w:p>
        </w:tc>
      </w:tr>
      <w:tr w:rsidR="00C02929" w14:paraId="08C99705" w14:textId="77777777">
        <w:trPr>
          <w:gridAfter w:val="1"/>
          <w:wAfter w:w="16" w:type="pct"/>
          <w:trHeight w:val="397"/>
        </w:trPr>
        <w:tc>
          <w:tcPr>
            <w:tcW w:w="781" w:type="pct"/>
            <w:shd w:val="clear" w:color="auto" w:fill="auto"/>
            <w:noWrap/>
            <w:vAlign w:val="center"/>
          </w:tcPr>
          <w:p w14:paraId="0B8B0B44"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车辆费</w:t>
            </w:r>
          </w:p>
        </w:tc>
        <w:tc>
          <w:tcPr>
            <w:tcW w:w="607" w:type="pct"/>
            <w:shd w:val="clear" w:color="auto" w:fill="auto"/>
            <w:noWrap/>
            <w:vAlign w:val="center"/>
          </w:tcPr>
          <w:p w14:paraId="703BF9BB"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49.42</w:t>
            </w:r>
          </w:p>
        </w:tc>
        <w:tc>
          <w:tcPr>
            <w:tcW w:w="609" w:type="pct"/>
            <w:shd w:val="clear" w:color="auto" w:fill="auto"/>
            <w:noWrap/>
            <w:vAlign w:val="center"/>
          </w:tcPr>
          <w:p w14:paraId="47E8667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112.59</w:t>
            </w:r>
          </w:p>
        </w:tc>
        <w:tc>
          <w:tcPr>
            <w:tcW w:w="607" w:type="pct"/>
            <w:shd w:val="clear" w:color="auto" w:fill="auto"/>
            <w:noWrap/>
            <w:vAlign w:val="center"/>
          </w:tcPr>
          <w:p w14:paraId="39AF632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124.58</w:t>
            </w:r>
          </w:p>
        </w:tc>
        <w:tc>
          <w:tcPr>
            <w:tcW w:w="609" w:type="pct"/>
            <w:shd w:val="clear" w:color="auto" w:fill="auto"/>
            <w:noWrap/>
            <w:vAlign w:val="center"/>
          </w:tcPr>
          <w:p w14:paraId="187BC86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133.92</w:t>
            </w:r>
          </w:p>
        </w:tc>
        <w:tc>
          <w:tcPr>
            <w:tcW w:w="608" w:type="pct"/>
            <w:shd w:val="clear" w:color="auto" w:fill="auto"/>
            <w:noWrap/>
            <w:vAlign w:val="center"/>
          </w:tcPr>
          <w:p w14:paraId="5FC3ED3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141.27</w:t>
            </w:r>
          </w:p>
        </w:tc>
        <w:tc>
          <w:tcPr>
            <w:tcW w:w="607" w:type="pct"/>
            <w:shd w:val="clear" w:color="auto" w:fill="auto"/>
            <w:noWrap/>
            <w:vAlign w:val="center"/>
          </w:tcPr>
          <w:p w14:paraId="7A7009A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145.51</w:t>
            </w:r>
          </w:p>
        </w:tc>
        <w:tc>
          <w:tcPr>
            <w:tcW w:w="558" w:type="pct"/>
            <w:shd w:val="clear" w:color="auto" w:fill="auto"/>
            <w:noWrap/>
            <w:vAlign w:val="center"/>
          </w:tcPr>
          <w:p w14:paraId="372E5D9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145.51</w:t>
            </w:r>
          </w:p>
        </w:tc>
      </w:tr>
      <w:tr w:rsidR="00C02929" w14:paraId="79C2AD22" w14:textId="77777777">
        <w:trPr>
          <w:gridAfter w:val="1"/>
          <w:wAfter w:w="16" w:type="pct"/>
          <w:trHeight w:val="397"/>
        </w:trPr>
        <w:tc>
          <w:tcPr>
            <w:tcW w:w="781" w:type="pct"/>
            <w:shd w:val="clear" w:color="auto" w:fill="auto"/>
            <w:noWrap/>
            <w:vAlign w:val="center"/>
          </w:tcPr>
          <w:p w14:paraId="38B34587"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差旅费</w:t>
            </w:r>
          </w:p>
        </w:tc>
        <w:tc>
          <w:tcPr>
            <w:tcW w:w="607" w:type="pct"/>
            <w:shd w:val="clear" w:color="auto" w:fill="auto"/>
            <w:noWrap/>
            <w:vAlign w:val="center"/>
          </w:tcPr>
          <w:p w14:paraId="507F140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37.15</w:t>
            </w:r>
          </w:p>
        </w:tc>
        <w:tc>
          <w:tcPr>
            <w:tcW w:w="609" w:type="pct"/>
            <w:shd w:val="clear" w:color="auto" w:fill="auto"/>
            <w:noWrap/>
            <w:vAlign w:val="center"/>
          </w:tcPr>
          <w:p w14:paraId="3630FF8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154.36</w:t>
            </w:r>
          </w:p>
        </w:tc>
        <w:tc>
          <w:tcPr>
            <w:tcW w:w="607" w:type="pct"/>
            <w:shd w:val="clear" w:color="auto" w:fill="auto"/>
            <w:noWrap/>
            <w:vAlign w:val="center"/>
          </w:tcPr>
          <w:p w14:paraId="10C8B35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170.78</w:t>
            </w:r>
          </w:p>
        </w:tc>
        <w:tc>
          <w:tcPr>
            <w:tcW w:w="609" w:type="pct"/>
            <w:shd w:val="clear" w:color="auto" w:fill="auto"/>
            <w:noWrap/>
            <w:vAlign w:val="center"/>
          </w:tcPr>
          <w:p w14:paraId="7E94F8C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183.60</w:t>
            </w:r>
          </w:p>
        </w:tc>
        <w:tc>
          <w:tcPr>
            <w:tcW w:w="608" w:type="pct"/>
            <w:shd w:val="clear" w:color="auto" w:fill="auto"/>
            <w:noWrap/>
            <w:vAlign w:val="center"/>
          </w:tcPr>
          <w:p w14:paraId="3417F06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193.68</w:t>
            </w:r>
          </w:p>
        </w:tc>
        <w:tc>
          <w:tcPr>
            <w:tcW w:w="607" w:type="pct"/>
            <w:shd w:val="clear" w:color="auto" w:fill="auto"/>
            <w:noWrap/>
            <w:vAlign w:val="center"/>
          </w:tcPr>
          <w:p w14:paraId="156DCB9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199.48</w:t>
            </w:r>
          </w:p>
        </w:tc>
        <w:tc>
          <w:tcPr>
            <w:tcW w:w="558" w:type="pct"/>
            <w:shd w:val="clear" w:color="auto" w:fill="auto"/>
            <w:noWrap/>
            <w:vAlign w:val="center"/>
          </w:tcPr>
          <w:p w14:paraId="3027966D"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199.48</w:t>
            </w:r>
          </w:p>
        </w:tc>
      </w:tr>
      <w:tr w:rsidR="00C02929" w14:paraId="3E4883AD" w14:textId="77777777">
        <w:trPr>
          <w:gridAfter w:val="1"/>
          <w:wAfter w:w="16" w:type="pct"/>
          <w:trHeight w:val="397"/>
        </w:trPr>
        <w:tc>
          <w:tcPr>
            <w:tcW w:w="781" w:type="pct"/>
            <w:shd w:val="clear" w:color="auto" w:fill="auto"/>
            <w:noWrap/>
            <w:vAlign w:val="center"/>
          </w:tcPr>
          <w:p w14:paraId="3C78F3E1"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修理费</w:t>
            </w:r>
          </w:p>
        </w:tc>
        <w:tc>
          <w:tcPr>
            <w:tcW w:w="607" w:type="pct"/>
            <w:shd w:val="clear" w:color="auto" w:fill="auto"/>
            <w:noWrap/>
            <w:vAlign w:val="center"/>
          </w:tcPr>
          <w:p w14:paraId="0730C26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4.47</w:t>
            </w:r>
          </w:p>
        </w:tc>
        <w:tc>
          <w:tcPr>
            <w:tcW w:w="609" w:type="pct"/>
            <w:shd w:val="clear" w:color="auto" w:fill="auto"/>
            <w:noWrap/>
            <w:vAlign w:val="center"/>
          </w:tcPr>
          <w:p w14:paraId="749E9DB7"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11.22</w:t>
            </w:r>
          </w:p>
        </w:tc>
        <w:tc>
          <w:tcPr>
            <w:tcW w:w="607" w:type="pct"/>
            <w:shd w:val="clear" w:color="auto" w:fill="auto"/>
            <w:noWrap/>
            <w:vAlign w:val="center"/>
          </w:tcPr>
          <w:p w14:paraId="04156D7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12.41</w:t>
            </w:r>
          </w:p>
        </w:tc>
        <w:tc>
          <w:tcPr>
            <w:tcW w:w="609" w:type="pct"/>
            <w:shd w:val="clear" w:color="auto" w:fill="auto"/>
            <w:noWrap/>
            <w:vAlign w:val="center"/>
          </w:tcPr>
          <w:p w14:paraId="45145A8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13.35</w:t>
            </w:r>
          </w:p>
        </w:tc>
        <w:tc>
          <w:tcPr>
            <w:tcW w:w="608" w:type="pct"/>
            <w:shd w:val="clear" w:color="auto" w:fill="auto"/>
            <w:noWrap/>
            <w:vAlign w:val="center"/>
          </w:tcPr>
          <w:p w14:paraId="38E2862D"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14.08</w:t>
            </w:r>
          </w:p>
        </w:tc>
        <w:tc>
          <w:tcPr>
            <w:tcW w:w="607" w:type="pct"/>
            <w:shd w:val="clear" w:color="auto" w:fill="auto"/>
            <w:noWrap/>
            <w:vAlign w:val="center"/>
          </w:tcPr>
          <w:p w14:paraId="6542339A"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14.50</w:t>
            </w:r>
          </w:p>
        </w:tc>
        <w:tc>
          <w:tcPr>
            <w:tcW w:w="558" w:type="pct"/>
            <w:shd w:val="clear" w:color="auto" w:fill="auto"/>
            <w:noWrap/>
            <w:vAlign w:val="center"/>
          </w:tcPr>
          <w:p w14:paraId="37C2912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14.50</w:t>
            </w:r>
          </w:p>
        </w:tc>
      </w:tr>
      <w:tr w:rsidR="00C02929" w14:paraId="5AB181C2" w14:textId="77777777">
        <w:trPr>
          <w:gridAfter w:val="1"/>
          <w:wAfter w:w="16" w:type="pct"/>
          <w:trHeight w:val="397"/>
        </w:trPr>
        <w:tc>
          <w:tcPr>
            <w:tcW w:w="781" w:type="pct"/>
            <w:shd w:val="clear" w:color="auto" w:fill="auto"/>
            <w:noWrap/>
            <w:vAlign w:val="center"/>
          </w:tcPr>
          <w:p w14:paraId="7EF06840"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招待费</w:t>
            </w:r>
          </w:p>
        </w:tc>
        <w:tc>
          <w:tcPr>
            <w:tcW w:w="607" w:type="pct"/>
            <w:shd w:val="clear" w:color="auto" w:fill="auto"/>
            <w:noWrap/>
            <w:vAlign w:val="center"/>
          </w:tcPr>
          <w:p w14:paraId="67DC485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90.70</w:t>
            </w:r>
          </w:p>
        </w:tc>
        <w:tc>
          <w:tcPr>
            <w:tcW w:w="609" w:type="pct"/>
            <w:shd w:val="clear" w:color="auto" w:fill="auto"/>
            <w:noWrap/>
            <w:vAlign w:val="center"/>
          </w:tcPr>
          <w:p w14:paraId="08D15EB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282.33</w:t>
            </w:r>
          </w:p>
        </w:tc>
        <w:tc>
          <w:tcPr>
            <w:tcW w:w="607" w:type="pct"/>
            <w:shd w:val="clear" w:color="auto" w:fill="auto"/>
            <w:noWrap/>
            <w:vAlign w:val="center"/>
          </w:tcPr>
          <w:p w14:paraId="632B9C7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290.80</w:t>
            </w:r>
          </w:p>
        </w:tc>
        <w:tc>
          <w:tcPr>
            <w:tcW w:w="609" w:type="pct"/>
            <w:shd w:val="clear" w:color="auto" w:fill="auto"/>
            <w:noWrap/>
            <w:vAlign w:val="center"/>
          </w:tcPr>
          <w:p w14:paraId="1B1FA44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299.52</w:t>
            </w:r>
          </w:p>
        </w:tc>
        <w:tc>
          <w:tcPr>
            <w:tcW w:w="608" w:type="pct"/>
            <w:shd w:val="clear" w:color="auto" w:fill="auto"/>
            <w:noWrap/>
            <w:vAlign w:val="center"/>
          </w:tcPr>
          <w:p w14:paraId="27EF1AF4"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308.51</w:t>
            </w:r>
          </w:p>
        </w:tc>
        <w:tc>
          <w:tcPr>
            <w:tcW w:w="607" w:type="pct"/>
            <w:shd w:val="clear" w:color="auto" w:fill="auto"/>
            <w:noWrap/>
            <w:vAlign w:val="center"/>
          </w:tcPr>
          <w:p w14:paraId="1AE9DB9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317.76</w:t>
            </w:r>
          </w:p>
        </w:tc>
        <w:tc>
          <w:tcPr>
            <w:tcW w:w="558" w:type="pct"/>
            <w:shd w:val="clear" w:color="auto" w:fill="auto"/>
            <w:noWrap/>
            <w:vAlign w:val="center"/>
          </w:tcPr>
          <w:p w14:paraId="1899ADE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317.76</w:t>
            </w:r>
          </w:p>
        </w:tc>
      </w:tr>
      <w:tr w:rsidR="00C02929" w14:paraId="16005253" w14:textId="77777777">
        <w:trPr>
          <w:gridAfter w:val="1"/>
          <w:wAfter w:w="16" w:type="pct"/>
          <w:trHeight w:val="397"/>
        </w:trPr>
        <w:tc>
          <w:tcPr>
            <w:tcW w:w="781" w:type="pct"/>
            <w:shd w:val="clear" w:color="auto" w:fill="auto"/>
            <w:noWrap/>
            <w:vAlign w:val="center"/>
          </w:tcPr>
          <w:p w14:paraId="66CBDF91"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诉讼费</w:t>
            </w:r>
          </w:p>
        </w:tc>
        <w:tc>
          <w:tcPr>
            <w:tcW w:w="607" w:type="pct"/>
            <w:shd w:val="clear" w:color="auto" w:fill="auto"/>
            <w:noWrap/>
            <w:vAlign w:val="center"/>
          </w:tcPr>
          <w:p w14:paraId="364CB3B0"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5.00</w:t>
            </w:r>
          </w:p>
        </w:tc>
        <w:tc>
          <w:tcPr>
            <w:tcW w:w="609" w:type="pct"/>
            <w:shd w:val="clear" w:color="auto" w:fill="auto"/>
            <w:noWrap/>
            <w:vAlign w:val="center"/>
          </w:tcPr>
          <w:p w14:paraId="37964400"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5.55</w:t>
            </w:r>
          </w:p>
        </w:tc>
        <w:tc>
          <w:tcPr>
            <w:tcW w:w="607" w:type="pct"/>
            <w:shd w:val="clear" w:color="auto" w:fill="auto"/>
            <w:noWrap/>
            <w:vAlign w:val="center"/>
          </w:tcPr>
          <w:p w14:paraId="1ABB7E6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5.72</w:t>
            </w:r>
          </w:p>
        </w:tc>
        <w:tc>
          <w:tcPr>
            <w:tcW w:w="609" w:type="pct"/>
            <w:shd w:val="clear" w:color="auto" w:fill="auto"/>
            <w:noWrap/>
            <w:vAlign w:val="center"/>
          </w:tcPr>
          <w:p w14:paraId="25ED1D6C"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5.89</w:t>
            </w:r>
          </w:p>
        </w:tc>
        <w:tc>
          <w:tcPr>
            <w:tcW w:w="608" w:type="pct"/>
            <w:shd w:val="clear" w:color="auto" w:fill="auto"/>
            <w:noWrap/>
            <w:vAlign w:val="center"/>
          </w:tcPr>
          <w:p w14:paraId="148E703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6.07</w:t>
            </w:r>
          </w:p>
        </w:tc>
        <w:tc>
          <w:tcPr>
            <w:tcW w:w="607" w:type="pct"/>
            <w:shd w:val="clear" w:color="auto" w:fill="auto"/>
            <w:noWrap/>
            <w:vAlign w:val="center"/>
          </w:tcPr>
          <w:p w14:paraId="37736F08"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6.25</w:t>
            </w:r>
          </w:p>
        </w:tc>
        <w:tc>
          <w:tcPr>
            <w:tcW w:w="558" w:type="pct"/>
            <w:shd w:val="clear" w:color="auto" w:fill="auto"/>
            <w:noWrap/>
            <w:vAlign w:val="center"/>
          </w:tcPr>
          <w:p w14:paraId="62774E3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6.25</w:t>
            </w:r>
          </w:p>
        </w:tc>
      </w:tr>
      <w:tr w:rsidR="00C02929" w14:paraId="1CF481BE" w14:textId="77777777">
        <w:trPr>
          <w:gridAfter w:val="1"/>
          <w:wAfter w:w="16" w:type="pct"/>
          <w:trHeight w:val="397"/>
        </w:trPr>
        <w:tc>
          <w:tcPr>
            <w:tcW w:w="781" w:type="pct"/>
            <w:shd w:val="clear" w:color="auto" w:fill="auto"/>
            <w:noWrap/>
            <w:vAlign w:val="center"/>
          </w:tcPr>
          <w:p w14:paraId="2562F26D"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保险费</w:t>
            </w:r>
          </w:p>
        </w:tc>
        <w:tc>
          <w:tcPr>
            <w:tcW w:w="607" w:type="pct"/>
            <w:shd w:val="clear" w:color="auto" w:fill="auto"/>
            <w:noWrap/>
            <w:vAlign w:val="center"/>
          </w:tcPr>
          <w:p w14:paraId="5FFB02E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3.00</w:t>
            </w:r>
          </w:p>
        </w:tc>
        <w:tc>
          <w:tcPr>
            <w:tcW w:w="609" w:type="pct"/>
            <w:shd w:val="clear" w:color="auto" w:fill="auto"/>
            <w:noWrap/>
            <w:vAlign w:val="center"/>
          </w:tcPr>
          <w:p w14:paraId="3BAA764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14.42</w:t>
            </w:r>
          </w:p>
        </w:tc>
        <w:tc>
          <w:tcPr>
            <w:tcW w:w="607" w:type="pct"/>
            <w:shd w:val="clear" w:color="auto" w:fill="auto"/>
            <w:noWrap/>
            <w:vAlign w:val="center"/>
          </w:tcPr>
          <w:p w14:paraId="1588B4BA"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15.95</w:t>
            </w:r>
          </w:p>
        </w:tc>
        <w:tc>
          <w:tcPr>
            <w:tcW w:w="609" w:type="pct"/>
            <w:shd w:val="clear" w:color="auto" w:fill="auto"/>
            <w:noWrap/>
            <w:vAlign w:val="center"/>
          </w:tcPr>
          <w:p w14:paraId="3889EDC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17.15</w:t>
            </w:r>
          </w:p>
        </w:tc>
        <w:tc>
          <w:tcPr>
            <w:tcW w:w="608" w:type="pct"/>
            <w:shd w:val="clear" w:color="auto" w:fill="auto"/>
            <w:noWrap/>
            <w:vAlign w:val="center"/>
          </w:tcPr>
          <w:p w14:paraId="1E72E912"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18.09</w:t>
            </w:r>
          </w:p>
        </w:tc>
        <w:tc>
          <w:tcPr>
            <w:tcW w:w="607" w:type="pct"/>
            <w:shd w:val="clear" w:color="auto" w:fill="auto"/>
            <w:noWrap/>
            <w:vAlign w:val="center"/>
          </w:tcPr>
          <w:p w14:paraId="396416DB"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18.63</w:t>
            </w:r>
          </w:p>
        </w:tc>
        <w:tc>
          <w:tcPr>
            <w:tcW w:w="558" w:type="pct"/>
            <w:shd w:val="clear" w:color="auto" w:fill="auto"/>
            <w:noWrap/>
            <w:vAlign w:val="center"/>
          </w:tcPr>
          <w:p w14:paraId="4FCD95B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18.63</w:t>
            </w:r>
          </w:p>
        </w:tc>
      </w:tr>
      <w:tr w:rsidR="00C02929" w14:paraId="06FA376B" w14:textId="77777777">
        <w:trPr>
          <w:gridAfter w:val="1"/>
          <w:wAfter w:w="16" w:type="pct"/>
          <w:trHeight w:val="397"/>
        </w:trPr>
        <w:tc>
          <w:tcPr>
            <w:tcW w:w="781" w:type="pct"/>
            <w:shd w:val="clear" w:color="auto" w:fill="auto"/>
            <w:noWrap/>
            <w:vAlign w:val="center"/>
          </w:tcPr>
          <w:p w14:paraId="6B2212B7"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会务费</w:t>
            </w:r>
          </w:p>
        </w:tc>
        <w:tc>
          <w:tcPr>
            <w:tcW w:w="607" w:type="pct"/>
            <w:shd w:val="clear" w:color="auto" w:fill="auto"/>
            <w:noWrap/>
            <w:vAlign w:val="center"/>
          </w:tcPr>
          <w:p w14:paraId="1534D545"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2.00</w:t>
            </w:r>
          </w:p>
        </w:tc>
        <w:tc>
          <w:tcPr>
            <w:tcW w:w="609" w:type="pct"/>
            <w:shd w:val="clear" w:color="auto" w:fill="auto"/>
            <w:noWrap/>
            <w:vAlign w:val="center"/>
          </w:tcPr>
          <w:p w14:paraId="26E6630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5.00</w:t>
            </w:r>
          </w:p>
        </w:tc>
        <w:tc>
          <w:tcPr>
            <w:tcW w:w="607" w:type="pct"/>
            <w:shd w:val="clear" w:color="auto" w:fill="auto"/>
            <w:noWrap/>
            <w:vAlign w:val="center"/>
          </w:tcPr>
          <w:p w14:paraId="6F70D3E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5.15</w:t>
            </w:r>
          </w:p>
        </w:tc>
        <w:tc>
          <w:tcPr>
            <w:tcW w:w="609" w:type="pct"/>
            <w:shd w:val="clear" w:color="auto" w:fill="auto"/>
            <w:noWrap/>
            <w:vAlign w:val="center"/>
          </w:tcPr>
          <w:p w14:paraId="567E7479"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5.30</w:t>
            </w:r>
          </w:p>
        </w:tc>
        <w:tc>
          <w:tcPr>
            <w:tcW w:w="608" w:type="pct"/>
            <w:shd w:val="clear" w:color="auto" w:fill="auto"/>
            <w:noWrap/>
            <w:vAlign w:val="center"/>
          </w:tcPr>
          <w:p w14:paraId="4C47364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5.46</w:t>
            </w:r>
          </w:p>
        </w:tc>
        <w:tc>
          <w:tcPr>
            <w:tcW w:w="607" w:type="pct"/>
            <w:shd w:val="clear" w:color="auto" w:fill="auto"/>
            <w:noWrap/>
            <w:vAlign w:val="center"/>
          </w:tcPr>
          <w:p w14:paraId="62F9FFFB"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5.63</w:t>
            </w:r>
          </w:p>
        </w:tc>
        <w:tc>
          <w:tcPr>
            <w:tcW w:w="558" w:type="pct"/>
            <w:shd w:val="clear" w:color="auto" w:fill="auto"/>
            <w:noWrap/>
            <w:vAlign w:val="center"/>
          </w:tcPr>
          <w:p w14:paraId="2BDE373F"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5.63</w:t>
            </w:r>
          </w:p>
        </w:tc>
      </w:tr>
      <w:tr w:rsidR="00C02929" w14:paraId="6B9F8499" w14:textId="77777777">
        <w:trPr>
          <w:gridAfter w:val="1"/>
          <w:wAfter w:w="16" w:type="pct"/>
          <w:trHeight w:val="397"/>
        </w:trPr>
        <w:tc>
          <w:tcPr>
            <w:tcW w:w="781" w:type="pct"/>
            <w:shd w:val="clear" w:color="auto" w:fill="auto"/>
            <w:noWrap/>
            <w:vAlign w:val="center"/>
          </w:tcPr>
          <w:p w14:paraId="482CBAF1" w14:textId="77777777" w:rsidR="00C02929" w:rsidRDefault="006116D1">
            <w:pPr>
              <w:rPr>
                <w:rFonts w:ascii="Times New Roman" w:hAnsi="Times New Roman" w:cs="Times New Roman"/>
                <w:spacing w:val="-6"/>
                <w:sz w:val="21"/>
                <w:szCs w:val="21"/>
              </w:rPr>
            </w:pPr>
            <w:r>
              <w:rPr>
                <w:rFonts w:ascii="Times New Roman" w:hAnsi="Times New Roman" w:cs="Times New Roman" w:hint="eastAsia"/>
                <w:spacing w:val="-6"/>
                <w:sz w:val="21"/>
                <w:szCs w:val="21"/>
              </w:rPr>
              <w:t>其他</w:t>
            </w:r>
          </w:p>
        </w:tc>
        <w:tc>
          <w:tcPr>
            <w:tcW w:w="607" w:type="pct"/>
            <w:shd w:val="clear" w:color="auto" w:fill="auto"/>
            <w:noWrap/>
            <w:vAlign w:val="center"/>
          </w:tcPr>
          <w:p w14:paraId="770C9CCB"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53.54</w:t>
            </w:r>
          </w:p>
        </w:tc>
        <w:tc>
          <w:tcPr>
            <w:tcW w:w="609" w:type="pct"/>
            <w:shd w:val="clear" w:color="auto" w:fill="auto"/>
            <w:noWrap/>
            <w:vAlign w:val="center"/>
          </w:tcPr>
          <w:p w14:paraId="39E8118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109.12</w:t>
            </w:r>
          </w:p>
        </w:tc>
        <w:tc>
          <w:tcPr>
            <w:tcW w:w="607" w:type="pct"/>
            <w:shd w:val="clear" w:color="auto" w:fill="auto"/>
            <w:noWrap/>
            <w:vAlign w:val="center"/>
          </w:tcPr>
          <w:p w14:paraId="16F46226"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120.74</w:t>
            </w:r>
          </w:p>
        </w:tc>
        <w:tc>
          <w:tcPr>
            <w:tcW w:w="609" w:type="pct"/>
            <w:shd w:val="clear" w:color="auto" w:fill="auto"/>
            <w:noWrap/>
            <w:vAlign w:val="center"/>
          </w:tcPr>
          <w:p w14:paraId="38660EF1"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129.80</w:t>
            </w:r>
          </w:p>
        </w:tc>
        <w:tc>
          <w:tcPr>
            <w:tcW w:w="608" w:type="pct"/>
            <w:shd w:val="clear" w:color="auto" w:fill="auto"/>
            <w:noWrap/>
            <w:vAlign w:val="center"/>
          </w:tcPr>
          <w:p w14:paraId="3E5803CD"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136.92</w:t>
            </w:r>
          </w:p>
        </w:tc>
        <w:tc>
          <w:tcPr>
            <w:tcW w:w="607" w:type="pct"/>
            <w:shd w:val="clear" w:color="auto" w:fill="auto"/>
            <w:noWrap/>
            <w:vAlign w:val="center"/>
          </w:tcPr>
          <w:p w14:paraId="5196978E"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141.03</w:t>
            </w:r>
          </w:p>
        </w:tc>
        <w:tc>
          <w:tcPr>
            <w:tcW w:w="558" w:type="pct"/>
            <w:shd w:val="clear" w:color="auto" w:fill="auto"/>
            <w:noWrap/>
            <w:vAlign w:val="center"/>
          </w:tcPr>
          <w:p w14:paraId="1940F263" w14:textId="77777777" w:rsidR="00C02929" w:rsidRDefault="006116D1">
            <w:pPr>
              <w:jc w:val="right"/>
              <w:rPr>
                <w:rFonts w:ascii="Times New Roman" w:hAnsi="Times New Roman" w:cs="Times New Roman"/>
                <w:spacing w:val="-6"/>
                <w:sz w:val="21"/>
                <w:szCs w:val="21"/>
              </w:rPr>
            </w:pPr>
            <w:r>
              <w:rPr>
                <w:rFonts w:ascii="Times New Roman" w:hAnsi="Times New Roman" w:cs="Times New Roman"/>
                <w:spacing w:val="-6"/>
                <w:sz w:val="21"/>
                <w:szCs w:val="21"/>
              </w:rPr>
              <w:t>141.03</w:t>
            </w:r>
          </w:p>
        </w:tc>
      </w:tr>
      <w:tr w:rsidR="00C02929" w14:paraId="79CD60A4" w14:textId="77777777">
        <w:trPr>
          <w:gridAfter w:val="1"/>
          <w:wAfter w:w="16" w:type="pct"/>
          <w:trHeight w:val="397"/>
        </w:trPr>
        <w:tc>
          <w:tcPr>
            <w:tcW w:w="781" w:type="pct"/>
            <w:shd w:val="clear" w:color="auto" w:fill="auto"/>
            <w:noWrap/>
            <w:vAlign w:val="center"/>
          </w:tcPr>
          <w:p w14:paraId="61AECA1B" w14:textId="77777777" w:rsidR="00C02929" w:rsidRDefault="006116D1">
            <w:pPr>
              <w:jc w:val="center"/>
              <w:rPr>
                <w:rFonts w:ascii="Times New Roman" w:hAnsi="Times New Roman" w:cs="Times New Roman"/>
                <w:b/>
                <w:bCs/>
                <w:spacing w:val="-6"/>
                <w:sz w:val="21"/>
                <w:szCs w:val="21"/>
              </w:rPr>
            </w:pPr>
            <w:r>
              <w:rPr>
                <w:rFonts w:ascii="Times New Roman" w:hAnsi="Times New Roman" w:cs="Times New Roman" w:hint="eastAsia"/>
                <w:b/>
                <w:bCs/>
                <w:spacing w:val="-6"/>
                <w:sz w:val="21"/>
                <w:szCs w:val="21"/>
              </w:rPr>
              <w:t>合计</w:t>
            </w:r>
          </w:p>
        </w:tc>
        <w:tc>
          <w:tcPr>
            <w:tcW w:w="607" w:type="pct"/>
            <w:shd w:val="clear" w:color="auto" w:fill="auto"/>
            <w:noWrap/>
            <w:vAlign w:val="center"/>
          </w:tcPr>
          <w:p w14:paraId="098C56A3"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694.96</w:t>
            </w:r>
          </w:p>
        </w:tc>
        <w:tc>
          <w:tcPr>
            <w:tcW w:w="609" w:type="pct"/>
            <w:shd w:val="clear" w:color="auto" w:fill="auto"/>
            <w:noWrap/>
            <w:vAlign w:val="center"/>
          </w:tcPr>
          <w:p w14:paraId="67E4631C"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2,053.60</w:t>
            </w:r>
          </w:p>
        </w:tc>
        <w:tc>
          <w:tcPr>
            <w:tcW w:w="607" w:type="pct"/>
            <w:shd w:val="clear" w:color="auto" w:fill="auto"/>
            <w:noWrap/>
            <w:vAlign w:val="center"/>
          </w:tcPr>
          <w:p w14:paraId="3FBB1658"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2,324.17</w:t>
            </w:r>
          </w:p>
        </w:tc>
        <w:tc>
          <w:tcPr>
            <w:tcW w:w="609" w:type="pct"/>
            <w:shd w:val="clear" w:color="auto" w:fill="auto"/>
            <w:noWrap/>
            <w:vAlign w:val="center"/>
          </w:tcPr>
          <w:p w14:paraId="0754FA66"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2,545.42</w:t>
            </w:r>
          </w:p>
        </w:tc>
        <w:tc>
          <w:tcPr>
            <w:tcW w:w="608" w:type="pct"/>
            <w:shd w:val="clear" w:color="auto" w:fill="auto"/>
            <w:noWrap/>
            <w:vAlign w:val="center"/>
          </w:tcPr>
          <w:p w14:paraId="6216D905"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2,674.11</w:t>
            </w:r>
          </w:p>
        </w:tc>
        <w:tc>
          <w:tcPr>
            <w:tcW w:w="607" w:type="pct"/>
            <w:shd w:val="clear" w:color="auto" w:fill="auto"/>
            <w:noWrap/>
            <w:vAlign w:val="center"/>
          </w:tcPr>
          <w:p w14:paraId="219076FA"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2,778.33</w:t>
            </w:r>
          </w:p>
        </w:tc>
        <w:tc>
          <w:tcPr>
            <w:tcW w:w="558" w:type="pct"/>
            <w:shd w:val="clear" w:color="auto" w:fill="auto"/>
            <w:noWrap/>
            <w:vAlign w:val="center"/>
          </w:tcPr>
          <w:p w14:paraId="3E310659" w14:textId="77777777" w:rsidR="00C02929" w:rsidRDefault="006116D1">
            <w:pPr>
              <w:jc w:val="right"/>
              <w:rPr>
                <w:rFonts w:ascii="Times New Roman" w:hAnsi="Times New Roman" w:cs="Times New Roman"/>
                <w:b/>
                <w:bCs/>
                <w:spacing w:val="-6"/>
                <w:sz w:val="21"/>
                <w:szCs w:val="21"/>
              </w:rPr>
            </w:pPr>
            <w:r>
              <w:rPr>
                <w:rFonts w:ascii="Times New Roman" w:hAnsi="Times New Roman" w:cs="Times New Roman"/>
                <w:b/>
                <w:bCs/>
                <w:spacing w:val="-6"/>
                <w:sz w:val="21"/>
                <w:szCs w:val="21"/>
              </w:rPr>
              <w:t>2,778.33</w:t>
            </w:r>
          </w:p>
        </w:tc>
      </w:tr>
    </w:tbl>
    <w:p w14:paraId="57016B63"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6</w:t>
      </w:r>
      <w:r>
        <w:rPr>
          <w:rFonts w:ascii="Times New Roman" w:hAnsi="Times New Roman" w:cs="Times New Roman" w:hint="eastAsia"/>
          <w:lang w:bidi="ar"/>
        </w:rPr>
        <w:t>）研发费用预测</w:t>
      </w:r>
      <w:bookmarkEnd w:id="112"/>
      <w:bookmarkEnd w:id="113"/>
    </w:p>
    <w:p w14:paraId="6C819FE3" w14:textId="77777777" w:rsidR="00C02929" w:rsidRDefault="006116D1">
      <w:pPr>
        <w:pStyle w:val="affffd"/>
        <w:spacing w:before="156"/>
        <w:ind w:firstLine="480"/>
        <w:rPr>
          <w:bCs/>
        </w:rPr>
      </w:pPr>
      <w:r>
        <w:rPr>
          <w:rFonts w:hint="eastAsia"/>
          <w:bCs/>
        </w:rPr>
        <w:lastRenderedPageBreak/>
        <w:t>研发费用主要包括工资及福利费、材料费、水电费、差旅费、专利申请费、劳务费、固定资产折旧、设备费及其他费。研发费中的工资是研发部门人员的职工薪酬，根据历史的人员工资水平，结合标的公司的人事发展策略，通过预测未来年度的研发人员人数和人均月工资确定预测期的人员工资；社保费和公积金为根据人员工资计提的各类社保和公积金。评估人员在分析历史年度各项保险费用的计提比例和实际支付情况后，以预测的人员工资为基础，预测未来年度的保险费。</w:t>
      </w:r>
    </w:p>
    <w:p w14:paraId="43DFA906" w14:textId="77777777" w:rsidR="00C02929" w:rsidRDefault="006116D1">
      <w:pPr>
        <w:pStyle w:val="affffd"/>
        <w:spacing w:before="156"/>
        <w:ind w:firstLine="480"/>
        <w:rPr>
          <w:bCs/>
        </w:rPr>
      </w:pPr>
      <w:r>
        <w:rPr>
          <w:rFonts w:hint="eastAsia"/>
          <w:bCs/>
        </w:rPr>
        <w:t>对折旧费，遵循了企业执行的一贯会计政策，按照预测年度的实际固定资产规模，采用直线法计提。永续年度按年金确定资本性支出，同时确定当年的折旧费用。</w:t>
      </w:r>
    </w:p>
    <w:p w14:paraId="766411D6" w14:textId="77777777" w:rsidR="00C02929" w:rsidRDefault="006116D1">
      <w:pPr>
        <w:pStyle w:val="affffd"/>
        <w:adjustRightInd w:val="0"/>
        <w:snapToGrid w:val="0"/>
        <w:spacing w:before="156"/>
        <w:ind w:firstLine="480"/>
        <w:rPr>
          <w:bCs/>
          <w:lang w:bidi="ar"/>
        </w:rPr>
      </w:pPr>
      <w:r>
        <w:rPr>
          <w:rFonts w:hint="eastAsia"/>
          <w:bCs/>
          <w:szCs w:val="22"/>
          <w:lang w:val="en-GB"/>
        </w:rPr>
        <w:t>其他研发费用根据其在历史年度中的支付水平，以企业发展规模和收入水平为基础进行预测。</w:t>
      </w:r>
      <w:r>
        <w:rPr>
          <w:rFonts w:hint="eastAsia"/>
          <w:bCs/>
          <w:lang w:bidi="ar"/>
        </w:rPr>
        <w:t>研发费用预测见下表：</w:t>
      </w:r>
    </w:p>
    <w:p w14:paraId="780D2398"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40"/>
        <w:gridCol w:w="1346"/>
        <w:gridCol w:w="983"/>
        <w:gridCol w:w="983"/>
        <w:gridCol w:w="982"/>
        <w:gridCol w:w="983"/>
        <w:gridCol w:w="982"/>
        <w:gridCol w:w="1023"/>
      </w:tblGrid>
      <w:tr w:rsidR="00C02929" w14:paraId="69D3DFF7" w14:textId="77777777">
        <w:trPr>
          <w:trHeight w:val="397"/>
          <w:tblHeader/>
        </w:trPr>
        <w:tc>
          <w:tcPr>
            <w:tcW w:w="727" w:type="pct"/>
            <w:vMerge w:val="restart"/>
            <w:shd w:val="clear" w:color="auto" w:fill="auto"/>
            <w:vAlign w:val="center"/>
          </w:tcPr>
          <w:p w14:paraId="2B1B6AF1"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费用明细项</w:t>
            </w:r>
          </w:p>
        </w:tc>
        <w:tc>
          <w:tcPr>
            <w:tcW w:w="4273" w:type="pct"/>
            <w:gridSpan w:val="7"/>
            <w:shd w:val="clear" w:color="auto" w:fill="auto"/>
            <w:noWrap/>
            <w:vAlign w:val="center"/>
          </w:tcPr>
          <w:p w14:paraId="55E2689B"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未来年度研发费用预测数据</w:t>
            </w:r>
          </w:p>
        </w:tc>
      </w:tr>
      <w:tr w:rsidR="00C02929" w14:paraId="1EE54DAA" w14:textId="77777777">
        <w:trPr>
          <w:trHeight w:val="397"/>
          <w:tblHeader/>
        </w:trPr>
        <w:tc>
          <w:tcPr>
            <w:tcW w:w="727" w:type="pct"/>
            <w:vMerge/>
            <w:shd w:val="clear" w:color="auto" w:fill="auto"/>
            <w:vAlign w:val="center"/>
          </w:tcPr>
          <w:p w14:paraId="004408E3" w14:textId="77777777" w:rsidR="00C02929" w:rsidRDefault="00C02929">
            <w:pPr>
              <w:rPr>
                <w:rFonts w:ascii="Times New Roman" w:hAnsi="Times New Roman" w:cs="Times New Roman"/>
                <w:b/>
                <w:bCs/>
                <w:sz w:val="21"/>
                <w:szCs w:val="21"/>
              </w:rPr>
            </w:pPr>
          </w:p>
        </w:tc>
        <w:tc>
          <w:tcPr>
            <w:tcW w:w="790" w:type="pct"/>
            <w:shd w:val="clear" w:color="auto" w:fill="auto"/>
            <w:noWrap/>
            <w:vAlign w:val="center"/>
          </w:tcPr>
          <w:p w14:paraId="4D158D2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77" w:type="pct"/>
            <w:shd w:val="clear" w:color="auto" w:fill="auto"/>
            <w:noWrap/>
            <w:vAlign w:val="center"/>
          </w:tcPr>
          <w:p w14:paraId="4ED432AF"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77" w:type="pct"/>
            <w:shd w:val="clear" w:color="auto" w:fill="auto"/>
            <w:noWrap/>
            <w:vAlign w:val="center"/>
          </w:tcPr>
          <w:p w14:paraId="3DA949E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76" w:type="pct"/>
            <w:shd w:val="clear" w:color="auto" w:fill="auto"/>
            <w:noWrap/>
            <w:vAlign w:val="center"/>
          </w:tcPr>
          <w:p w14:paraId="2285E796"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77" w:type="pct"/>
            <w:shd w:val="clear" w:color="auto" w:fill="auto"/>
            <w:noWrap/>
            <w:vAlign w:val="center"/>
          </w:tcPr>
          <w:p w14:paraId="06121AD8"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76" w:type="pct"/>
            <w:shd w:val="clear" w:color="auto" w:fill="auto"/>
            <w:noWrap/>
            <w:vAlign w:val="center"/>
          </w:tcPr>
          <w:p w14:paraId="7F9C908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79" w:type="pct"/>
            <w:shd w:val="clear" w:color="auto" w:fill="auto"/>
            <w:noWrap/>
            <w:vAlign w:val="center"/>
          </w:tcPr>
          <w:p w14:paraId="346196DC"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C02929" w14:paraId="2A08B195" w14:textId="77777777">
        <w:trPr>
          <w:trHeight w:val="397"/>
        </w:trPr>
        <w:tc>
          <w:tcPr>
            <w:tcW w:w="727" w:type="pct"/>
            <w:shd w:val="clear" w:color="auto" w:fill="auto"/>
            <w:noWrap/>
            <w:vAlign w:val="center"/>
          </w:tcPr>
          <w:p w14:paraId="5DE14122"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工资及福利费</w:t>
            </w:r>
          </w:p>
        </w:tc>
        <w:tc>
          <w:tcPr>
            <w:tcW w:w="790" w:type="pct"/>
            <w:shd w:val="clear" w:color="auto" w:fill="auto"/>
            <w:noWrap/>
            <w:vAlign w:val="center"/>
          </w:tcPr>
          <w:p w14:paraId="258C8F0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481.21</w:t>
            </w:r>
          </w:p>
        </w:tc>
        <w:tc>
          <w:tcPr>
            <w:tcW w:w="577" w:type="pct"/>
            <w:shd w:val="clear" w:color="auto" w:fill="auto"/>
            <w:noWrap/>
            <w:vAlign w:val="center"/>
          </w:tcPr>
          <w:p w14:paraId="1C585CB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1,492.77</w:t>
            </w:r>
          </w:p>
        </w:tc>
        <w:tc>
          <w:tcPr>
            <w:tcW w:w="577" w:type="pct"/>
            <w:shd w:val="clear" w:color="auto" w:fill="auto"/>
            <w:noWrap/>
            <w:vAlign w:val="center"/>
          </w:tcPr>
          <w:p w14:paraId="04EA539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1,746.54</w:t>
            </w:r>
          </w:p>
        </w:tc>
        <w:tc>
          <w:tcPr>
            <w:tcW w:w="576" w:type="pct"/>
            <w:shd w:val="clear" w:color="auto" w:fill="auto"/>
            <w:noWrap/>
            <w:vAlign w:val="center"/>
          </w:tcPr>
          <w:p w14:paraId="2C94AF2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1,939.67</w:t>
            </w:r>
          </w:p>
        </w:tc>
        <w:tc>
          <w:tcPr>
            <w:tcW w:w="577" w:type="pct"/>
            <w:shd w:val="clear" w:color="auto" w:fill="auto"/>
            <w:noWrap/>
            <w:vAlign w:val="center"/>
          </w:tcPr>
          <w:p w14:paraId="5F103DF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2,034.19</w:t>
            </w:r>
          </w:p>
        </w:tc>
        <w:tc>
          <w:tcPr>
            <w:tcW w:w="576" w:type="pct"/>
            <w:shd w:val="clear" w:color="auto" w:fill="auto"/>
            <w:noWrap/>
            <w:vAlign w:val="center"/>
          </w:tcPr>
          <w:p w14:paraId="0D25FB8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2,074.87</w:t>
            </w:r>
          </w:p>
        </w:tc>
        <w:tc>
          <w:tcPr>
            <w:tcW w:w="579" w:type="pct"/>
            <w:shd w:val="clear" w:color="auto" w:fill="auto"/>
            <w:noWrap/>
            <w:vAlign w:val="center"/>
          </w:tcPr>
          <w:p w14:paraId="053053B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2,074.87</w:t>
            </w:r>
          </w:p>
        </w:tc>
      </w:tr>
      <w:tr w:rsidR="00C02929" w14:paraId="52E509C1" w14:textId="77777777">
        <w:trPr>
          <w:trHeight w:val="397"/>
        </w:trPr>
        <w:tc>
          <w:tcPr>
            <w:tcW w:w="727" w:type="pct"/>
            <w:shd w:val="clear" w:color="auto" w:fill="auto"/>
            <w:noWrap/>
            <w:vAlign w:val="center"/>
          </w:tcPr>
          <w:p w14:paraId="2A915EA6"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材料费</w:t>
            </w:r>
          </w:p>
        </w:tc>
        <w:tc>
          <w:tcPr>
            <w:tcW w:w="790" w:type="pct"/>
            <w:shd w:val="clear" w:color="auto" w:fill="auto"/>
            <w:noWrap/>
            <w:vAlign w:val="center"/>
          </w:tcPr>
          <w:p w14:paraId="25E8BEA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187.49</w:t>
            </w:r>
          </w:p>
        </w:tc>
        <w:tc>
          <w:tcPr>
            <w:tcW w:w="577" w:type="pct"/>
            <w:shd w:val="clear" w:color="auto" w:fill="auto"/>
            <w:noWrap/>
            <w:vAlign w:val="center"/>
          </w:tcPr>
          <w:p w14:paraId="6CE6D6E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745.27</w:t>
            </w:r>
          </w:p>
        </w:tc>
        <w:tc>
          <w:tcPr>
            <w:tcW w:w="577" w:type="pct"/>
            <w:shd w:val="clear" w:color="auto" w:fill="auto"/>
            <w:noWrap/>
            <w:vAlign w:val="center"/>
          </w:tcPr>
          <w:p w14:paraId="6ECFF5C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824.59</w:t>
            </w:r>
          </w:p>
        </w:tc>
        <w:tc>
          <w:tcPr>
            <w:tcW w:w="576" w:type="pct"/>
            <w:shd w:val="clear" w:color="auto" w:fill="auto"/>
            <w:noWrap/>
            <w:vAlign w:val="center"/>
          </w:tcPr>
          <w:p w14:paraId="3B1579D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886.45</w:t>
            </w:r>
          </w:p>
        </w:tc>
        <w:tc>
          <w:tcPr>
            <w:tcW w:w="577" w:type="pct"/>
            <w:shd w:val="clear" w:color="auto" w:fill="auto"/>
            <w:noWrap/>
            <w:vAlign w:val="center"/>
          </w:tcPr>
          <w:p w14:paraId="41EFE1C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935.12</w:t>
            </w:r>
          </w:p>
        </w:tc>
        <w:tc>
          <w:tcPr>
            <w:tcW w:w="576" w:type="pct"/>
            <w:shd w:val="clear" w:color="auto" w:fill="auto"/>
            <w:noWrap/>
            <w:vAlign w:val="center"/>
          </w:tcPr>
          <w:p w14:paraId="2AB583B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963.15</w:t>
            </w:r>
          </w:p>
        </w:tc>
        <w:tc>
          <w:tcPr>
            <w:tcW w:w="579" w:type="pct"/>
            <w:shd w:val="clear" w:color="auto" w:fill="auto"/>
            <w:noWrap/>
            <w:vAlign w:val="center"/>
          </w:tcPr>
          <w:p w14:paraId="108B811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963.15</w:t>
            </w:r>
          </w:p>
        </w:tc>
      </w:tr>
      <w:tr w:rsidR="00C02929" w14:paraId="155FC2AE" w14:textId="77777777">
        <w:trPr>
          <w:trHeight w:val="397"/>
        </w:trPr>
        <w:tc>
          <w:tcPr>
            <w:tcW w:w="727" w:type="pct"/>
            <w:shd w:val="clear" w:color="auto" w:fill="auto"/>
            <w:noWrap/>
            <w:vAlign w:val="center"/>
          </w:tcPr>
          <w:p w14:paraId="37B4113F"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水电费</w:t>
            </w:r>
          </w:p>
        </w:tc>
        <w:tc>
          <w:tcPr>
            <w:tcW w:w="790" w:type="pct"/>
            <w:shd w:val="clear" w:color="auto" w:fill="auto"/>
            <w:noWrap/>
            <w:vAlign w:val="center"/>
          </w:tcPr>
          <w:p w14:paraId="1206797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2.61</w:t>
            </w:r>
          </w:p>
        </w:tc>
        <w:tc>
          <w:tcPr>
            <w:tcW w:w="577" w:type="pct"/>
            <w:shd w:val="clear" w:color="auto" w:fill="auto"/>
            <w:noWrap/>
            <w:vAlign w:val="center"/>
          </w:tcPr>
          <w:p w14:paraId="1D6E094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6.55</w:t>
            </w:r>
          </w:p>
        </w:tc>
        <w:tc>
          <w:tcPr>
            <w:tcW w:w="577" w:type="pct"/>
            <w:shd w:val="clear" w:color="auto" w:fill="auto"/>
            <w:noWrap/>
            <w:vAlign w:val="center"/>
          </w:tcPr>
          <w:p w14:paraId="2166636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7.25</w:t>
            </w:r>
          </w:p>
        </w:tc>
        <w:tc>
          <w:tcPr>
            <w:tcW w:w="576" w:type="pct"/>
            <w:shd w:val="clear" w:color="auto" w:fill="auto"/>
            <w:noWrap/>
            <w:vAlign w:val="center"/>
          </w:tcPr>
          <w:p w14:paraId="700016E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7.79</w:t>
            </w:r>
          </w:p>
        </w:tc>
        <w:tc>
          <w:tcPr>
            <w:tcW w:w="577" w:type="pct"/>
            <w:shd w:val="clear" w:color="auto" w:fill="auto"/>
            <w:noWrap/>
            <w:vAlign w:val="center"/>
          </w:tcPr>
          <w:p w14:paraId="4E7B3D0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8.22</w:t>
            </w:r>
          </w:p>
        </w:tc>
        <w:tc>
          <w:tcPr>
            <w:tcW w:w="576" w:type="pct"/>
            <w:shd w:val="clear" w:color="auto" w:fill="auto"/>
            <w:noWrap/>
            <w:vAlign w:val="center"/>
          </w:tcPr>
          <w:p w14:paraId="68E1673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8.47</w:t>
            </w:r>
          </w:p>
        </w:tc>
        <w:tc>
          <w:tcPr>
            <w:tcW w:w="579" w:type="pct"/>
            <w:shd w:val="clear" w:color="auto" w:fill="auto"/>
            <w:noWrap/>
            <w:vAlign w:val="center"/>
          </w:tcPr>
          <w:p w14:paraId="2A40DCB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8.47</w:t>
            </w:r>
          </w:p>
        </w:tc>
      </w:tr>
      <w:tr w:rsidR="00C02929" w14:paraId="2EC46A0F" w14:textId="77777777">
        <w:trPr>
          <w:trHeight w:val="397"/>
        </w:trPr>
        <w:tc>
          <w:tcPr>
            <w:tcW w:w="727" w:type="pct"/>
            <w:shd w:val="clear" w:color="auto" w:fill="auto"/>
            <w:noWrap/>
            <w:vAlign w:val="center"/>
          </w:tcPr>
          <w:p w14:paraId="15BC4629"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差旅费</w:t>
            </w:r>
          </w:p>
        </w:tc>
        <w:tc>
          <w:tcPr>
            <w:tcW w:w="790" w:type="pct"/>
            <w:shd w:val="clear" w:color="auto" w:fill="auto"/>
            <w:noWrap/>
            <w:vAlign w:val="center"/>
          </w:tcPr>
          <w:p w14:paraId="72DC482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21.99</w:t>
            </w:r>
          </w:p>
        </w:tc>
        <w:tc>
          <w:tcPr>
            <w:tcW w:w="577" w:type="pct"/>
            <w:shd w:val="clear" w:color="auto" w:fill="auto"/>
            <w:noWrap/>
            <w:vAlign w:val="center"/>
          </w:tcPr>
          <w:p w14:paraId="07C9791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55.14</w:t>
            </w:r>
          </w:p>
        </w:tc>
        <w:tc>
          <w:tcPr>
            <w:tcW w:w="577" w:type="pct"/>
            <w:shd w:val="clear" w:color="auto" w:fill="auto"/>
            <w:noWrap/>
            <w:vAlign w:val="center"/>
          </w:tcPr>
          <w:p w14:paraId="5736DDF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61.01</w:t>
            </w:r>
          </w:p>
        </w:tc>
        <w:tc>
          <w:tcPr>
            <w:tcW w:w="576" w:type="pct"/>
            <w:shd w:val="clear" w:color="auto" w:fill="auto"/>
            <w:noWrap/>
            <w:vAlign w:val="center"/>
          </w:tcPr>
          <w:p w14:paraId="6EEF181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65.58</w:t>
            </w:r>
          </w:p>
        </w:tc>
        <w:tc>
          <w:tcPr>
            <w:tcW w:w="577" w:type="pct"/>
            <w:shd w:val="clear" w:color="auto" w:fill="auto"/>
            <w:noWrap/>
            <w:vAlign w:val="center"/>
          </w:tcPr>
          <w:p w14:paraId="657AFFE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69.19</w:t>
            </w:r>
          </w:p>
        </w:tc>
        <w:tc>
          <w:tcPr>
            <w:tcW w:w="576" w:type="pct"/>
            <w:shd w:val="clear" w:color="auto" w:fill="auto"/>
            <w:noWrap/>
            <w:vAlign w:val="center"/>
          </w:tcPr>
          <w:p w14:paraId="3AB7C53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71.26</w:t>
            </w:r>
          </w:p>
        </w:tc>
        <w:tc>
          <w:tcPr>
            <w:tcW w:w="579" w:type="pct"/>
            <w:shd w:val="clear" w:color="auto" w:fill="auto"/>
            <w:noWrap/>
            <w:vAlign w:val="center"/>
          </w:tcPr>
          <w:p w14:paraId="3714A9D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71.26</w:t>
            </w:r>
          </w:p>
        </w:tc>
      </w:tr>
      <w:tr w:rsidR="00C02929" w14:paraId="4D7D5779" w14:textId="77777777">
        <w:trPr>
          <w:trHeight w:val="397"/>
        </w:trPr>
        <w:tc>
          <w:tcPr>
            <w:tcW w:w="727" w:type="pct"/>
            <w:shd w:val="clear" w:color="auto" w:fill="auto"/>
            <w:noWrap/>
            <w:vAlign w:val="center"/>
          </w:tcPr>
          <w:p w14:paraId="402589D5"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专利申请费</w:t>
            </w:r>
          </w:p>
        </w:tc>
        <w:tc>
          <w:tcPr>
            <w:tcW w:w="790" w:type="pct"/>
            <w:shd w:val="clear" w:color="auto" w:fill="auto"/>
            <w:noWrap/>
            <w:vAlign w:val="center"/>
          </w:tcPr>
          <w:p w14:paraId="7B2575A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1.04</w:t>
            </w:r>
          </w:p>
        </w:tc>
        <w:tc>
          <w:tcPr>
            <w:tcW w:w="577" w:type="pct"/>
            <w:shd w:val="clear" w:color="auto" w:fill="auto"/>
            <w:noWrap/>
            <w:vAlign w:val="center"/>
          </w:tcPr>
          <w:p w14:paraId="6720BB7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2.60</w:t>
            </w:r>
          </w:p>
        </w:tc>
        <w:tc>
          <w:tcPr>
            <w:tcW w:w="577" w:type="pct"/>
            <w:shd w:val="clear" w:color="auto" w:fill="auto"/>
            <w:noWrap/>
            <w:vAlign w:val="center"/>
          </w:tcPr>
          <w:p w14:paraId="6DC414C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2.88</w:t>
            </w:r>
          </w:p>
        </w:tc>
        <w:tc>
          <w:tcPr>
            <w:tcW w:w="576" w:type="pct"/>
            <w:shd w:val="clear" w:color="auto" w:fill="auto"/>
            <w:noWrap/>
            <w:vAlign w:val="center"/>
          </w:tcPr>
          <w:p w14:paraId="165ED72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3.09</w:t>
            </w:r>
          </w:p>
        </w:tc>
        <w:tc>
          <w:tcPr>
            <w:tcW w:w="577" w:type="pct"/>
            <w:shd w:val="clear" w:color="auto" w:fill="auto"/>
            <w:noWrap/>
            <w:vAlign w:val="center"/>
          </w:tcPr>
          <w:p w14:paraId="4F702B7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3.26</w:t>
            </w:r>
          </w:p>
        </w:tc>
        <w:tc>
          <w:tcPr>
            <w:tcW w:w="576" w:type="pct"/>
            <w:shd w:val="clear" w:color="auto" w:fill="auto"/>
            <w:noWrap/>
            <w:vAlign w:val="center"/>
          </w:tcPr>
          <w:p w14:paraId="1D402E3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3.36</w:t>
            </w:r>
          </w:p>
        </w:tc>
        <w:tc>
          <w:tcPr>
            <w:tcW w:w="579" w:type="pct"/>
            <w:shd w:val="clear" w:color="auto" w:fill="auto"/>
            <w:noWrap/>
            <w:vAlign w:val="center"/>
          </w:tcPr>
          <w:p w14:paraId="423A312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3.36</w:t>
            </w:r>
          </w:p>
        </w:tc>
      </w:tr>
      <w:tr w:rsidR="00C02929" w14:paraId="4360F1FC" w14:textId="77777777">
        <w:trPr>
          <w:trHeight w:val="397"/>
        </w:trPr>
        <w:tc>
          <w:tcPr>
            <w:tcW w:w="727" w:type="pct"/>
            <w:shd w:val="clear" w:color="auto" w:fill="auto"/>
            <w:noWrap/>
            <w:vAlign w:val="center"/>
          </w:tcPr>
          <w:p w14:paraId="5C91ABC6"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劳务费</w:t>
            </w:r>
          </w:p>
        </w:tc>
        <w:tc>
          <w:tcPr>
            <w:tcW w:w="790" w:type="pct"/>
            <w:shd w:val="clear" w:color="auto" w:fill="auto"/>
            <w:noWrap/>
            <w:vAlign w:val="center"/>
          </w:tcPr>
          <w:p w14:paraId="5B77BD9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4.92</w:t>
            </w:r>
          </w:p>
        </w:tc>
        <w:tc>
          <w:tcPr>
            <w:tcW w:w="577" w:type="pct"/>
            <w:shd w:val="clear" w:color="auto" w:fill="auto"/>
            <w:noWrap/>
            <w:vAlign w:val="center"/>
          </w:tcPr>
          <w:p w14:paraId="1BB0606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12.33</w:t>
            </w:r>
          </w:p>
        </w:tc>
        <w:tc>
          <w:tcPr>
            <w:tcW w:w="577" w:type="pct"/>
            <w:shd w:val="clear" w:color="auto" w:fill="auto"/>
            <w:noWrap/>
            <w:vAlign w:val="center"/>
          </w:tcPr>
          <w:p w14:paraId="5870465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13.64</w:t>
            </w:r>
          </w:p>
        </w:tc>
        <w:tc>
          <w:tcPr>
            <w:tcW w:w="576" w:type="pct"/>
            <w:shd w:val="clear" w:color="auto" w:fill="auto"/>
            <w:noWrap/>
            <w:vAlign w:val="center"/>
          </w:tcPr>
          <w:p w14:paraId="66480E9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14.66</w:t>
            </w:r>
          </w:p>
        </w:tc>
        <w:tc>
          <w:tcPr>
            <w:tcW w:w="577" w:type="pct"/>
            <w:shd w:val="clear" w:color="auto" w:fill="auto"/>
            <w:noWrap/>
            <w:vAlign w:val="center"/>
          </w:tcPr>
          <w:p w14:paraId="75638DA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15.47</w:t>
            </w:r>
          </w:p>
        </w:tc>
        <w:tc>
          <w:tcPr>
            <w:tcW w:w="576" w:type="pct"/>
            <w:shd w:val="clear" w:color="auto" w:fill="auto"/>
            <w:noWrap/>
            <w:vAlign w:val="center"/>
          </w:tcPr>
          <w:p w14:paraId="073EAD6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15.93</w:t>
            </w:r>
          </w:p>
        </w:tc>
        <w:tc>
          <w:tcPr>
            <w:tcW w:w="579" w:type="pct"/>
            <w:shd w:val="clear" w:color="auto" w:fill="auto"/>
            <w:noWrap/>
            <w:vAlign w:val="center"/>
          </w:tcPr>
          <w:p w14:paraId="0A8FA2B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15.93</w:t>
            </w:r>
          </w:p>
        </w:tc>
      </w:tr>
      <w:tr w:rsidR="00C02929" w14:paraId="00006ABF" w14:textId="77777777">
        <w:trPr>
          <w:trHeight w:val="397"/>
        </w:trPr>
        <w:tc>
          <w:tcPr>
            <w:tcW w:w="727" w:type="pct"/>
            <w:shd w:val="clear" w:color="auto" w:fill="auto"/>
            <w:noWrap/>
            <w:vAlign w:val="center"/>
          </w:tcPr>
          <w:p w14:paraId="7930254A"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固定资产折旧</w:t>
            </w:r>
          </w:p>
        </w:tc>
        <w:tc>
          <w:tcPr>
            <w:tcW w:w="790" w:type="pct"/>
            <w:shd w:val="clear" w:color="auto" w:fill="auto"/>
            <w:noWrap/>
            <w:vAlign w:val="center"/>
          </w:tcPr>
          <w:p w14:paraId="4713726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5.42</w:t>
            </w:r>
          </w:p>
        </w:tc>
        <w:tc>
          <w:tcPr>
            <w:tcW w:w="577" w:type="pct"/>
            <w:shd w:val="clear" w:color="auto" w:fill="auto"/>
            <w:noWrap/>
            <w:vAlign w:val="center"/>
          </w:tcPr>
          <w:p w14:paraId="5019CB3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10.84</w:t>
            </w:r>
          </w:p>
        </w:tc>
        <w:tc>
          <w:tcPr>
            <w:tcW w:w="577" w:type="pct"/>
            <w:shd w:val="clear" w:color="auto" w:fill="auto"/>
            <w:noWrap/>
            <w:vAlign w:val="center"/>
          </w:tcPr>
          <w:p w14:paraId="0894D97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10.84</w:t>
            </w:r>
          </w:p>
        </w:tc>
        <w:tc>
          <w:tcPr>
            <w:tcW w:w="576" w:type="pct"/>
            <w:shd w:val="clear" w:color="auto" w:fill="auto"/>
            <w:noWrap/>
            <w:vAlign w:val="center"/>
          </w:tcPr>
          <w:p w14:paraId="51685D3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10.84</w:t>
            </w:r>
          </w:p>
        </w:tc>
        <w:tc>
          <w:tcPr>
            <w:tcW w:w="577" w:type="pct"/>
            <w:shd w:val="clear" w:color="auto" w:fill="auto"/>
            <w:noWrap/>
            <w:vAlign w:val="center"/>
          </w:tcPr>
          <w:p w14:paraId="2BCCC16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10.84</w:t>
            </w:r>
          </w:p>
        </w:tc>
        <w:tc>
          <w:tcPr>
            <w:tcW w:w="576" w:type="pct"/>
            <w:shd w:val="clear" w:color="auto" w:fill="auto"/>
            <w:noWrap/>
            <w:vAlign w:val="center"/>
          </w:tcPr>
          <w:p w14:paraId="6925402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10.84</w:t>
            </w:r>
          </w:p>
        </w:tc>
        <w:tc>
          <w:tcPr>
            <w:tcW w:w="579" w:type="pct"/>
            <w:shd w:val="clear" w:color="auto" w:fill="auto"/>
            <w:noWrap/>
            <w:vAlign w:val="center"/>
          </w:tcPr>
          <w:p w14:paraId="551ACB9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10.84</w:t>
            </w:r>
          </w:p>
        </w:tc>
      </w:tr>
      <w:tr w:rsidR="00C02929" w14:paraId="186B0ED7" w14:textId="77777777">
        <w:trPr>
          <w:trHeight w:val="397"/>
        </w:trPr>
        <w:tc>
          <w:tcPr>
            <w:tcW w:w="727" w:type="pct"/>
            <w:shd w:val="clear" w:color="auto" w:fill="auto"/>
            <w:noWrap/>
            <w:vAlign w:val="center"/>
          </w:tcPr>
          <w:p w14:paraId="2B0BD889"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设备费</w:t>
            </w:r>
          </w:p>
        </w:tc>
        <w:tc>
          <w:tcPr>
            <w:tcW w:w="790" w:type="pct"/>
            <w:shd w:val="clear" w:color="auto" w:fill="auto"/>
            <w:noWrap/>
            <w:vAlign w:val="center"/>
          </w:tcPr>
          <w:p w14:paraId="007ECDA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14.81</w:t>
            </w:r>
          </w:p>
        </w:tc>
        <w:tc>
          <w:tcPr>
            <w:tcW w:w="577" w:type="pct"/>
            <w:shd w:val="clear" w:color="auto" w:fill="auto"/>
            <w:noWrap/>
            <w:vAlign w:val="center"/>
          </w:tcPr>
          <w:p w14:paraId="1BA329D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37.12</w:t>
            </w:r>
          </w:p>
        </w:tc>
        <w:tc>
          <w:tcPr>
            <w:tcW w:w="577" w:type="pct"/>
            <w:shd w:val="clear" w:color="auto" w:fill="auto"/>
            <w:noWrap/>
            <w:vAlign w:val="center"/>
          </w:tcPr>
          <w:p w14:paraId="5D884E0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41.07</w:t>
            </w:r>
          </w:p>
        </w:tc>
        <w:tc>
          <w:tcPr>
            <w:tcW w:w="576" w:type="pct"/>
            <w:shd w:val="clear" w:color="auto" w:fill="auto"/>
            <w:noWrap/>
            <w:vAlign w:val="center"/>
          </w:tcPr>
          <w:p w14:paraId="5127629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44.16</w:t>
            </w:r>
          </w:p>
        </w:tc>
        <w:tc>
          <w:tcPr>
            <w:tcW w:w="577" w:type="pct"/>
            <w:shd w:val="clear" w:color="auto" w:fill="auto"/>
            <w:noWrap/>
            <w:vAlign w:val="center"/>
          </w:tcPr>
          <w:p w14:paraId="6EFE016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46.58</w:t>
            </w:r>
          </w:p>
        </w:tc>
        <w:tc>
          <w:tcPr>
            <w:tcW w:w="576" w:type="pct"/>
            <w:shd w:val="clear" w:color="auto" w:fill="auto"/>
            <w:noWrap/>
            <w:vAlign w:val="center"/>
          </w:tcPr>
          <w:p w14:paraId="218A039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47.98</w:t>
            </w:r>
          </w:p>
        </w:tc>
        <w:tc>
          <w:tcPr>
            <w:tcW w:w="579" w:type="pct"/>
            <w:shd w:val="clear" w:color="auto" w:fill="auto"/>
            <w:noWrap/>
            <w:vAlign w:val="center"/>
          </w:tcPr>
          <w:p w14:paraId="46B7E8C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47.98</w:t>
            </w:r>
          </w:p>
        </w:tc>
      </w:tr>
      <w:tr w:rsidR="00C02929" w14:paraId="1EBD8541" w14:textId="77777777">
        <w:trPr>
          <w:trHeight w:val="397"/>
        </w:trPr>
        <w:tc>
          <w:tcPr>
            <w:tcW w:w="727" w:type="pct"/>
            <w:shd w:val="clear" w:color="auto" w:fill="auto"/>
            <w:noWrap/>
            <w:vAlign w:val="center"/>
          </w:tcPr>
          <w:p w14:paraId="5E250613"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其他费用</w:t>
            </w:r>
          </w:p>
        </w:tc>
        <w:tc>
          <w:tcPr>
            <w:tcW w:w="790" w:type="pct"/>
            <w:shd w:val="clear" w:color="auto" w:fill="auto"/>
            <w:noWrap/>
            <w:vAlign w:val="center"/>
          </w:tcPr>
          <w:p w14:paraId="4D66FB0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1.89</w:t>
            </w:r>
          </w:p>
        </w:tc>
        <w:tc>
          <w:tcPr>
            <w:tcW w:w="577" w:type="pct"/>
            <w:shd w:val="clear" w:color="auto" w:fill="auto"/>
            <w:noWrap/>
            <w:vAlign w:val="center"/>
          </w:tcPr>
          <w:p w14:paraId="02B99D4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4.73</w:t>
            </w:r>
          </w:p>
        </w:tc>
        <w:tc>
          <w:tcPr>
            <w:tcW w:w="577" w:type="pct"/>
            <w:shd w:val="clear" w:color="auto" w:fill="auto"/>
            <w:noWrap/>
            <w:vAlign w:val="center"/>
          </w:tcPr>
          <w:p w14:paraId="25D477A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5.24</w:t>
            </w:r>
          </w:p>
        </w:tc>
        <w:tc>
          <w:tcPr>
            <w:tcW w:w="576" w:type="pct"/>
            <w:shd w:val="clear" w:color="auto" w:fill="auto"/>
            <w:noWrap/>
            <w:vAlign w:val="center"/>
          </w:tcPr>
          <w:p w14:paraId="6300067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5.63</w:t>
            </w:r>
          </w:p>
        </w:tc>
        <w:tc>
          <w:tcPr>
            <w:tcW w:w="577" w:type="pct"/>
            <w:shd w:val="clear" w:color="auto" w:fill="auto"/>
            <w:noWrap/>
            <w:vAlign w:val="center"/>
          </w:tcPr>
          <w:p w14:paraId="13059D5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5.94</w:t>
            </w:r>
          </w:p>
        </w:tc>
        <w:tc>
          <w:tcPr>
            <w:tcW w:w="576" w:type="pct"/>
            <w:shd w:val="clear" w:color="auto" w:fill="auto"/>
            <w:noWrap/>
            <w:vAlign w:val="center"/>
          </w:tcPr>
          <w:p w14:paraId="5971C15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6.12</w:t>
            </w:r>
          </w:p>
        </w:tc>
        <w:tc>
          <w:tcPr>
            <w:tcW w:w="579" w:type="pct"/>
            <w:shd w:val="clear" w:color="auto" w:fill="auto"/>
            <w:noWrap/>
            <w:vAlign w:val="center"/>
          </w:tcPr>
          <w:p w14:paraId="7C13CD7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6.12</w:t>
            </w:r>
          </w:p>
        </w:tc>
      </w:tr>
      <w:tr w:rsidR="00C02929" w14:paraId="310BBBFF" w14:textId="77777777">
        <w:trPr>
          <w:trHeight w:val="397"/>
        </w:trPr>
        <w:tc>
          <w:tcPr>
            <w:tcW w:w="727" w:type="pct"/>
            <w:shd w:val="clear" w:color="auto" w:fill="auto"/>
            <w:noWrap/>
            <w:vAlign w:val="center"/>
          </w:tcPr>
          <w:p w14:paraId="67ADC562" w14:textId="77777777" w:rsidR="00C02929" w:rsidRDefault="006116D1">
            <w:pPr>
              <w:ind w:leftChars="-4" w:left="-10" w:firstLineChars="4" w:firstLine="8"/>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790" w:type="pct"/>
            <w:shd w:val="clear" w:color="auto" w:fill="auto"/>
            <w:noWrap/>
            <w:vAlign w:val="center"/>
          </w:tcPr>
          <w:p w14:paraId="107A3857" w14:textId="77777777" w:rsidR="00C02929" w:rsidRDefault="006116D1">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721.37</w:t>
            </w:r>
          </w:p>
        </w:tc>
        <w:tc>
          <w:tcPr>
            <w:tcW w:w="577" w:type="pct"/>
            <w:shd w:val="clear" w:color="auto" w:fill="auto"/>
            <w:noWrap/>
            <w:vAlign w:val="center"/>
          </w:tcPr>
          <w:p w14:paraId="3BD01F1F" w14:textId="77777777" w:rsidR="00C02929" w:rsidRDefault="006116D1">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2,367.36</w:t>
            </w:r>
          </w:p>
        </w:tc>
        <w:tc>
          <w:tcPr>
            <w:tcW w:w="577" w:type="pct"/>
            <w:shd w:val="clear" w:color="auto" w:fill="auto"/>
            <w:noWrap/>
            <w:vAlign w:val="center"/>
          </w:tcPr>
          <w:p w14:paraId="3A46C6F9" w14:textId="77777777" w:rsidR="00C02929" w:rsidRDefault="006116D1">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2,713.05</w:t>
            </w:r>
          </w:p>
        </w:tc>
        <w:tc>
          <w:tcPr>
            <w:tcW w:w="576" w:type="pct"/>
            <w:shd w:val="clear" w:color="auto" w:fill="auto"/>
            <w:noWrap/>
            <w:vAlign w:val="center"/>
          </w:tcPr>
          <w:p w14:paraId="484C08B6" w14:textId="77777777" w:rsidR="00C02929" w:rsidRDefault="006116D1">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2,977.88</w:t>
            </w:r>
          </w:p>
        </w:tc>
        <w:tc>
          <w:tcPr>
            <w:tcW w:w="577" w:type="pct"/>
            <w:shd w:val="clear" w:color="auto" w:fill="auto"/>
            <w:noWrap/>
            <w:vAlign w:val="center"/>
          </w:tcPr>
          <w:p w14:paraId="27F7082F" w14:textId="77777777" w:rsidR="00C02929" w:rsidRDefault="006116D1">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3,128.79</w:t>
            </w:r>
          </w:p>
        </w:tc>
        <w:tc>
          <w:tcPr>
            <w:tcW w:w="576" w:type="pct"/>
            <w:shd w:val="clear" w:color="auto" w:fill="auto"/>
            <w:vAlign w:val="center"/>
          </w:tcPr>
          <w:p w14:paraId="4B01B34A" w14:textId="77777777" w:rsidR="00C02929" w:rsidRDefault="006116D1">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3,201.96</w:t>
            </w:r>
          </w:p>
        </w:tc>
        <w:tc>
          <w:tcPr>
            <w:tcW w:w="579" w:type="pct"/>
            <w:shd w:val="clear" w:color="auto" w:fill="auto"/>
            <w:noWrap/>
            <w:vAlign w:val="center"/>
          </w:tcPr>
          <w:p w14:paraId="1B47EAE9" w14:textId="77777777" w:rsidR="00C02929" w:rsidRDefault="006116D1">
            <w:pPr>
              <w:ind w:leftChars="-4" w:left="-10" w:firstLineChars="4" w:firstLine="8"/>
              <w:jc w:val="right"/>
              <w:rPr>
                <w:rFonts w:ascii="Times New Roman" w:hAnsi="Times New Roman" w:cs="Times New Roman"/>
                <w:b/>
                <w:bCs/>
                <w:sz w:val="21"/>
                <w:szCs w:val="21"/>
              </w:rPr>
            </w:pPr>
            <w:r>
              <w:rPr>
                <w:rFonts w:ascii="Times New Roman" w:hAnsi="Times New Roman" w:cs="Times New Roman"/>
                <w:b/>
                <w:bCs/>
                <w:sz w:val="21"/>
                <w:szCs w:val="21"/>
              </w:rPr>
              <w:t>3,201.96</w:t>
            </w:r>
          </w:p>
        </w:tc>
      </w:tr>
    </w:tbl>
    <w:p w14:paraId="2A37E6D3"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7</w:t>
      </w:r>
      <w:r>
        <w:rPr>
          <w:rFonts w:ascii="Times New Roman" w:hAnsi="Times New Roman" w:cs="Times New Roman" w:hint="eastAsia"/>
          <w:lang w:bidi="ar"/>
        </w:rPr>
        <w:t>）财务费用预测</w:t>
      </w:r>
    </w:p>
    <w:p w14:paraId="3D9F078A" w14:textId="77777777" w:rsidR="00C02929" w:rsidRDefault="006116D1">
      <w:pPr>
        <w:pStyle w:val="affffd"/>
        <w:adjustRightInd w:val="0"/>
        <w:snapToGrid w:val="0"/>
        <w:spacing w:before="156"/>
        <w:ind w:firstLine="480"/>
        <w:rPr>
          <w:bCs/>
          <w:lang w:bidi="ar"/>
        </w:rPr>
      </w:pPr>
      <w:r>
        <w:rPr>
          <w:rFonts w:hint="eastAsia"/>
          <w:bCs/>
          <w:lang w:bidi="ar"/>
        </w:rPr>
        <w:t>财务费用中主要是银行存款所带来的利息收入、手续费和利息支出等。由于经营现金的货币时间价值已在评估值中体现，所以不再对利息收入进行预测；手</w:t>
      </w:r>
      <w:r>
        <w:rPr>
          <w:rFonts w:hint="eastAsia"/>
          <w:bCs/>
          <w:lang w:bidi="ar"/>
        </w:rPr>
        <w:lastRenderedPageBreak/>
        <w:t>续费与营业收入紧密相关，故评估时以预测年度的营业收入为基础，参考历史年度的手续费支付水平预测未来年度的手续费；未来年度财务费用预测见下：</w:t>
      </w:r>
    </w:p>
    <w:p w14:paraId="18F11FA3" w14:textId="77777777" w:rsidR="00C02929" w:rsidRDefault="006116D1">
      <w:pPr>
        <w:keepNext/>
        <w:jc w:val="right"/>
        <w:rPr>
          <w:bCs/>
          <w:sz w:val="21"/>
          <w:szCs w:val="18"/>
          <w:lang w:val="en-GB"/>
        </w:rPr>
      </w:pPr>
      <w:r>
        <w:rPr>
          <w:rFonts w:ascii="Times New Roman" w:hAnsi="Times New Roman" w:cs="Times New Roman" w:hint="eastAsia"/>
          <w:bCs/>
          <w:color w:val="000000"/>
          <w:sz w:val="21"/>
          <w:szCs w:val="18"/>
          <w:lang w:val="en-GB"/>
        </w:rPr>
        <w:t>单位：万元</w:t>
      </w:r>
    </w:p>
    <w:tbl>
      <w:tblPr>
        <w:tblStyle w:val="affff"/>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452"/>
        <w:gridCol w:w="1019"/>
        <w:gridCol w:w="1019"/>
        <w:gridCol w:w="1019"/>
        <w:gridCol w:w="1019"/>
        <w:gridCol w:w="1018"/>
        <w:gridCol w:w="1018"/>
        <w:gridCol w:w="958"/>
      </w:tblGrid>
      <w:tr w:rsidR="00C02929" w14:paraId="265114E2" w14:textId="77777777">
        <w:trPr>
          <w:trHeight w:val="397"/>
          <w:tblHeader/>
        </w:trPr>
        <w:tc>
          <w:tcPr>
            <w:tcW w:w="852" w:type="pct"/>
            <w:vMerge w:val="restart"/>
            <w:vAlign w:val="center"/>
          </w:tcPr>
          <w:p w14:paraId="75577645"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费用明细项</w:t>
            </w:r>
          </w:p>
        </w:tc>
        <w:tc>
          <w:tcPr>
            <w:tcW w:w="4148" w:type="pct"/>
            <w:gridSpan w:val="7"/>
            <w:vAlign w:val="center"/>
          </w:tcPr>
          <w:p w14:paraId="37612EE7"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未来年度财务费用预测数据</w:t>
            </w:r>
          </w:p>
        </w:tc>
      </w:tr>
      <w:tr w:rsidR="00C02929" w14:paraId="7EFC1874" w14:textId="77777777">
        <w:trPr>
          <w:trHeight w:val="397"/>
          <w:tblHeader/>
        </w:trPr>
        <w:tc>
          <w:tcPr>
            <w:tcW w:w="852" w:type="pct"/>
            <w:vMerge/>
            <w:vAlign w:val="center"/>
          </w:tcPr>
          <w:p w14:paraId="0F9AE816" w14:textId="77777777" w:rsidR="00C02929" w:rsidRDefault="00C02929">
            <w:pPr>
              <w:pStyle w:val="affffd"/>
              <w:adjustRightInd w:val="0"/>
              <w:snapToGrid w:val="0"/>
              <w:spacing w:beforeLines="0" w:line="240" w:lineRule="auto"/>
              <w:ind w:firstLineChars="0" w:firstLine="0"/>
              <w:jc w:val="center"/>
              <w:rPr>
                <w:bCs/>
                <w:sz w:val="21"/>
                <w:lang w:bidi="ar"/>
              </w:rPr>
            </w:pPr>
          </w:p>
        </w:tc>
        <w:tc>
          <w:tcPr>
            <w:tcW w:w="598" w:type="pct"/>
            <w:vAlign w:val="center"/>
          </w:tcPr>
          <w:p w14:paraId="44C6607E"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2020</w:t>
            </w:r>
            <w:r>
              <w:rPr>
                <w:rFonts w:hint="eastAsia"/>
                <w:b/>
                <w:bCs/>
                <w:sz w:val="21"/>
              </w:rPr>
              <w:t>年</w:t>
            </w:r>
            <w:r>
              <w:rPr>
                <w:rFonts w:hint="eastAsia"/>
                <w:b/>
                <w:bCs/>
                <w:sz w:val="21"/>
              </w:rPr>
              <w:t>7-12</w:t>
            </w:r>
            <w:r>
              <w:rPr>
                <w:rFonts w:hint="eastAsia"/>
                <w:b/>
                <w:bCs/>
                <w:sz w:val="21"/>
              </w:rPr>
              <w:t>月</w:t>
            </w:r>
          </w:p>
        </w:tc>
        <w:tc>
          <w:tcPr>
            <w:tcW w:w="598" w:type="pct"/>
            <w:vAlign w:val="center"/>
          </w:tcPr>
          <w:p w14:paraId="0970AD13"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2021</w:t>
            </w:r>
            <w:r>
              <w:rPr>
                <w:rFonts w:hint="eastAsia"/>
                <w:b/>
                <w:bCs/>
                <w:sz w:val="21"/>
              </w:rPr>
              <w:t>年</w:t>
            </w:r>
          </w:p>
        </w:tc>
        <w:tc>
          <w:tcPr>
            <w:tcW w:w="598" w:type="pct"/>
            <w:vAlign w:val="center"/>
          </w:tcPr>
          <w:p w14:paraId="42AC6993"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2022</w:t>
            </w:r>
            <w:r>
              <w:rPr>
                <w:rFonts w:hint="eastAsia"/>
                <w:b/>
                <w:bCs/>
                <w:sz w:val="21"/>
              </w:rPr>
              <w:t>年</w:t>
            </w:r>
          </w:p>
        </w:tc>
        <w:tc>
          <w:tcPr>
            <w:tcW w:w="598" w:type="pct"/>
            <w:vAlign w:val="center"/>
          </w:tcPr>
          <w:p w14:paraId="6B5B04AA"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2023</w:t>
            </w:r>
            <w:r>
              <w:rPr>
                <w:rFonts w:hint="eastAsia"/>
                <w:b/>
                <w:bCs/>
                <w:sz w:val="21"/>
              </w:rPr>
              <w:t>年</w:t>
            </w:r>
          </w:p>
        </w:tc>
        <w:tc>
          <w:tcPr>
            <w:tcW w:w="597" w:type="pct"/>
            <w:vAlign w:val="center"/>
          </w:tcPr>
          <w:p w14:paraId="1DCEECEA"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2024</w:t>
            </w:r>
            <w:r>
              <w:rPr>
                <w:rFonts w:hint="eastAsia"/>
                <w:b/>
                <w:bCs/>
                <w:sz w:val="21"/>
              </w:rPr>
              <w:t>年</w:t>
            </w:r>
          </w:p>
        </w:tc>
        <w:tc>
          <w:tcPr>
            <w:tcW w:w="597" w:type="pct"/>
            <w:vAlign w:val="center"/>
          </w:tcPr>
          <w:p w14:paraId="266389ED"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2025</w:t>
            </w:r>
            <w:r>
              <w:rPr>
                <w:rFonts w:hint="eastAsia"/>
                <w:b/>
                <w:bCs/>
                <w:sz w:val="21"/>
              </w:rPr>
              <w:t>年</w:t>
            </w:r>
          </w:p>
        </w:tc>
        <w:tc>
          <w:tcPr>
            <w:tcW w:w="562" w:type="pct"/>
            <w:vAlign w:val="center"/>
          </w:tcPr>
          <w:p w14:paraId="53AF166C"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稳定期</w:t>
            </w:r>
          </w:p>
        </w:tc>
      </w:tr>
      <w:tr w:rsidR="00C02929" w14:paraId="46639077" w14:textId="77777777">
        <w:trPr>
          <w:trHeight w:val="397"/>
        </w:trPr>
        <w:tc>
          <w:tcPr>
            <w:tcW w:w="852" w:type="pct"/>
            <w:vAlign w:val="center"/>
          </w:tcPr>
          <w:p w14:paraId="28431793"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sz w:val="21"/>
              </w:rPr>
              <w:t>利息支出</w:t>
            </w:r>
          </w:p>
        </w:tc>
        <w:tc>
          <w:tcPr>
            <w:tcW w:w="598" w:type="pct"/>
            <w:vAlign w:val="center"/>
          </w:tcPr>
          <w:p w14:paraId="30EC1894"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w:t>
            </w:r>
          </w:p>
        </w:tc>
        <w:tc>
          <w:tcPr>
            <w:tcW w:w="598" w:type="pct"/>
            <w:vAlign w:val="center"/>
          </w:tcPr>
          <w:p w14:paraId="6C77A5C1"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w:t>
            </w:r>
          </w:p>
        </w:tc>
        <w:tc>
          <w:tcPr>
            <w:tcW w:w="598" w:type="pct"/>
            <w:vAlign w:val="center"/>
          </w:tcPr>
          <w:p w14:paraId="451EBB99"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w:t>
            </w:r>
          </w:p>
        </w:tc>
        <w:tc>
          <w:tcPr>
            <w:tcW w:w="598" w:type="pct"/>
            <w:vAlign w:val="center"/>
          </w:tcPr>
          <w:p w14:paraId="470FB85E"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w:t>
            </w:r>
          </w:p>
        </w:tc>
        <w:tc>
          <w:tcPr>
            <w:tcW w:w="597" w:type="pct"/>
            <w:vAlign w:val="center"/>
          </w:tcPr>
          <w:p w14:paraId="4120DB8B"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w:t>
            </w:r>
          </w:p>
        </w:tc>
        <w:tc>
          <w:tcPr>
            <w:tcW w:w="597" w:type="pct"/>
            <w:vAlign w:val="center"/>
          </w:tcPr>
          <w:p w14:paraId="249344D4" w14:textId="77777777" w:rsidR="00C02929" w:rsidRDefault="00C02929">
            <w:pPr>
              <w:pStyle w:val="affffd"/>
              <w:adjustRightInd w:val="0"/>
              <w:snapToGrid w:val="0"/>
              <w:spacing w:beforeLines="0" w:line="240" w:lineRule="auto"/>
              <w:ind w:firstLineChars="0" w:firstLine="0"/>
              <w:jc w:val="right"/>
              <w:rPr>
                <w:bCs/>
                <w:sz w:val="21"/>
                <w:lang w:bidi="ar"/>
              </w:rPr>
            </w:pPr>
          </w:p>
        </w:tc>
        <w:tc>
          <w:tcPr>
            <w:tcW w:w="562" w:type="pct"/>
            <w:vAlign w:val="center"/>
          </w:tcPr>
          <w:p w14:paraId="40C450FB"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w:t>
            </w:r>
          </w:p>
        </w:tc>
      </w:tr>
      <w:tr w:rsidR="00C02929" w14:paraId="2DEB1689" w14:textId="77777777">
        <w:trPr>
          <w:trHeight w:val="397"/>
        </w:trPr>
        <w:tc>
          <w:tcPr>
            <w:tcW w:w="852" w:type="pct"/>
            <w:vAlign w:val="center"/>
          </w:tcPr>
          <w:p w14:paraId="74A9F28E"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利息支出小计</w:t>
            </w:r>
          </w:p>
        </w:tc>
        <w:tc>
          <w:tcPr>
            <w:tcW w:w="598" w:type="pct"/>
            <w:vAlign w:val="center"/>
          </w:tcPr>
          <w:p w14:paraId="36CB1CCF"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vAlign w:val="center"/>
          </w:tcPr>
          <w:p w14:paraId="291D0858"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vAlign w:val="center"/>
          </w:tcPr>
          <w:p w14:paraId="59D5D4F6"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vAlign w:val="center"/>
          </w:tcPr>
          <w:p w14:paraId="7B57B5A9"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vAlign w:val="center"/>
          </w:tcPr>
          <w:p w14:paraId="6EE0FB7E"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vAlign w:val="center"/>
          </w:tcPr>
          <w:p w14:paraId="481D0E94"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62" w:type="pct"/>
            <w:vAlign w:val="center"/>
          </w:tcPr>
          <w:p w14:paraId="1DC51CB5"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r>
      <w:tr w:rsidR="00C02929" w14:paraId="073D7E9E" w14:textId="77777777">
        <w:trPr>
          <w:trHeight w:val="397"/>
        </w:trPr>
        <w:tc>
          <w:tcPr>
            <w:tcW w:w="852" w:type="pct"/>
            <w:vAlign w:val="center"/>
          </w:tcPr>
          <w:p w14:paraId="2ECC43E3"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sz w:val="21"/>
              </w:rPr>
              <w:t>利息收入</w:t>
            </w:r>
          </w:p>
        </w:tc>
        <w:tc>
          <w:tcPr>
            <w:tcW w:w="598" w:type="pct"/>
            <w:vAlign w:val="center"/>
          </w:tcPr>
          <w:p w14:paraId="6D552531"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vAlign w:val="center"/>
          </w:tcPr>
          <w:p w14:paraId="7680BECF"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vAlign w:val="center"/>
          </w:tcPr>
          <w:p w14:paraId="44250EB3"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vAlign w:val="center"/>
          </w:tcPr>
          <w:p w14:paraId="5CB1BA79"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vAlign w:val="center"/>
          </w:tcPr>
          <w:p w14:paraId="294B9ECE"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vAlign w:val="center"/>
          </w:tcPr>
          <w:p w14:paraId="55181F6C"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62" w:type="pct"/>
            <w:vAlign w:val="center"/>
          </w:tcPr>
          <w:p w14:paraId="197A633B"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r>
      <w:tr w:rsidR="00C02929" w14:paraId="7DE5CDE5" w14:textId="77777777">
        <w:trPr>
          <w:trHeight w:val="397"/>
        </w:trPr>
        <w:tc>
          <w:tcPr>
            <w:tcW w:w="852" w:type="pct"/>
            <w:vAlign w:val="center"/>
          </w:tcPr>
          <w:p w14:paraId="5D2F1F01"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sz w:val="21"/>
              </w:rPr>
              <w:t>手续费</w:t>
            </w:r>
          </w:p>
        </w:tc>
        <w:tc>
          <w:tcPr>
            <w:tcW w:w="598" w:type="pct"/>
            <w:vAlign w:val="center"/>
          </w:tcPr>
          <w:p w14:paraId="73C55EA0"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2.99</w:t>
            </w:r>
          </w:p>
        </w:tc>
        <w:tc>
          <w:tcPr>
            <w:tcW w:w="598" w:type="pct"/>
            <w:vAlign w:val="center"/>
          </w:tcPr>
          <w:p w14:paraId="75CC043A"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7.49</w:t>
            </w:r>
          </w:p>
        </w:tc>
        <w:tc>
          <w:tcPr>
            <w:tcW w:w="598" w:type="pct"/>
            <w:vAlign w:val="center"/>
          </w:tcPr>
          <w:p w14:paraId="2ECB18B0"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8.29</w:t>
            </w:r>
          </w:p>
        </w:tc>
        <w:tc>
          <w:tcPr>
            <w:tcW w:w="598" w:type="pct"/>
            <w:vAlign w:val="center"/>
          </w:tcPr>
          <w:p w14:paraId="407ED5E7"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8.91</w:t>
            </w:r>
          </w:p>
        </w:tc>
        <w:tc>
          <w:tcPr>
            <w:tcW w:w="597" w:type="pct"/>
            <w:vAlign w:val="center"/>
          </w:tcPr>
          <w:p w14:paraId="5CE0E113"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9.40</w:t>
            </w:r>
          </w:p>
        </w:tc>
        <w:tc>
          <w:tcPr>
            <w:tcW w:w="597" w:type="pct"/>
            <w:vAlign w:val="center"/>
          </w:tcPr>
          <w:p w14:paraId="3A276DCB"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9.69</w:t>
            </w:r>
          </w:p>
        </w:tc>
        <w:tc>
          <w:tcPr>
            <w:tcW w:w="562" w:type="pct"/>
            <w:vAlign w:val="center"/>
          </w:tcPr>
          <w:p w14:paraId="15ABE110"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9.69</w:t>
            </w:r>
          </w:p>
        </w:tc>
      </w:tr>
      <w:tr w:rsidR="00C02929" w14:paraId="03DB9147" w14:textId="77777777">
        <w:trPr>
          <w:trHeight w:val="397"/>
        </w:trPr>
        <w:tc>
          <w:tcPr>
            <w:tcW w:w="852" w:type="pct"/>
            <w:vAlign w:val="center"/>
          </w:tcPr>
          <w:p w14:paraId="7418B509"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sz w:val="21"/>
              </w:rPr>
              <w:t>汇总损益</w:t>
            </w:r>
          </w:p>
        </w:tc>
        <w:tc>
          <w:tcPr>
            <w:tcW w:w="598" w:type="pct"/>
          </w:tcPr>
          <w:p w14:paraId="72E61B5E"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tcPr>
          <w:p w14:paraId="00B4E428"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tcPr>
          <w:p w14:paraId="36A18183"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tcPr>
          <w:p w14:paraId="6CF25428"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tcPr>
          <w:p w14:paraId="27937878"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tcPr>
          <w:p w14:paraId="5F8169D6"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62" w:type="pct"/>
          </w:tcPr>
          <w:p w14:paraId="02C61335"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r>
      <w:tr w:rsidR="00C02929" w14:paraId="6EB49281" w14:textId="77777777">
        <w:trPr>
          <w:trHeight w:val="397"/>
        </w:trPr>
        <w:tc>
          <w:tcPr>
            <w:tcW w:w="852" w:type="pct"/>
            <w:vAlign w:val="center"/>
          </w:tcPr>
          <w:p w14:paraId="19610D0A"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sz w:val="21"/>
              </w:rPr>
              <w:t>其他</w:t>
            </w:r>
          </w:p>
        </w:tc>
        <w:tc>
          <w:tcPr>
            <w:tcW w:w="598" w:type="pct"/>
          </w:tcPr>
          <w:p w14:paraId="3B3E049A"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tcPr>
          <w:p w14:paraId="55435994"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tcPr>
          <w:p w14:paraId="13D06BD1"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8" w:type="pct"/>
          </w:tcPr>
          <w:p w14:paraId="3DC4FDBA"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tcPr>
          <w:p w14:paraId="4946A961"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97" w:type="pct"/>
          </w:tcPr>
          <w:p w14:paraId="36DCBBCA"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c>
          <w:tcPr>
            <w:tcW w:w="562" w:type="pct"/>
          </w:tcPr>
          <w:p w14:paraId="4D1D0E25" w14:textId="77777777" w:rsidR="00C02929" w:rsidRDefault="006116D1">
            <w:pPr>
              <w:pStyle w:val="affffd"/>
              <w:adjustRightInd w:val="0"/>
              <w:snapToGrid w:val="0"/>
              <w:spacing w:beforeLines="0" w:line="240" w:lineRule="auto"/>
              <w:ind w:firstLineChars="0" w:firstLine="0"/>
              <w:jc w:val="right"/>
              <w:rPr>
                <w:bCs/>
                <w:sz w:val="21"/>
                <w:lang w:bidi="ar"/>
              </w:rPr>
            </w:pPr>
            <w:r>
              <w:rPr>
                <w:b/>
                <w:bCs/>
                <w:sz w:val="21"/>
              </w:rPr>
              <w:t>-</w:t>
            </w:r>
          </w:p>
        </w:tc>
      </w:tr>
      <w:tr w:rsidR="00C02929" w14:paraId="36724F56" w14:textId="77777777">
        <w:trPr>
          <w:trHeight w:val="397"/>
        </w:trPr>
        <w:tc>
          <w:tcPr>
            <w:tcW w:w="852" w:type="pct"/>
            <w:vAlign w:val="center"/>
          </w:tcPr>
          <w:p w14:paraId="206562BD" w14:textId="77777777" w:rsidR="00C02929" w:rsidRDefault="006116D1">
            <w:pPr>
              <w:pStyle w:val="affffd"/>
              <w:adjustRightInd w:val="0"/>
              <w:snapToGrid w:val="0"/>
              <w:spacing w:beforeLines="0" w:line="240" w:lineRule="auto"/>
              <w:ind w:firstLineChars="0" w:firstLine="0"/>
              <w:jc w:val="center"/>
              <w:rPr>
                <w:bCs/>
                <w:sz w:val="21"/>
                <w:lang w:bidi="ar"/>
              </w:rPr>
            </w:pPr>
            <w:r>
              <w:rPr>
                <w:rFonts w:hint="eastAsia"/>
                <w:b/>
                <w:bCs/>
                <w:sz w:val="21"/>
              </w:rPr>
              <w:t>合计</w:t>
            </w:r>
          </w:p>
        </w:tc>
        <w:tc>
          <w:tcPr>
            <w:tcW w:w="598" w:type="pct"/>
            <w:vAlign w:val="center"/>
          </w:tcPr>
          <w:p w14:paraId="6C89BA82"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2.99</w:t>
            </w:r>
          </w:p>
        </w:tc>
        <w:tc>
          <w:tcPr>
            <w:tcW w:w="598" w:type="pct"/>
            <w:vAlign w:val="center"/>
          </w:tcPr>
          <w:p w14:paraId="7AC502DC"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7.49</w:t>
            </w:r>
          </w:p>
        </w:tc>
        <w:tc>
          <w:tcPr>
            <w:tcW w:w="598" w:type="pct"/>
            <w:vAlign w:val="center"/>
          </w:tcPr>
          <w:p w14:paraId="730BB904"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8.29</w:t>
            </w:r>
          </w:p>
        </w:tc>
        <w:tc>
          <w:tcPr>
            <w:tcW w:w="598" w:type="pct"/>
            <w:vAlign w:val="center"/>
          </w:tcPr>
          <w:p w14:paraId="23C5BB7A"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8.91</w:t>
            </w:r>
          </w:p>
        </w:tc>
        <w:tc>
          <w:tcPr>
            <w:tcW w:w="597" w:type="pct"/>
            <w:vAlign w:val="center"/>
          </w:tcPr>
          <w:p w14:paraId="73B5F5E2"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9.40</w:t>
            </w:r>
          </w:p>
        </w:tc>
        <w:tc>
          <w:tcPr>
            <w:tcW w:w="597" w:type="pct"/>
            <w:vAlign w:val="center"/>
          </w:tcPr>
          <w:p w14:paraId="26A6D2A5"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9.69</w:t>
            </w:r>
          </w:p>
        </w:tc>
        <w:tc>
          <w:tcPr>
            <w:tcW w:w="562" w:type="pct"/>
            <w:vAlign w:val="center"/>
          </w:tcPr>
          <w:p w14:paraId="68EBBB03" w14:textId="77777777" w:rsidR="00C02929" w:rsidRDefault="006116D1">
            <w:pPr>
              <w:pStyle w:val="affffd"/>
              <w:adjustRightInd w:val="0"/>
              <w:snapToGrid w:val="0"/>
              <w:spacing w:beforeLines="0" w:line="240" w:lineRule="auto"/>
              <w:ind w:firstLineChars="0" w:firstLine="0"/>
              <w:jc w:val="right"/>
              <w:rPr>
                <w:bCs/>
                <w:sz w:val="21"/>
                <w:lang w:bidi="ar"/>
              </w:rPr>
            </w:pPr>
            <w:r>
              <w:rPr>
                <w:sz w:val="21"/>
              </w:rPr>
              <w:t>9.69</w:t>
            </w:r>
          </w:p>
        </w:tc>
      </w:tr>
    </w:tbl>
    <w:p w14:paraId="5A5A69A3"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114" w:name="_Toc161394627"/>
      <w:bookmarkStart w:id="115" w:name="_Toc163542860"/>
      <w:r>
        <w:rPr>
          <w:rFonts w:ascii="Times New Roman" w:hAnsi="Times New Roman" w:cs="Times New Roman"/>
          <w:lang w:bidi="ar"/>
        </w:rPr>
        <w:t>8</w:t>
      </w:r>
      <w:r>
        <w:rPr>
          <w:rFonts w:ascii="Times New Roman" w:hAnsi="Times New Roman" w:cs="Times New Roman" w:hint="eastAsia"/>
          <w:lang w:bidi="ar"/>
        </w:rPr>
        <w:t>）营业外收支的预测</w:t>
      </w:r>
    </w:p>
    <w:p w14:paraId="5993726C" w14:textId="77777777" w:rsidR="00C02929" w:rsidRDefault="006116D1">
      <w:pPr>
        <w:pStyle w:val="affffd"/>
        <w:adjustRightInd w:val="0"/>
        <w:snapToGrid w:val="0"/>
        <w:spacing w:before="156"/>
        <w:ind w:firstLine="480"/>
        <w:rPr>
          <w:bCs/>
          <w:lang w:bidi="ar"/>
        </w:rPr>
      </w:pPr>
      <w:r>
        <w:rPr>
          <w:rFonts w:hint="eastAsia"/>
          <w:bCs/>
          <w:lang w:bidi="ar"/>
        </w:rPr>
        <w:t>营业外收入主要是与日常经营无关的收入；营业外支出主要是固定资产处置成本等。由于营业外收支对被估值单位收益影响较小，且具有很大不确定性，所以本次估值不予预测。</w:t>
      </w:r>
    </w:p>
    <w:p w14:paraId="08997BC5"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116" w:name="_Toc161394629"/>
      <w:bookmarkStart w:id="117" w:name="_Toc163542862"/>
      <w:bookmarkEnd w:id="114"/>
      <w:bookmarkEnd w:id="115"/>
      <w:r>
        <w:rPr>
          <w:rFonts w:ascii="Times New Roman" w:hAnsi="Times New Roman" w:cs="Times New Roman"/>
          <w:lang w:bidi="ar"/>
        </w:rPr>
        <w:t>9</w:t>
      </w:r>
      <w:r>
        <w:rPr>
          <w:rFonts w:ascii="Times New Roman" w:hAnsi="Times New Roman" w:cs="Times New Roman" w:hint="eastAsia"/>
          <w:lang w:bidi="ar"/>
        </w:rPr>
        <w:t>）所得税及税后净利润的预测</w:t>
      </w:r>
    </w:p>
    <w:p w14:paraId="032DE294" w14:textId="77777777" w:rsidR="00C02929" w:rsidRDefault="006116D1">
      <w:pPr>
        <w:pStyle w:val="affffd"/>
        <w:spacing w:before="156"/>
        <w:ind w:firstLine="480"/>
        <w:rPr>
          <w:bCs/>
          <w:lang w:bidi="ar"/>
        </w:rPr>
      </w:pPr>
      <w:r>
        <w:rPr>
          <w:rFonts w:hint="eastAsia"/>
          <w:bCs/>
          <w:lang w:bidi="ar"/>
        </w:rPr>
        <w:t>根据上述一系列的预测，可以得出标的公司未来各年度的利润总额，在此基础上，按照标的公司执行的所得税率，对未来各年的所得税和净利润予以估算。北洋天青具有高新技术企业资质，本次评估假设企业享受目前的税收优惠后继续申请高新技术企业资质续期，享受高新技术企业</w:t>
      </w:r>
      <w:r>
        <w:rPr>
          <w:bCs/>
          <w:lang w:bidi="ar"/>
        </w:rPr>
        <w:t>15%</w:t>
      </w:r>
      <w:r>
        <w:rPr>
          <w:rFonts w:hint="eastAsia"/>
          <w:bCs/>
          <w:lang w:bidi="ar"/>
        </w:rPr>
        <w:t>所得税政策。</w:t>
      </w:r>
    </w:p>
    <w:p w14:paraId="1259E91D" w14:textId="77777777" w:rsidR="00C02929" w:rsidRDefault="006116D1">
      <w:pPr>
        <w:pStyle w:val="affffd"/>
        <w:snapToGrid w:val="0"/>
        <w:spacing w:before="156"/>
        <w:ind w:firstLine="480"/>
        <w:rPr>
          <w:bCs/>
          <w:lang w:bidi="ar"/>
        </w:rPr>
      </w:pPr>
      <w:r>
        <w:rPr>
          <w:rFonts w:hint="eastAsia"/>
          <w:bCs/>
          <w:lang w:bidi="ar"/>
        </w:rPr>
        <w:t>净利润</w:t>
      </w:r>
      <w:r>
        <w:rPr>
          <w:bCs/>
          <w:lang w:bidi="ar"/>
        </w:rPr>
        <w:t>=</w:t>
      </w:r>
      <w:r>
        <w:rPr>
          <w:rFonts w:hint="eastAsia"/>
          <w:bCs/>
          <w:lang w:bidi="ar"/>
        </w:rPr>
        <w:t>营业收入</w:t>
      </w:r>
      <w:r>
        <w:rPr>
          <w:bCs/>
          <w:lang w:bidi="ar"/>
        </w:rPr>
        <w:t>-</w:t>
      </w:r>
      <w:r>
        <w:rPr>
          <w:rFonts w:hint="eastAsia"/>
          <w:bCs/>
          <w:lang w:bidi="ar"/>
        </w:rPr>
        <w:t>营业成本</w:t>
      </w:r>
      <w:r>
        <w:rPr>
          <w:bCs/>
          <w:lang w:bidi="ar"/>
        </w:rPr>
        <w:t>-</w:t>
      </w:r>
      <w:r>
        <w:rPr>
          <w:rFonts w:hint="eastAsia"/>
          <w:bCs/>
          <w:lang w:bidi="ar"/>
        </w:rPr>
        <w:t>营业税金及附加</w:t>
      </w:r>
      <w:r>
        <w:rPr>
          <w:bCs/>
          <w:lang w:bidi="ar"/>
        </w:rPr>
        <w:t>-</w:t>
      </w:r>
      <w:r>
        <w:rPr>
          <w:rFonts w:hint="eastAsia"/>
          <w:bCs/>
          <w:lang w:bidi="ar"/>
        </w:rPr>
        <w:t>销售费用</w:t>
      </w:r>
      <w:r>
        <w:rPr>
          <w:bCs/>
          <w:lang w:bidi="ar"/>
        </w:rPr>
        <w:t>-</w:t>
      </w:r>
      <w:r>
        <w:rPr>
          <w:rFonts w:hint="eastAsia"/>
          <w:bCs/>
          <w:lang w:bidi="ar"/>
        </w:rPr>
        <w:t>管理费用</w:t>
      </w:r>
      <w:r>
        <w:rPr>
          <w:bCs/>
          <w:lang w:bidi="ar"/>
        </w:rPr>
        <w:t>-</w:t>
      </w:r>
      <w:r>
        <w:rPr>
          <w:rFonts w:hint="eastAsia"/>
          <w:bCs/>
          <w:lang w:bidi="ar"/>
        </w:rPr>
        <w:t>财务费用</w:t>
      </w:r>
      <w:r>
        <w:rPr>
          <w:bCs/>
          <w:lang w:bidi="ar"/>
        </w:rPr>
        <w:t>-</w:t>
      </w:r>
      <w:r>
        <w:rPr>
          <w:rFonts w:hint="eastAsia"/>
          <w:bCs/>
          <w:lang w:bidi="ar"/>
        </w:rPr>
        <w:t>所得税。</w:t>
      </w:r>
    </w:p>
    <w:p w14:paraId="1E50AA7F" w14:textId="77777777" w:rsidR="00C02929" w:rsidRDefault="006116D1">
      <w:pPr>
        <w:pStyle w:val="affffd"/>
        <w:adjustRightInd w:val="0"/>
        <w:snapToGrid w:val="0"/>
        <w:spacing w:before="156"/>
        <w:ind w:firstLine="480"/>
        <w:rPr>
          <w:bCs/>
          <w:lang w:bidi="ar"/>
        </w:rPr>
      </w:pPr>
      <w:r>
        <w:rPr>
          <w:rFonts w:hint="eastAsia"/>
          <w:bCs/>
          <w:lang w:bidi="ar"/>
        </w:rPr>
        <w:t>标的公司未来各年的预测损益表如下：</w:t>
      </w:r>
    </w:p>
    <w:p w14:paraId="17A99405"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68"/>
        <w:gridCol w:w="1064"/>
        <w:gridCol w:w="1110"/>
        <w:gridCol w:w="960"/>
        <w:gridCol w:w="975"/>
        <w:gridCol w:w="1004"/>
        <w:gridCol w:w="1035"/>
        <w:gridCol w:w="1006"/>
      </w:tblGrid>
      <w:tr w:rsidR="00C02929" w14:paraId="7528044A" w14:textId="77777777" w:rsidTr="001F3E46">
        <w:trPr>
          <w:trHeight w:val="397"/>
          <w:tblHeader/>
        </w:trPr>
        <w:tc>
          <w:tcPr>
            <w:tcW w:w="803" w:type="pct"/>
            <w:vMerge w:val="restart"/>
            <w:shd w:val="clear" w:color="auto" w:fill="auto"/>
            <w:noWrap/>
            <w:vAlign w:val="center"/>
          </w:tcPr>
          <w:p w14:paraId="5FA03B09" w14:textId="77777777" w:rsidR="00C02929" w:rsidRDefault="006116D1">
            <w:pPr>
              <w:ind w:leftChars="-25" w:left="-60" w:rightChars="-25" w:right="-60"/>
              <w:jc w:val="center"/>
              <w:rPr>
                <w:rFonts w:ascii="Times New Roman" w:hAnsi="Times New Roman" w:cs="Times New Roman"/>
                <w:b/>
                <w:bCs/>
                <w:sz w:val="21"/>
                <w:szCs w:val="21"/>
              </w:rPr>
            </w:pPr>
            <w:bookmarkStart w:id="118" w:name="_Hlk58135749"/>
            <w:r>
              <w:rPr>
                <w:rFonts w:ascii="Times New Roman" w:hAnsi="Times New Roman" w:cs="Times New Roman" w:hint="eastAsia"/>
                <w:b/>
                <w:bCs/>
                <w:sz w:val="21"/>
                <w:szCs w:val="21"/>
              </w:rPr>
              <w:t>项目</w:t>
            </w:r>
          </w:p>
        </w:tc>
        <w:tc>
          <w:tcPr>
            <w:tcW w:w="4196" w:type="pct"/>
            <w:gridSpan w:val="7"/>
            <w:shd w:val="clear" w:color="auto" w:fill="auto"/>
            <w:noWrap/>
            <w:vAlign w:val="center"/>
          </w:tcPr>
          <w:p w14:paraId="2105C374"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未来预测</w:t>
            </w:r>
          </w:p>
        </w:tc>
      </w:tr>
      <w:tr w:rsidR="00C02929" w14:paraId="2E1AD7CB" w14:textId="77777777" w:rsidTr="001F3E46">
        <w:trPr>
          <w:trHeight w:val="397"/>
          <w:tblHeader/>
        </w:trPr>
        <w:tc>
          <w:tcPr>
            <w:tcW w:w="803" w:type="pct"/>
            <w:vMerge/>
            <w:shd w:val="clear" w:color="auto" w:fill="auto"/>
            <w:vAlign w:val="center"/>
          </w:tcPr>
          <w:p w14:paraId="1B399235" w14:textId="77777777" w:rsidR="00C02929" w:rsidRDefault="00C02929">
            <w:pPr>
              <w:ind w:leftChars="-25" w:left="-60" w:rightChars="-25" w:right="-60"/>
              <w:rPr>
                <w:rFonts w:ascii="Times New Roman" w:hAnsi="Times New Roman" w:cs="Times New Roman"/>
                <w:b/>
                <w:bCs/>
                <w:sz w:val="21"/>
                <w:szCs w:val="21"/>
              </w:rPr>
            </w:pPr>
          </w:p>
        </w:tc>
        <w:tc>
          <w:tcPr>
            <w:tcW w:w="624" w:type="pct"/>
            <w:shd w:val="clear" w:color="auto" w:fill="auto"/>
            <w:vAlign w:val="center"/>
          </w:tcPr>
          <w:p w14:paraId="0AAAB088"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651" w:type="pct"/>
            <w:shd w:val="clear" w:color="auto" w:fill="auto"/>
            <w:vAlign w:val="center"/>
          </w:tcPr>
          <w:p w14:paraId="51430A80"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63" w:type="pct"/>
            <w:shd w:val="clear" w:color="auto" w:fill="auto"/>
            <w:vAlign w:val="center"/>
          </w:tcPr>
          <w:p w14:paraId="13F6BA14"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72" w:type="pct"/>
            <w:shd w:val="clear" w:color="auto" w:fill="auto"/>
            <w:vAlign w:val="center"/>
          </w:tcPr>
          <w:p w14:paraId="7B4D421E"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89" w:type="pct"/>
            <w:shd w:val="clear" w:color="auto" w:fill="auto"/>
            <w:vAlign w:val="center"/>
          </w:tcPr>
          <w:p w14:paraId="5DEE6338"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607" w:type="pct"/>
            <w:shd w:val="clear" w:color="auto" w:fill="auto"/>
            <w:vAlign w:val="center"/>
          </w:tcPr>
          <w:p w14:paraId="1D6151F5"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87" w:type="pct"/>
            <w:shd w:val="clear" w:color="auto" w:fill="auto"/>
            <w:noWrap/>
            <w:vAlign w:val="center"/>
          </w:tcPr>
          <w:p w14:paraId="3991EC16" w14:textId="77777777" w:rsidR="00C02929" w:rsidRDefault="006116D1">
            <w:pPr>
              <w:ind w:leftChars="-25" w:left="-60" w:rightChars="-25" w:right="-6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C02929" w14:paraId="517573DD" w14:textId="77777777" w:rsidTr="001F3E46">
        <w:trPr>
          <w:trHeight w:val="397"/>
        </w:trPr>
        <w:tc>
          <w:tcPr>
            <w:tcW w:w="803" w:type="pct"/>
            <w:shd w:val="clear" w:color="auto" w:fill="auto"/>
            <w:noWrap/>
            <w:vAlign w:val="center"/>
          </w:tcPr>
          <w:p w14:paraId="56D54B61" w14:textId="77777777" w:rsidR="00C02929" w:rsidRDefault="00CD5E41">
            <w:pPr>
              <w:ind w:leftChars="-25" w:left="-60" w:rightChars="-25" w:right="-60"/>
              <w:rPr>
                <w:rFonts w:ascii="Times New Roman" w:hAnsi="Times New Roman" w:cs="Times New Roman"/>
                <w:b/>
                <w:bCs/>
                <w:sz w:val="21"/>
                <w:szCs w:val="21"/>
              </w:rPr>
            </w:pPr>
            <w:hyperlink r:id="rId39" w:anchor="营业收入!A1" w:history="1">
              <w:r w:rsidR="006116D1">
                <w:rPr>
                  <w:rFonts w:ascii="Times New Roman" w:hAnsi="Times New Roman" w:cs="Times New Roman" w:hint="eastAsia"/>
                  <w:b/>
                  <w:bCs/>
                  <w:sz w:val="21"/>
                  <w:szCs w:val="21"/>
                </w:rPr>
                <w:t>一、营业收入</w:t>
              </w:r>
            </w:hyperlink>
          </w:p>
        </w:tc>
        <w:tc>
          <w:tcPr>
            <w:tcW w:w="624" w:type="pct"/>
            <w:shd w:val="clear" w:color="auto" w:fill="auto"/>
            <w:noWrap/>
            <w:vAlign w:val="center"/>
          </w:tcPr>
          <w:p w14:paraId="4FB9B0C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11,665.26</w:t>
            </w:r>
          </w:p>
        </w:tc>
        <w:tc>
          <w:tcPr>
            <w:tcW w:w="651" w:type="pct"/>
            <w:shd w:val="clear" w:color="auto" w:fill="auto"/>
            <w:noWrap/>
            <w:vAlign w:val="center"/>
          </w:tcPr>
          <w:p w14:paraId="21BF119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29,249.24</w:t>
            </w:r>
          </w:p>
        </w:tc>
        <w:tc>
          <w:tcPr>
            <w:tcW w:w="563" w:type="pct"/>
            <w:shd w:val="clear" w:color="auto" w:fill="auto"/>
            <w:noWrap/>
            <w:vAlign w:val="center"/>
          </w:tcPr>
          <w:p w14:paraId="3A12A52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32,361.96</w:t>
            </w:r>
          </w:p>
        </w:tc>
        <w:tc>
          <w:tcPr>
            <w:tcW w:w="572" w:type="pct"/>
            <w:shd w:val="clear" w:color="auto" w:fill="auto"/>
            <w:noWrap/>
            <w:vAlign w:val="center"/>
          </w:tcPr>
          <w:p w14:paraId="78566DB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34,790.00</w:t>
            </w:r>
          </w:p>
        </w:tc>
        <w:tc>
          <w:tcPr>
            <w:tcW w:w="589" w:type="pct"/>
            <w:shd w:val="clear" w:color="auto" w:fill="auto"/>
            <w:noWrap/>
            <w:vAlign w:val="center"/>
          </w:tcPr>
          <w:p w14:paraId="26BC915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36,700.00</w:t>
            </w:r>
          </w:p>
        </w:tc>
        <w:tc>
          <w:tcPr>
            <w:tcW w:w="607" w:type="pct"/>
            <w:shd w:val="clear" w:color="auto" w:fill="auto"/>
            <w:noWrap/>
            <w:vAlign w:val="center"/>
          </w:tcPr>
          <w:p w14:paraId="2B20EB4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c>
          <w:tcPr>
            <w:tcW w:w="587" w:type="pct"/>
            <w:shd w:val="clear" w:color="auto" w:fill="auto"/>
            <w:noWrap/>
            <w:vAlign w:val="center"/>
          </w:tcPr>
          <w:p w14:paraId="28EE1A5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37,800.00</w:t>
            </w:r>
          </w:p>
        </w:tc>
      </w:tr>
      <w:tr w:rsidR="00C02929" w14:paraId="2121065C" w14:textId="77777777" w:rsidTr="001F3E46">
        <w:trPr>
          <w:trHeight w:val="397"/>
        </w:trPr>
        <w:tc>
          <w:tcPr>
            <w:tcW w:w="803" w:type="pct"/>
            <w:shd w:val="clear" w:color="auto" w:fill="auto"/>
            <w:noWrap/>
            <w:vAlign w:val="center"/>
          </w:tcPr>
          <w:p w14:paraId="21EAD395" w14:textId="77777777" w:rsidR="00C02929" w:rsidRDefault="00CD5E41">
            <w:pPr>
              <w:ind w:leftChars="-25" w:left="-60" w:rightChars="-25" w:right="-60"/>
              <w:rPr>
                <w:rFonts w:ascii="Times New Roman" w:hAnsi="Times New Roman" w:cs="Times New Roman"/>
                <w:sz w:val="21"/>
                <w:szCs w:val="21"/>
              </w:rPr>
            </w:pPr>
            <w:hyperlink r:id="rId40" w:anchor="营业成本!A1" w:history="1">
              <w:r w:rsidR="006116D1">
                <w:rPr>
                  <w:rFonts w:ascii="Times New Roman" w:hAnsi="Times New Roman" w:cs="Times New Roman" w:hint="eastAsia"/>
                  <w:sz w:val="21"/>
                  <w:szCs w:val="21"/>
                </w:rPr>
                <w:t>减：营业成本</w:t>
              </w:r>
            </w:hyperlink>
          </w:p>
        </w:tc>
        <w:tc>
          <w:tcPr>
            <w:tcW w:w="624" w:type="pct"/>
            <w:shd w:val="clear" w:color="auto" w:fill="auto"/>
            <w:noWrap/>
            <w:vAlign w:val="center"/>
          </w:tcPr>
          <w:p w14:paraId="48C3BCF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6,835.47</w:t>
            </w:r>
          </w:p>
        </w:tc>
        <w:tc>
          <w:tcPr>
            <w:tcW w:w="651" w:type="pct"/>
            <w:shd w:val="clear" w:color="auto" w:fill="auto"/>
            <w:noWrap/>
            <w:vAlign w:val="center"/>
          </w:tcPr>
          <w:p w14:paraId="1836292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19,304.50</w:t>
            </w:r>
          </w:p>
        </w:tc>
        <w:tc>
          <w:tcPr>
            <w:tcW w:w="563" w:type="pct"/>
            <w:shd w:val="clear" w:color="auto" w:fill="auto"/>
            <w:noWrap/>
            <w:vAlign w:val="center"/>
          </w:tcPr>
          <w:p w14:paraId="70D57E9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21,358.89</w:t>
            </w:r>
          </w:p>
        </w:tc>
        <w:tc>
          <w:tcPr>
            <w:tcW w:w="572" w:type="pct"/>
            <w:shd w:val="clear" w:color="auto" w:fill="auto"/>
            <w:noWrap/>
            <w:vAlign w:val="center"/>
          </w:tcPr>
          <w:p w14:paraId="4965E38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22,961.40</w:t>
            </w:r>
          </w:p>
        </w:tc>
        <w:tc>
          <w:tcPr>
            <w:tcW w:w="589" w:type="pct"/>
            <w:shd w:val="clear" w:color="auto" w:fill="auto"/>
            <w:noWrap/>
            <w:vAlign w:val="center"/>
          </w:tcPr>
          <w:p w14:paraId="64D7BF1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24,222.00</w:t>
            </w:r>
          </w:p>
        </w:tc>
        <w:tc>
          <w:tcPr>
            <w:tcW w:w="607" w:type="pct"/>
            <w:shd w:val="clear" w:color="auto" w:fill="auto"/>
            <w:noWrap/>
            <w:vAlign w:val="center"/>
          </w:tcPr>
          <w:p w14:paraId="43CA9C8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c>
          <w:tcPr>
            <w:tcW w:w="587" w:type="pct"/>
            <w:shd w:val="clear" w:color="auto" w:fill="auto"/>
            <w:noWrap/>
            <w:vAlign w:val="center"/>
          </w:tcPr>
          <w:p w14:paraId="4EE4230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24,948.00</w:t>
            </w:r>
          </w:p>
        </w:tc>
      </w:tr>
      <w:tr w:rsidR="00C02929" w14:paraId="15156395" w14:textId="77777777" w:rsidTr="001F3E46">
        <w:trPr>
          <w:trHeight w:val="397"/>
        </w:trPr>
        <w:tc>
          <w:tcPr>
            <w:tcW w:w="803" w:type="pct"/>
            <w:shd w:val="clear" w:color="auto" w:fill="auto"/>
            <w:noWrap/>
            <w:vAlign w:val="center"/>
          </w:tcPr>
          <w:p w14:paraId="0AFDB517" w14:textId="77777777" w:rsidR="00C02929" w:rsidRDefault="00CD5E41">
            <w:pPr>
              <w:ind w:leftChars="-25" w:left="-60" w:rightChars="-25" w:right="-60"/>
              <w:rPr>
                <w:rFonts w:ascii="Times New Roman" w:hAnsi="Times New Roman" w:cs="Times New Roman"/>
                <w:sz w:val="21"/>
                <w:szCs w:val="21"/>
              </w:rPr>
            </w:pPr>
            <w:hyperlink r:id="rId41" w:anchor="RANGE!A1" w:history="1">
              <w:r w:rsidR="006116D1">
                <w:rPr>
                  <w:rFonts w:ascii="Times New Roman" w:hAnsi="Times New Roman" w:cs="Times New Roman" w:hint="eastAsia"/>
                  <w:sz w:val="21"/>
                  <w:szCs w:val="21"/>
                </w:rPr>
                <w:t>营业税金及附加</w:t>
              </w:r>
            </w:hyperlink>
          </w:p>
        </w:tc>
        <w:tc>
          <w:tcPr>
            <w:tcW w:w="624" w:type="pct"/>
            <w:shd w:val="clear" w:color="auto" w:fill="auto"/>
            <w:noWrap/>
            <w:vAlign w:val="center"/>
          </w:tcPr>
          <w:p w14:paraId="4218F9A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67.03</w:t>
            </w:r>
          </w:p>
        </w:tc>
        <w:tc>
          <w:tcPr>
            <w:tcW w:w="651" w:type="pct"/>
            <w:shd w:val="clear" w:color="auto" w:fill="auto"/>
            <w:noWrap/>
            <w:vAlign w:val="center"/>
          </w:tcPr>
          <w:p w14:paraId="532DCA9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155.36</w:t>
            </w:r>
          </w:p>
        </w:tc>
        <w:tc>
          <w:tcPr>
            <w:tcW w:w="563" w:type="pct"/>
            <w:shd w:val="clear" w:color="auto" w:fill="auto"/>
            <w:noWrap/>
            <w:vAlign w:val="center"/>
          </w:tcPr>
          <w:p w14:paraId="1EC1DDA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172.05</w:t>
            </w:r>
          </w:p>
        </w:tc>
        <w:tc>
          <w:tcPr>
            <w:tcW w:w="572" w:type="pct"/>
            <w:shd w:val="clear" w:color="auto" w:fill="auto"/>
            <w:noWrap/>
            <w:vAlign w:val="center"/>
          </w:tcPr>
          <w:p w14:paraId="0E61C8A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185.07</w:t>
            </w:r>
          </w:p>
        </w:tc>
        <w:tc>
          <w:tcPr>
            <w:tcW w:w="589" w:type="pct"/>
            <w:shd w:val="clear" w:color="auto" w:fill="auto"/>
            <w:noWrap/>
            <w:vAlign w:val="center"/>
          </w:tcPr>
          <w:p w14:paraId="585B9F3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195.31</w:t>
            </w:r>
          </w:p>
        </w:tc>
        <w:tc>
          <w:tcPr>
            <w:tcW w:w="607" w:type="pct"/>
            <w:shd w:val="clear" w:color="auto" w:fill="auto"/>
            <w:noWrap/>
            <w:vAlign w:val="center"/>
          </w:tcPr>
          <w:p w14:paraId="4DF7ADB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c>
          <w:tcPr>
            <w:tcW w:w="587" w:type="pct"/>
            <w:shd w:val="clear" w:color="auto" w:fill="auto"/>
            <w:noWrap/>
            <w:vAlign w:val="center"/>
          </w:tcPr>
          <w:p w14:paraId="31D009D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201.21</w:t>
            </w:r>
          </w:p>
        </w:tc>
      </w:tr>
      <w:tr w:rsidR="00C02929" w14:paraId="17EEF0DD" w14:textId="77777777" w:rsidTr="001F3E46">
        <w:trPr>
          <w:trHeight w:val="397"/>
        </w:trPr>
        <w:tc>
          <w:tcPr>
            <w:tcW w:w="803" w:type="pct"/>
            <w:shd w:val="clear" w:color="auto" w:fill="auto"/>
            <w:noWrap/>
            <w:vAlign w:val="center"/>
          </w:tcPr>
          <w:p w14:paraId="7099F7A2" w14:textId="77777777" w:rsidR="00C02929" w:rsidRDefault="00CD5E41">
            <w:pPr>
              <w:ind w:leftChars="-25" w:left="-60" w:rightChars="-25" w:right="-60"/>
              <w:rPr>
                <w:rFonts w:ascii="Times New Roman" w:hAnsi="Times New Roman" w:cs="Times New Roman"/>
                <w:sz w:val="21"/>
                <w:szCs w:val="21"/>
              </w:rPr>
            </w:pPr>
            <w:hyperlink r:id="rId42" w:anchor="销售费用!A1" w:history="1">
              <w:r w:rsidR="006116D1">
                <w:rPr>
                  <w:rFonts w:ascii="Times New Roman" w:hAnsi="Times New Roman" w:cs="Times New Roman" w:hint="eastAsia"/>
                  <w:sz w:val="21"/>
                  <w:szCs w:val="21"/>
                </w:rPr>
                <w:t>销售费用</w:t>
              </w:r>
            </w:hyperlink>
          </w:p>
        </w:tc>
        <w:tc>
          <w:tcPr>
            <w:tcW w:w="624" w:type="pct"/>
            <w:shd w:val="clear" w:color="auto" w:fill="auto"/>
            <w:noWrap/>
            <w:vAlign w:val="center"/>
          </w:tcPr>
          <w:p w14:paraId="5DBDFE0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352.04</w:t>
            </w:r>
          </w:p>
        </w:tc>
        <w:tc>
          <w:tcPr>
            <w:tcW w:w="651" w:type="pct"/>
            <w:shd w:val="clear" w:color="auto" w:fill="auto"/>
            <w:noWrap/>
            <w:vAlign w:val="center"/>
          </w:tcPr>
          <w:p w14:paraId="5CC66BD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891.33</w:t>
            </w:r>
          </w:p>
        </w:tc>
        <w:tc>
          <w:tcPr>
            <w:tcW w:w="563" w:type="pct"/>
            <w:shd w:val="clear" w:color="auto" w:fill="auto"/>
            <w:noWrap/>
            <w:vAlign w:val="center"/>
          </w:tcPr>
          <w:p w14:paraId="432309A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982.01</w:t>
            </w:r>
          </w:p>
        </w:tc>
        <w:tc>
          <w:tcPr>
            <w:tcW w:w="572" w:type="pct"/>
            <w:shd w:val="clear" w:color="auto" w:fill="auto"/>
            <w:noWrap/>
            <w:vAlign w:val="center"/>
          </w:tcPr>
          <w:p w14:paraId="3235B4D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1,062.29</w:t>
            </w:r>
          </w:p>
        </w:tc>
        <w:tc>
          <w:tcPr>
            <w:tcW w:w="589" w:type="pct"/>
            <w:shd w:val="clear" w:color="auto" w:fill="auto"/>
            <w:noWrap/>
            <w:vAlign w:val="center"/>
          </w:tcPr>
          <w:p w14:paraId="5166806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1,116.15</w:t>
            </w:r>
          </w:p>
        </w:tc>
        <w:tc>
          <w:tcPr>
            <w:tcW w:w="607" w:type="pct"/>
            <w:shd w:val="clear" w:color="auto" w:fill="auto"/>
            <w:noWrap/>
            <w:vAlign w:val="center"/>
          </w:tcPr>
          <w:p w14:paraId="6458DE6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c>
          <w:tcPr>
            <w:tcW w:w="587" w:type="pct"/>
            <w:shd w:val="clear" w:color="auto" w:fill="auto"/>
            <w:noWrap/>
            <w:vAlign w:val="center"/>
          </w:tcPr>
          <w:p w14:paraId="4058562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1,147.77</w:t>
            </w:r>
          </w:p>
        </w:tc>
      </w:tr>
      <w:tr w:rsidR="00C02929" w14:paraId="12A1C35D" w14:textId="77777777" w:rsidTr="001F3E46">
        <w:trPr>
          <w:trHeight w:val="397"/>
        </w:trPr>
        <w:tc>
          <w:tcPr>
            <w:tcW w:w="803" w:type="pct"/>
            <w:shd w:val="clear" w:color="auto" w:fill="auto"/>
            <w:noWrap/>
            <w:vAlign w:val="center"/>
          </w:tcPr>
          <w:p w14:paraId="449B1312" w14:textId="77777777" w:rsidR="00C02929" w:rsidRDefault="00CD5E41">
            <w:pPr>
              <w:ind w:leftChars="-25" w:left="-60" w:rightChars="-25" w:right="-60"/>
              <w:rPr>
                <w:rFonts w:ascii="Times New Roman" w:hAnsi="Times New Roman" w:cs="Times New Roman"/>
                <w:sz w:val="21"/>
                <w:szCs w:val="21"/>
              </w:rPr>
            </w:pPr>
            <w:hyperlink r:id="rId43" w:anchor="管理费用!A1" w:history="1">
              <w:r w:rsidR="006116D1">
                <w:rPr>
                  <w:rFonts w:ascii="Times New Roman" w:hAnsi="Times New Roman" w:cs="Times New Roman" w:hint="eastAsia"/>
                  <w:sz w:val="21"/>
                  <w:szCs w:val="21"/>
                </w:rPr>
                <w:t>管理费用</w:t>
              </w:r>
            </w:hyperlink>
          </w:p>
        </w:tc>
        <w:tc>
          <w:tcPr>
            <w:tcW w:w="624" w:type="pct"/>
            <w:shd w:val="clear" w:color="auto" w:fill="auto"/>
            <w:noWrap/>
            <w:vAlign w:val="center"/>
          </w:tcPr>
          <w:p w14:paraId="0C3769A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694.96</w:t>
            </w:r>
          </w:p>
        </w:tc>
        <w:tc>
          <w:tcPr>
            <w:tcW w:w="651" w:type="pct"/>
            <w:shd w:val="clear" w:color="auto" w:fill="auto"/>
            <w:noWrap/>
            <w:vAlign w:val="center"/>
          </w:tcPr>
          <w:p w14:paraId="44DC72B9"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2,053.60</w:t>
            </w:r>
          </w:p>
        </w:tc>
        <w:tc>
          <w:tcPr>
            <w:tcW w:w="563" w:type="pct"/>
            <w:shd w:val="clear" w:color="auto" w:fill="auto"/>
            <w:noWrap/>
            <w:vAlign w:val="center"/>
          </w:tcPr>
          <w:p w14:paraId="5829FB3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2,324.17</w:t>
            </w:r>
          </w:p>
        </w:tc>
        <w:tc>
          <w:tcPr>
            <w:tcW w:w="572" w:type="pct"/>
            <w:shd w:val="clear" w:color="auto" w:fill="auto"/>
            <w:noWrap/>
            <w:vAlign w:val="center"/>
          </w:tcPr>
          <w:p w14:paraId="5D988A2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2,545.42</w:t>
            </w:r>
          </w:p>
        </w:tc>
        <w:tc>
          <w:tcPr>
            <w:tcW w:w="589" w:type="pct"/>
            <w:shd w:val="clear" w:color="auto" w:fill="auto"/>
            <w:noWrap/>
            <w:vAlign w:val="center"/>
          </w:tcPr>
          <w:p w14:paraId="3FF829E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2,674.11</w:t>
            </w:r>
          </w:p>
        </w:tc>
        <w:tc>
          <w:tcPr>
            <w:tcW w:w="607" w:type="pct"/>
            <w:shd w:val="clear" w:color="auto" w:fill="auto"/>
            <w:noWrap/>
            <w:vAlign w:val="center"/>
          </w:tcPr>
          <w:p w14:paraId="2E6D07F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c>
          <w:tcPr>
            <w:tcW w:w="587" w:type="pct"/>
            <w:shd w:val="clear" w:color="auto" w:fill="auto"/>
            <w:noWrap/>
            <w:vAlign w:val="center"/>
          </w:tcPr>
          <w:p w14:paraId="27D788A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2,778.33</w:t>
            </w:r>
          </w:p>
        </w:tc>
      </w:tr>
      <w:tr w:rsidR="00C02929" w14:paraId="79CFAD9F" w14:textId="77777777" w:rsidTr="001F3E46">
        <w:trPr>
          <w:trHeight w:val="397"/>
        </w:trPr>
        <w:tc>
          <w:tcPr>
            <w:tcW w:w="803" w:type="pct"/>
            <w:shd w:val="clear" w:color="auto" w:fill="auto"/>
            <w:noWrap/>
            <w:vAlign w:val="center"/>
          </w:tcPr>
          <w:p w14:paraId="62D07AB5"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研发费用</w:t>
            </w:r>
          </w:p>
        </w:tc>
        <w:tc>
          <w:tcPr>
            <w:tcW w:w="624" w:type="pct"/>
            <w:shd w:val="clear" w:color="auto" w:fill="auto"/>
            <w:noWrap/>
            <w:vAlign w:val="center"/>
          </w:tcPr>
          <w:p w14:paraId="73006D3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721.37</w:t>
            </w:r>
          </w:p>
        </w:tc>
        <w:tc>
          <w:tcPr>
            <w:tcW w:w="651" w:type="pct"/>
            <w:shd w:val="clear" w:color="auto" w:fill="auto"/>
            <w:noWrap/>
            <w:vAlign w:val="center"/>
          </w:tcPr>
          <w:p w14:paraId="726B7DD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2,367.36</w:t>
            </w:r>
          </w:p>
        </w:tc>
        <w:tc>
          <w:tcPr>
            <w:tcW w:w="563" w:type="pct"/>
            <w:shd w:val="clear" w:color="auto" w:fill="auto"/>
            <w:noWrap/>
            <w:vAlign w:val="center"/>
          </w:tcPr>
          <w:p w14:paraId="20C6D83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2,713.05</w:t>
            </w:r>
          </w:p>
        </w:tc>
        <w:tc>
          <w:tcPr>
            <w:tcW w:w="572" w:type="pct"/>
            <w:shd w:val="clear" w:color="auto" w:fill="auto"/>
            <w:noWrap/>
            <w:vAlign w:val="center"/>
          </w:tcPr>
          <w:p w14:paraId="0761008F"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2,977.88</w:t>
            </w:r>
          </w:p>
        </w:tc>
        <w:tc>
          <w:tcPr>
            <w:tcW w:w="589" w:type="pct"/>
            <w:shd w:val="clear" w:color="auto" w:fill="auto"/>
            <w:noWrap/>
            <w:vAlign w:val="center"/>
          </w:tcPr>
          <w:p w14:paraId="2F5F343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3,128.79</w:t>
            </w:r>
          </w:p>
        </w:tc>
        <w:tc>
          <w:tcPr>
            <w:tcW w:w="607" w:type="pct"/>
            <w:shd w:val="clear" w:color="auto" w:fill="auto"/>
            <w:noWrap/>
            <w:vAlign w:val="center"/>
          </w:tcPr>
          <w:p w14:paraId="7263A3C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c>
          <w:tcPr>
            <w:tcW w:w="587" w:type="pct"/>
            <w:shd w:val="clear" w:color="auto" w:fill="auto"/>
            <w:noWrap/>
            <w:vAlign w:val="center"/>
          </w:tcPr>
          <w:p w14:paraId="7390170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3,201.96</w:t>
            </w:r>
          </w:p>
        </w:tc>
      </w:tr>
      <w:tr w:rsidR="00C02929" w14:paraId="3C0D47EC" w14:textId="77777777" w:rsidTr="001F3E46">
        <w:trPr>
          <w:trHeight w:val="397"/>
        </w:trPr>
        <w:tc>
          <w:tcPr>
            <w:tcW w:w="803" w:type="pct"/>
            <w:shd w:val="clear" w:color="auto" w:fill="auto"/>
            <w:noWrap/>
            <w:vAlign w:val="center"/>
          </w:tcPr>
          <w:p w14:paraId="2F449D61" w14:textId="77777777" w:rsidR="00C02929" w:rsidRDefault="00CD5E41">
            <w:pPr>
              <w:ind w:leftChars="-25" w:left="-60" w:rightChars="-25" w:right="-60"/>
              <w:rPr>
                <w:rFonts w:ascii="Times New Roman" w:hAnsi="Times New Roman" w:cs="Times New Roman"/>
                <w:sz w:val="21"/>
                <w:szCs w:val="21"/>
              </w:rPr>
            </w:pPr>
            <w:hyperlink r:id="rId44" w:anchor="财务费用!A1" w:history="1">
              <w:r w:rsidR="006116D1">
                <w:rPr>
                  <w:rFonts w:ascii="Times New Roman" w:hAnsi="Times New Roman" w:cs="Times New Roman" w:hint="eastAsia"/>
                  <w:sz w:val="21"/>
                  <w:szCs w:val="21"/>
                </w:rPr>
                <w:t>财务费用</w:t>
              </w:r>
            </w:hyperlink>
          </w:p>
        </w:tc>
        <w:tc>
          <w:tcPr>
            <w:tcW w:w="624" w:type="pct"/>
            <w:shd w:val="clear" w:color="auto" w:fill="auto"/>
            <w:noWrap/>
            <w:vAlign w:val="center"/>
          </w:tcPr>
          <w:p w14:paraId="76566C6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2.99</w:t>
            </w:r>
          </w:p>
        </w:tc>
        <w:tc>
          <w:tcPr>
            <w:tcW w:w="651" w:type="pct"/>
            <w:shd w:val="clear" w:color="auto" w:fill="auto"/>
            <w:noWrap/>
            <w:vAlign w:val="center"/>
          </w:tcPr>
          <w:p w14:paraId="6C888C6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7.49</w:t>
            </w:r>
          </w:p>
        </w:tc>
        <w:tc>
          <w:tcPr>
            <w:tcW w:w="563" w:type="pct"/>
            <w:shd w:val="clear" w:color="auto" w:fill="auto"/>
            <w:noWrap/>
            <w:vAlign w:val="center"/>
          </w:tcPr>
          <w:p w14:paraId="4D7FD44A"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8.29</w:t>
            </w:r>
          </w:p>
        </w:tc>
        <w:tc>
          <w:tcPr>
            <w:tcW w:w="572" w:type="pct"/>
            <w:shd w:val="clear" w:color="auto" w:fill="auto"/>
            <w:noWrap/>
            <w:vAlign w:val="center"/>
          </w:tcPr>
          <w:p w14:paraId="3BFFF89E"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8.91</w:t>
            </w:r>
          </w:p>
        </w:tc>
        <w:tc>
          <w:tcPr>
            <w:tcW w:w="589" w:type="pct"/>
            <w:shd w:val="clear" w:color="auto" w:fill="auto"/>
            <w:noWrap/>
            <w:vAlign w:val="center"/>
          </w:tcPr>
          <w:p w14:paraId="65F1A82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9.40</w:t>
            </w:r>
          </w:p>
        </w:tc>
        <w:tc>
          <w:tcPr>
            <w:tcW w:w="607" w:type="pct"/>
            <w:shd w:val="clear" w:color="auto" w:fill="auto"/>
            <w:noWrap/>
            <w:vAlign w:val="center"/>
          </w:tcPr>
          <w:p w14:paraId="02CCC97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c>
          <w:tcPr>
            <w:tcW w:w="587" w:type="pct"/>
            <w:shd w:val="clear" w:color="auto" w:fill="auto"/>
            <w:noWrap/>
            <w:vAlign w:val="center"/>
          </w:tcPr>
          <w:p w14:paraId="0558D5C3"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9.69</w:t>
            </w:r>
          </w:p>
        </w:tc>
      </w:tr>
      <w:tr w:rsidR="00C02929" w14:paraId="5127A13B" w14:textId="77777777" w:rsidTr="001F3E46">
        <w:trPr>
          <w:trHeight w:val="397"/>
        </w:trPr>
        <w:tc>
          <w:tcPr>
            <w:tcW w:w="803" w:type="pct"/>
            <w:shd w:val="clear" w:color="auto" w:fill="auto"/>
            <w:noWrap/>
            <w:vAlign w:val="center"/>
          </w:tcPr>
          <w:p w14:paraId="648D0E67"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信用减值损失</w:t>
            </w:r>
          </w:p>
        </w:tc>
        <w:tc>
          <w:tcPr>
            <w:tcW w:w="624" w:type="pct"/>
            <w:shd w:val="clear" w:color="auto" w:fill="auto"/>
            <w:noWrap/>
            <w:vAlign w:val="center"/>
          </w:tcPr>
          <w:p w14:paraId="126E62A2"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2FCA92D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096FAEC7"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1C90C10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78497D2F"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36545FE6"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5DEFBCB7"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76336952" w14:textId="77777777" w:rsidTr="001F3E46">
        <w:trPr>
          <w:trHeight w:val="397"/>
        </w:trPr>
        <w:tc>
          <w:tcPr>
            <w:tcW w:w="803" w:type="pct"/>
            <w:shd w:val="clear" w:color="auto" w:fill="auto"/>
            <w:noWrap/>
            <w:vAlign w:val="center"/>
          </w:tcPr>
          <w:p w14:paraId="78612BB9"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加：公允价值变动收益</w:t>
            </w:r>
          </w:p>
        </w:tc>
        <w:tc>
          <w:tcPr>
            <w:tcW w:w="624" w:type="pct"/>
            <w:shd w:val="clear" w:color="auto" w:fill="auto"/>
            <w:noWrap/>
            <w:vAlign w:val="center"/>
          </w:tcPr>
          <w:p w14:paraId="42D74980"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582B7F8D"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17C92C1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1BACA54E"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494E50FD"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5C85E7D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181B9BC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52083905" w14:textId="77777777" w:rsidTr="001F3E46">
        <w:trPr>
          <w:trHeight w:val="397"/>
        </w:trPr>
        <w:tc>
          <w:tcPr>
            <w:tcW w:w="803" w:type="pct"/>
            <w:shd w:val="clear" w:color="auto" w:fill="auto"/>
            <w:noWrap/>
            <w:vAlign w:val="center"/>
          </w:tcPr>
          <w:p w14:paraId="2D5C54B1"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投资收益</w:t>
            </w:r>
          </w:p>
        </w:tc>
        <w:tc>
          <w:tcPr>
            <w:tcW w:w="624" w:type="pct"/>
            <w:shd w:val="clear" w:color="auto" w:fill="auto"/>
            <w:noWrap/>
            <w:vAlign w:val="center"/>
          </w:tcPr>
          <w:p w14:paraId="4A29E557"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445008AE"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4D69DF6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71ABD38B"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67DF81FE"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048AC8E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5B4A721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17883E9E" w14:textId="77777777" w:rsidTr="001F3E46">
        <w:trPr>
          <w:trHeight w:val="397"/>
        </w:trPr>
        <w:tc>
          <w:tcPr>
            <w:tcW w:w="803" w:type="pct"/>
            <w:shd w:val="clear" w:color="auto" w:fill="auto"/>
            <w:vAlign w:val="center"/>
          </w:tcPr>
          <w:p w14:paraId="20804C09"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其中：对联营企业和合营企业的投资收益</w:t>
            </w:r>
          </w:p>
        </w:tc>
        <w:tc>
          <w:tcPr>
            <w:tcW w:w="624" w:type="pct"/>
            <w:shd w:val="clear" w:color="auto" w:fill="auto"/>
            <w:noWrap/>
            <w:vAlign w:val="center"/>
          </w:tcPr>
          <w:p w14:paraId="74F1B93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785BDC9B"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772B0DEE"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49C26BC1"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42ACB48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7696DB69"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146C3DB6"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2B80DEC9" w14:textId="77777777" w:rsidTr="001F3E46">
        <w:trPr>
          <w:trHeight w:val="397"/>
        </w:trPr>
        <w:tc>
          <w:tcPr>
            <w:tcW w:w="803" w:type="pct"/>
            <w:shd w:val="clear" w:color="auto" w:fill="auto"/>
            <w:noWrap/>
            <w:vAlign w:val="center"/>
          </w:tcPr>
          <w:p w14:paraId="60D70285"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其他收益</w:t>
            </w:r>
          </w:p>
        </w:tc>
        <w:tc>
          <w:tcPr>
            <w:tcW w:w="624" w:type="pct"/>
            <w:shd w:val="clear" w:color="auto" w:fill="auto"/>
            <w:noWrap/>
            <w:vAlign w:val="center"/>
          </w:tcPr>
          <w:p w14:paraId="3388A15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1BA1D468"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2A5E58CC"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00815ABD"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7D82A2DA"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17AE8D1F"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1E6889F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3FCC09D0" w14:textId="77777777" w:rsidTr="001F3E46">
        <w:trPr>
          <w:trHeight w:val="397"/>
        </w:trPr>
        <w:tc>
          <w:tcPr>
            <w:tcW w:w="803" w:type="pct"/>
            <w:shd w:val="clear" w:color="auto" w:fill="auto"/>
            <w:noWrap/>
            <w:vAlign w:val="center"/>
          </w:tcPr>
          <w:p w14:paraId="09EF7EA5" w14:textId="77777777" w:rsidR="00C02929" w:rsidRDefault="006116D1">
            <w:pPr>
              <w:ind w:leftChars="-25" w:left="-60" w:rightChars="-25" w:right="-60"/>
              <w:outlineLvl w:val="4"/>
              <w:rPr>
                <w:rFonts w:ascii="Times New Roman" w:hAnsi="Times New Roman" w:cs="Times New Roman"/>
                <w:sz w:val="21"/>
                <w:szCs w:val="21"/>
              </w:rPr>
            </w:pPr>
            <w:r>
              <w:rPr>
                <w:rFonts w:ascii="Times New Roman" w:hAnsi="Times New Roman" w:cs="Times New Roman" w:hint="eastAsia"/>
                <w:sz w:val="21"/>
                <w:szCs w:val="21"/>
              </w:rPr>
              <w:t>资产处置收益</w:t>
            </w:r>
          </w:p>
        </w:tc>
        <w:tc>
          <w:tcPr>
            <w:tcW w:w="624" w:type="pct"/>
            <w:shd w:val="clear" w:color="auto" w:fill="auto"/>
            <w:noWrap/>
            <w:vAlign w:val="center"/>
          </w:tcPr>
          <w:p w14:paraId="43DA273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231ED6A0"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711C7EB4"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6D35C3A3"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429F34FB"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70C06942"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2092EE48" w14:textId="77777777" w:rsidR="00C02929" w:rsidRDefault="006116D1">
            <w:pPr>
              <w:ind w:leftChars="-25" w:left="-60" w:rightChars="-25" w:right="-60"/>
              <w:jc w:val="right"/>
              <w:outlineLvl w:val="4"/>
              <w:rPr>
                <w:rFonts w:ascii="Times New Roman" w:hAnsi="Times New Roman" w:cs="Times New Roman"/>
                <w:sz w:val="21"/>
                <w:szCs w:val="21"/>
              </w:rPr>
            </w:pPr>
            <w:r>
              <w:rPr>
                <w:rFonts w:ascii="Times New Roman" w:hAnsi="Times New Roman" w:cs="Times New Roman"/>
                <w:sz w:val="21"/>
                <w:szCs w:val="21"/>
              </w:rPr>
              <w:t>-</w:t>
            </w:r>
          </w:p>
        </w:tc>
      </w:tr>
      <w:tr w:rsidR="00C02929" w14:paraId="26F6E780" w14:textId="77777777" w:rsidTr="001F3E46">
        <w:trPr>
          <w:trHeight w:val="397"/>
        </w:trPr>
        <w:tc>
          <w:tcPr>
            <w:tcW w:w="803" w:type="pct"/>
            <w:shd w:val="clear" w:color="auto" w:fill="auto"/>
            <w:noWrap/>
            <w:vAlign w:val="center"/>
          </w:tcPr>
          <w:p w14:paraId="11A1393F" w14:textId="77777777" w:rsidR="00C02929" w:rsidRDefault="006116D1">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二、营业利润</w:t>
            </w:r>
          </w:p>
        </w:tc>
        <w:tc>
          <w:tcPr>
            <w:tcW w:w="624" w:type="pct"/>
            <w:shd w:val="clear" w:color="auto" w:fill="auto"/>
            <w:noWrap/>
            <w:vAlign w:val="center"/>
          </w:tcPr>
          <w:p w14:paraId="711DE0B4"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651" w:type="pct"/>
            <w:shd w:val="clear" w:color="auto" w:fill="auto"/>
            <w:noWrap/>
            <w:vAlign w:val="center"/>
          </w:tcPr>
          <w:p w14:paraId="224249C9"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63" w:type="pct"/>
            <w:shd w:val="clear" w:color="auto" w:fill="auto"/>
            <w:noWrap/>
            <w:vAlign w:val="center"/>
          </w:tcPr>
          <w:p w14:paraId="6415692D"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72" w:type="pct"/>
            <w:shd w:val="clear" w:color="auto" w:fill="auto"/>
            <w:noWrap/>
            <w:vAlign w:val="center"/>
          </w:tcPr>
          <w:p w14:paraId="2470D64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89" w:type="pct"/>
            <w:shd w:val="clear" w:color="auto" w:fill="auto"/>
            <w:noWrap/>
            <w:vAlign w:val="center"/>
          </w:tcPr>
          <w:p w14:paraId="17D9A0C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607" w:type="pct"/>
            <w:shd w:val="clear" w:color="auto" w:fill="auto"/>
            <w:noWrap/>
            <w:vAlign w:val="center"/>
          </w:tcPr>
          <w:p w14:paraId="12FA18F0"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87" w:type="pct"/>
            <w:shd w:val="clear" w:color="auto" w:fill="auto"/>
            <w:noWrap/>
            <w:vAlign w:val="center"/>
          </w:tcPr>
          <w:p w14:paraId="1F9B617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C02929" w14:paraId="48BF73C7" w14:textId="77777777" w:rsidTr="001F3E46">
        <w:trPr>
          <w:trHeight w:val="397"/>
        </w:trPr>
        <w:tc>
          <w:tcPr>
            <w:tcW w:w="803" w:type="pct"/>
            <w:shd w:val="clear" w:color="auto" w:fill="auto"/>
            <w:noWrap/>
            <w:vAlign w:val="center"/>
          </w:tcPr>
          <w:p w14:paraId="691BE819"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加：营业外收入</w:t>
            </w:r>
          </w:p>
        </w:tc>
        <w:tc>
          <w:tcPr>
            <w:tcW w:w="624" w:type="pct"/>
            <w:shd w:val="clear" w:color="auto" w:fill="auto"/>
            <w:noWrap/>
            <w:vAlign w:val="center"/>
          </w:tcPr>
          <w:p w14:paraId="6EA3F5AC"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2314CB9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6FD2F5F5"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0B32A84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316D56A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4AA0F48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1BD1553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79BBBBAC" w14:textId="77777777" w:rsidTr="001F3E46">
        <w:trPr>
          <w:trHeight w:val="397"/>
        </w:trPr>
        <w:tc>
          <w:tcPr>
            <w:tcW w:w="803" w:type="pct"/>
            <w:shd w:val="clear" w:color="auto" w:fill="auto"/>
            <w:noWrap/>
            <w:vAlign w:val="center"/>
          </w:tcPr>
          <w:p w14:paraId="73C96DBC"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减：营业外支出</w:t>
            </w:r>
          </w:p>
        </w:tc>
        <w:tc>
          <w:tcPr>
            <w:tcW w:w="624" w:type="pct"/>
            <w:shd w:val="clear" w:color="auto" w:fill="auto"/>
            <w:noWrap/>
            <w:vAlign w:val="center"/>
          </w:tcPr>
          <w:p w14:paraId="1183BA57"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51" w:type="pct"/>
            <w:shd w:val="clear" w:color="auto" w:fill="auto"/>
            <w:noWrap/>
            <w:vAlign w:val="center"/>
          </w:tcPr>
          <w:p w14:paraId="05904498"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63" w:type="pct"/>
            <w:shd w:val="clear" w:color="auto" w:fill="auto"/>
            <w:noWrap/>
            <w:vAlign w:val="center"/>
          </w:tcPr>
          <w:p w14:paraId="0AA43C69"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72" w:type="pct"/>
            <w:shd w:val="clear" w:color="auto" w:fill="auto"/>
            <w:noWrap/>
            <w:vAlign w:val="center"/>
          </w:tcPr>
          <w:p w14:paraId="59AE3CA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9" w:type="pct"/>
            <w:shd w:val="clear" w:color="auto" w:fill="auto"/>
            <w:noWrap/>
            <w:vAlign w:val="center"/>
          </w:tcPr>
          <w:p w14:paraId="0C5A52A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607" w:type="pct"/>
            <w:shd w:val="clear" w:color="auto" w:fill="auto"/>
            <w:noWrap/>
            <w:vAlign w:val="center"/>
          </w:tcPr>
          <w:p w14:paraId="00208A30"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c>
          <w:tcPr>
            <w:tcW w:w="587" w:type="pct"/>
            <w:shd w:val="clear" w:color="auto" w:fill="auto"/>
            <w:noWrap/>
            <w:vAlign w:val="center"/>
          </w:tcPr>
          <w:p w14:paraId="7B62008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11057491" w14:textId="77777777" w:rsidTr="001F3E46">
        <w:trPr>
          <w:trHeight w:val="397"/>
        </w:trPr>
        <w:tc>
          <w:tcPr>
            <w:tcW w:w="803" w:type="pct"/>
            <w:shd w:val="clear" w:color="auto" w:fill="auto"/>
            <w:vAlign w:val="center"/>
          </w:tcPr>
          <w:p w14:paraId="321BA25B" w14:textId="77777777" w:rsidR="00C02929" w:rsidRDefault="006116D1">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三、利润总额</w:t>
            </w:r>
          </w:p>
        </w:tc>
        <w:tc>
          <w:tcPr>
            <w:tcW w:w="624" w:type="pct"/>
            <w:shd w:val="clear" w:color="auto" w:fill="auto"/>
            <w:noWrap/>
            <w:vAlign w:val="center"/>
          </w:tcPr>
          <w:p w14:paraId="6930540C"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651" w:type="pct"/>
            <w:shd w:val="clear" w:color="auto" w:fill="auto"/>
            <w:noWrap/>
            <w:vAlign w:val="center"/>
          </w:tcPr>
          <w:p w14:paraId="7E154C2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63" w:type="pct"/>
            <w:shd w:val="clear" w:color="auto" w:fill="auto"/>
            <w:noWrap/>
            <w:vAlign w:val="center"/>
          </w:tcPr>
          <w:p w14:paraId="1216DD9E"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72" w:type="pct"/>
            <w:shd w:val="clear" w:color="auto" w:fill="auto"/>
            <w:noWrap/>
            <w:vAlign w:val="center"/>
          </w:tcPr>
          <w:p w14:paraId="1240B67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89" w:type="pct"/>
            <w:shd w:val="clear" w:color="auto" w:fill="auto"/>
            <w:noWrap/>
            <w:vAlign w:val="center"/>
          </w:tcPr>
          <w:p w14:paraId="57A4B252"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607" w:type="pct"/>
            <w:shd w:val="clear" w:color="auto" w:fill="auto"/>
            <w:noWrap/>
            <w:vAlign w:val="center"/>
          </w:tcPr>
          <w:p w14:paraId="6459CB61"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87" w:type="pct"/>
            <w:shd w:val="clear" w:color="auto" w:fill="auto"/>
            <w:noWrap/>
            <w:vAlign w:val="center"/>
          </w:tcPr>
          <w:p w14:paraId="63DC2F0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C02929" w14:paraId="4BD9671A" w14:textId="77777777" w:rsidTr="001F3E46">
        <w:trPr>
          <w:trHeight w:val="397"/>
        </w:trPr>
        <w:tc>
          <w:tcPr>
            <w:tcW w:w="803" w:type="pct"/>
            <w:shd w:val="clear" w:color="auto" w:fill="auto"/>
            <w:vAlign w:val="center"/>
          </w:tcPr>
          <w:p w14:paraId="1955A1AA"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研发费加计扣除</w:t>
            </w:r>
          </w:p>
        </w:tc>
        <w:tc>
          <w:tcPr>
            <w:tcW w:w="624" w:type="pct"/>
            <w:shd w:val="clear" w:color="auto" w:fill="auto"/>
            <w:noWrap/>
            <w:vAlign w:val="center"/>
          </w:tcPr>
          <w:p w14:paraId="0527B91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651" w:type="pct"/>
            <w:shd w:val="clear" w:color="auto" w:fill="auto"/>
            <w:noWrap/>
            <w:vAlign w:val="center"/>
          </w:tcPr>
          <w:p w14:paraId="5FF3B7DC"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63" w:type="pct"/>
            <w:shd w:val="clear" w:color="auto" w:fill="auto"/>
            <w:noWrap/>
            <w:vAlign w:val="center"/>
          </w:tcPr>
          <w:p w14:paraId="23E16856"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72" w:type="pct"/>
            <w:shd w:val="clear" w:color="auto" w:fill="auto"/>
            <w:noWrap/>
            <w:vAlign w:val="center"/>
          </w:tcPr>
          <w:p w14:paraId="196C76EC"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9" w:type="pct"/>
            <w:shd w:val="clear" w:color="auto" w:fill="auto"/>
            <w:noWrap/>
            <w:vAlign w:val="center"/>
          </w:tcPr>
          <w:p w14:paraId="711B00BE"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607" w:type="pct"/>
            <w:shd w:val="clear" w:color="auto" w:fill="auto"/>
            <w:noWrap/>
            <w:vAlign w:val="center"/>
          </w:tcPr>
          <w:p w14:paraId="33F85E0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c>
          <w:tcPr>
            <w:tcW w:w="587" w:type="pct"/>
            <w:shd w:val="clear" w:color="auto" w:fill="auto"/>
            <w:noWrap/>
            <w:vAlign w:val="center"/>
          </w:tcPr>
          <w:p w14:paraId="5A3C06B0"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sz w:val="21"/>
                <w:szCs w:val="21"/>
              </w:rPr>
              <w:t>-</w:t>
            </w:r>
          </w:p>
        </w:tc>
      </w:tr>
      <w:tr w:rsidR="00C02929" w14:paraId="23F6F891" w14:textId="77777777" w:rsidTr="001F3E46">
        <w:trPr>
          <w:trHeight w:val="397"/>
        </w:trPr>
        <w:tc>
          <w:tcPr>
            <w:tcW w:w="803" w:type="pct"/>
            <w:shd w:val="clear" w:color="auto" w:fill="auto"/>
            <w:vAlign w:val="center"/>
          </w:tcPr>
          <w:p w14:paraId="6E553020"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加计扣除后利润</w:t>
            </w:r>
          </w:p>
        </w:tc>
        <w:tc>
          <w:tcPr>
            <w:tcW w:w="624" w:type="pct"/>
            <w:shd w:val="clear" w:color="auto" w:fill="auto"/>
            <w:noWrap/>
            <w:vAlign w:val="center"/>
          </w:tcPr>
          <w:p w14:paraId="55243A1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2,991.40</w:t>
            </w:r>
          </w:p>
        </w:tc>
        <w:tc>
          <w:tcPr>
            <w:tcW w:w="651" w:type="pct"/>
            <w:shd w:val="clear" w:color="auto" w:fill="auto"/>
            <w:noWrap/>
            <w:vAlign w:val="center"/>
          </w:tcPr>
          <w:p w14:paraId="69D5E8A9"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4,469.60</w:t>
            </w:r>
          </w:p>
        </w:tc>
        <w:tc>
          <w:tcPr>
            <w:tcW w:w="563" w:type="pct"/>
            <w:shd w:val="clear" w:color="auto" w:fill="auto"/>
            <w:noWrap/>
            <w:vAlign w:val="center"/>
          </w:tcPr>
          <w:p w14:paraId="4E4B86D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4,803.50</w:t>
            </w:r>
          </w:p>
        </w:tc>
        <w:tc>
          <w:tcPr>
            <w:tcW w:w="572" w:type="pct"/>
            <w:shd w:val="clear" w:color="auto" w:fill="auto"/>
            <w:noWrap/>
            <w:vAlign w:val="center"/>
          </w:tcPr>
          <w:p w14:paraId="4280D214"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5,049.03</w:t>
            </w:r>
          </w:p>
        </w:tc>
        <w:tc>
          <w:tcPr>
            <w:tcW w:w="589" w:type="pct"/>
            <w:shd w:val="clear" w:color="auto" w:fill="auto"/>
            <w:noWrap/>
            <w:vAlign w:val="center"/>
          </w:tcPr>
          <w:p w14:paraId="6308194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5,354.23</w:t>
            </w:r>
          </w:p>
        </w:tc>
        <w:tc>
          <w:tcPr>
            <w:tcW w:w="607" w:type="pct"/>
            <w:shd w:val="clear" w:color="auto" w:fill="auto"/>
            <w:noWrap/>
            <w:vAlign w:val="center"/>
          </w:tcPr>
          <w:p w14:paraId="48BF056C"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c>
          <w:tcPr>
            <w:tcW w:w="587" w:type="pct"/>
            <w:shd w:val="clear" w:color="auto" w:fill="auto"/>
            <w:noWrap/>
            <w:vAlign w:val="center"/>
          </w:tcPr>
          <w:p w14:paraId="633FDC65"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5,513.04</w:t>
            </w:r>
          </w:p>
        </w:tc>
      </w:tr>
      <w:tr w:rsidR="00C02929" w14:paraId="7D538CD1" w14:textId="77777777" w:rsidTr="001F3E46">
        <w:trPr>
          <w:trHeight w:val="397"/>
        </w:trPr>
        <w:tc>
          <w:tcPr>
            <w:tcW w:w="803" w:type="pct"/>
            <w:shd w:val="clear" w:color="auto" w:fill="auto"/>
            <w:vAlign w:val="center"/>
          </w:tcPr>
          <w:p w14:paraId="54AA9F67" w14:textId="77777777" w:rsidR="00C02929" w:rsidRDefault="006116D1">
            <w:pPr>
              <w:ind w:leftChars="-25" w:left="-60" w:rightChars="-25" w:right="-60"/>
              <w:rPr>
                <w:rFonts w:ascii="Times New Roman" w:hAnsi="Times New Roman" w:cs="Times New Roman"/>
                <w:sz w:val="21"/>
                <w:szCs w:val="21"/>
              </w:rPr>
            </w:pPr>
            <w:r>
              <w:rPr>
                <w:rFonts w:ascii="Times New Roman" w:hAnsi="Times New Roman" w:cs="Times New Roman" w:hint="eastAsia"/>
                <w:sz w:val="21"/>
                <w:szCs w:val="21"/>
              </w:rPr>
              <w:t>减：所得税费用（</w:t>
            </w:r>
            <w:r>
              <w:rPr>
                <w:rFonts w:ascii="Times New Roman" w:hAnsi="Times New Roman" w:cs="Times New Roman" w:hint="eastAsia"/>
                <w:sz w:val="21"/>
                <w:szCs w:val="21"/>
              </w:rPr>
              <w:t>1</w:t>
            </w:r>
            <w:r>
              <w:rPr>
                <w:rFonts w:ascii="Times New Roman" w:hAnsi="Times New Roman" w:cs="Times New Roman"/>
                <w:sz w:val="21"/>
                <w:szCs w:val="21"/>
              </w:rPr>
              <w:t>5</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624" w:type="pct"/>
            <w:shd w:val="clear" w:color="auto" w:fill="auto"/>
            <w:noWrap/>
            <w:vAlign w:val="center"/>
          </w:tcPr>
          <w:p w14:paraId="30B20C4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471.69</w:t>
            </w:r>
          </w:p>
        </w:tc>
        <w:tc>
          <w:tcPr>
            <w:tcW w:w="651" w:type="pct"/>
            <w:shd w:val="clear" w:color="auto" w:fill="auto"/>
            <w:noWrap/>
            <w:vAlign w:val="center"/>
          </w:tcPr>
          <w:p w14:paraId="398D11A6"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670.44</w:t>
            </w:r>
          </w:p>
        </w:tc>
        <w:tc>
          <w:tcPr>
            <w:tcW w:w="563" w:type="pct"/>
            <w:shd w:val="clear" w:color="auto" w:fill="auto"/>
            <w:noWrap/>
            <w:vAlign w:val="center"/>
          </w:tcPr>
          <w:p w14:paraId="73EAE6B1"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720.52</w:t>
            </w:r>
          </w:p>
        </w:tc>
        <w:tc>
          <w:tcPr>
            <w:tcW w:w="572" w:type="pct"/>
            <w:shd w:val="clear" w:color="auto" w:fill="auto"/>
            <w:noWrap/>
            <w:vAlign w:val="center"/>
          </w:tcPr>
          <w:p w14:paraId="15A108E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757.35</w:t>
            </w:r>
          </w:p>
        </w:tc>
        <w:tc>
          <w:tcPr>
            <w:tcW w:w="589" w:type="pct"/>
            <w:shd w:val="clear" w:color="auto" w:fill="auto"/>
            <w:noWrap/>
            <w:vAlign w:val="center"/>
          </w:tcPr>
          <w:p w14:paraId="5DDEDE94"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803.14</w:t>
            </w:r>
          </w:p>
        </w:tc>
        <w:tc>
          <w:tcPr>
            <w:tcW w:w="607" w:type="pct"/>
            <w:shd w:val="clear" w:color="auto" w:fill="auto"/>
            <w:noWrap/>
            <w:vAlign w:val="center"/>
          </w:tcPr>
          <w:p w14:paraId="4A0DC61B"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c>
          <w:tcPr>
            <w:tcW w:w="587" w:type="pct"/>
            <w:shd w:val="clear" w:color="auto" w:fill="auto"/>
            <w:noWrap/>
            <w:vAlign w:val="center"/>
          </w:tcPr>
          <w:p w14:paraId="0D75DAB2" w14:textId="77777777" w:rsidR="00C02929" w:rsidRDefault="006116D1">
            <w:pPr>
              <w:ind w:leftChars="-25" w:left="-60" w:rightChars="-25" w:right="-60"/>
              <w:jc w:val="right"/>
              <w:rPr>
                <w:rFonts w:ascii="Times New Roman" w:hAnsi="Times New Roman" w:cs="Times New Roman"/>
                <w:sz w:val="21"/>
                <w:szCs w:val="21"/>
              </w:rPr>
            </w:pPr>
            <w:r>
              <w:rPr>
                <w:rFonts w:ascii="Times New Roman" w:hAnsi="Times New Roman" w:cs="Times New Roman"/>
                <w:sz w:val="21"/>
                <w:szCs w:val="21"/>
              </w:rPr>
              <w:t>826.96</w:t>
            </w:r>
          </w:p>
        </w:tc>
      </w:tr>
      <w:tr w:rsidR="00C02929" w14:paraId="3E58076C" w14:textId="77777777" w:rsidTr="001F3E46">
        <w:trPr>
          <w:trHeight w:val="397"/>
        </w:trPr>
        <w:tc>
          <w:tcPr>
            <w:tcW w:w="803" w:type="pct"/>
            <w:shd w:val="clear" w:color="auto" w:fill="auto"/>
            <w:vAlign w:val="center"/>
          </w:tcPr>
          <w:p w14:paraId="094E29F0" w14:textId="77777777" w:rsidR="00C02929" w:rsidRDefault="006116D1">
            <w:pPr>
              <w:ind w:leftChars="-25" w:left="-60" w:rightChars="-25" w:right="-60"/>
              <w:rPr>
                <w:rFonts w:ascii="Times New Roman" w:hAnsi="Times New Roman" w:cs="Times New Roman"/>
                <w:b/>
                <w:bCs/>
                <w:sz w:val="21"/>
                <w:szCs w:val="21"/>
              </w:rPr>
            </w:pPr>
            <w:r>
              <w:rPr>
                <w:rFonts w:ascii="Times New Roman" w:hAnsi="Times New Roman" w:cs="Times New Roman" w:hint="eastAsia"/>
                <w:b/>
                <w:bCs/>
                <w:sz w:val="21"/>
                <w:szCs w:val="21"/>
              </w:rPr>
              <w:t>四、净利润</w:t>
            </w:r>
          </w:p>
        </w:tc>
        <w:tc>
          <w:tcPr>
            <w:tcW w:w="624" w:type="pct"/>
            <w:shd w:val="clear" w:color="auto" w:fill="auto"/>
            <w:noWrap/>
            <w:vAlign w:val="center"/>
          </w:tcPr>
          <w:p w14:paraId="16AB80FB"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2,519.71</w:t>
            </w:r>
          </w:p>
        </w:tc>
        <w:tc>
          <w:tcPr>
            <w:tcW w:w="651" w:type="pct"/>
            <w:shd w:val="clear" w:color="auto" w:fill="auto"/>
            <w:noWrap/>
            <w:vAlign w:val="center"/>
          </w:tcPr>
          <w:p w14:paraId="4C7FD7C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3,799.16</w:t>
            </w:r>
          </w:p>
        </w:tc>
        <w:tc>
          <w:tcPr>
            <w:tcW w:w="563" w:type="pct"/>
            <w:shd w:val="clear" w:color="auto" w:fill="auto"/>
            <w:noWrap/>
            <w:vAlign w:val="center"/>
          </w:tcPr>
          <w:p w14:paraId="5F85C8C7"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4,082.97</w:t>
            </w:r>
          </w:p>
        </w:tc>
        <w:tc>
          <w:tcPr>
            <w:tcW w:w="572" w:type="pct"/>
            <w:shd w:val="clear" w:color="auto" w:fill="auto"/>
            <w:noWrap/>
            <w:vAlign w:val="center"/>
          </w:tcPr>
          <w:p w14:paraId="2A74722E"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4,291.68</w:t>
            </w:r>
          </w:p>
        </w:tc>
        <w:tc>
          <w:tcPr>
            <w:tcW w:w="589" w:type="pct"/>
            <w:shd w:val="clear" w:color="auto" w:fill="auto"/>
            <w:noWrap/>
            <w:vAlign w:val="center"/>
          </w:tcPr>
          <w:p w14:paraId="504D1A2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4,551.10</w:t>
            </w:r>
          </w:p>
        </w:tc>
        <w:tc>
          <w:tcPr>
            <w:tcW w:w="607" w:type="pct"/>
            <w:shd w:val="clear" w:color="auto" w:fill="auto"/>
            <w:noWrap/>
            <w:vAlign w:val="center"/>
          </w:tcPr>
          <w:p w14:paraId="38F193BA"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c>
          <w:tcPr>
            <w:tcW w:w="587" w:type="pct"/>
            <w:shd w:val="clear" w:color="auto" w:fill="auto"/>
            <w:noWrap/>
            <w:vAlign w:val="center"/>
          </w:tcPr>
          <w:p w14:paraId="26BD1193" w14:textId="77777777" w:rsidR="00C02929" w:rsidRDefault="006116D1">
            <w:pPr>
              <w:ind w:leftChars="-25" w:left="-60" w:rightChars="-25" w:right="-60"/>
              <w:jc w:val="right"/>
              <w:rPr>
                <w:rFonts w:ascii="Times New Roman" w:hAnsi="Times New Roman" w:cs="Times New Roman"/>
                <w:b/>
                <w:bCs/>
                <w:sz w:val="21"/>
                <w:szCs w:val="21"/>
              </w:rPr>
            </w:pPr>
            <w:r>
              <w:rPr>
                <w:rFonts w:ascii="Times New Roman" w:hAnsi="Times New Roman" w:cs="Times New Roman"/>
                <w:b/>
                <w:bCs/>
                <w:sz w:val="21"/>
                <w:szCs w:val="21"/>
              </w:rPr>
              <w:t>4,686.08</w:t>
            </w:r>
          </w:p>
        </w:tc>
      </w:tr>
    </w:tbl>
    <w:bookmarkEnd w:id="118"/>
    <w:p w14:paraId="52219DF7" w14:textId="77777777" w:rsidR="00C02929" w:rsidRDefault="006116D1">
      <w:pPr>
        <w:pStyle w:val="affffd"/>
        <w:spacing w:before="156"/>
        <w:ind w:firstLine="482"/>
        <w:rPr>
          <w:b/>
          <w:bCs/>
        </w:rPr>
      </w:pPr>
      <w:r>
        <w:rPr>
          <w:rFonts w:hint="eastAsia"/>
          <w:b/>
          <w:bCs/>
        </w:rPr>
        <w:t>3</w:t>
      </w:r>
      <w:r>
        <w:rPr>
          <w:rFonts w:hint="eastAsia"/>
          <w:b/>
          <w:bCs/>
        </w:rPr>
        <w:t>、企业自由现金流的预测</w:t>
      </w:r>
      <w:bookmarkEnd w:id="116"/>
      <w:bookmarkEnd w:id="117"/>
    </w:p>
    <w:p w14:paraId="6EB5DD80" w14:textId="77777777" w:rsidR="00C02929" w:rsidRDefault="006116D1">
      <w:pPr>
        <w:pStyle w:val="affffd"/>
        <w:snapToGrid w:val="0"/>
        <w:spacing w:before="156"/>
        <w:ind w:firstLine="480"/>
        <w:rPr>
          <w:bCs/>
          <w:lang w:bidi="ar"/>
        </w:rPr>
      </w:pPr>
      <w:r>
        <w:rPr>
          <w:rFonts w:hint="eastAsia"/>
          <w:bCs/>
          <w:lang w:bidi="ar"/>
        </w:rPr>
        <w:t>企业自由现金流</w:t>
      </w:r>
      <w:r>
        <w:rPr>
          <w:bCs/>
          <w:lang w:bidi="ar"/>
        </w:rPr>
        <w:t>=</w:t>
      </w:r>
      <w:r>
        <w:rPr>
          <w:rFonts w:hint="eastAsia"/>
          <w:bCs/>
          <w:lang w:bidi="ar"/>
        </w:rPr>
        <w:t>净利润</w:t>
      </w:r>
      <w:r>
        <w:rPr>
          <w:bCs/>
          <w:lang w:bidi="ar"/>
        </w:rPr>
        <w:t>+</w:t>
      </w:r>
      <w:r>
        <w:rPr>
          <w:rFonts w:hint="eastAsia"/>
          <w:bCs/>
          <w:lang w:bidi="ar"/>
        </w:rPr>
        <w:t>利息支出×（</w:t>
      </w:r>
      <w:r>
        <w:rPr>
          <w:bCs/>
          <w:lang w:bidi="ar"/>
        </w:rPr>
        <w:t>1-</w:t>
      </w:r>
      <w:r>
        <w:rPr>
          <w:rFonts w:hint="eastAsia"/>
          <w:bCs/>
          <w:lang w:bidi="ar"/>
        </w:rPr>
        <w:t>所得税率）</w:t>
      </w:r>
      <w:r>
        <w:rPr>
          <w:bCs/>
          <w:lang w:bidi="ar"/>
        </w:rPr>
        <w:t>+</w:t>
      </w:r>
      <w:r>
        <w:rPr>
          <w:rFonts w:hint="eastAsia"/>
          <w:bCs/>
          <w:lang w:bidi="ar"/>
        </w:rPr>
        <w:t>折旧及摊销</w:t>
      </w:r>
      <w:r>
        <w:rPr>
          <w:bCs/>
          <w:lang w:bidi="ar"/>
        </w:rPr>
        <w:t>-</w:t>
      </w:r>
      <w:r>
        <w:rPr>
          <w:rFonts w:hint="eastAsia"/>
          <w:bCs/>
          <w:lang w:bidi="ar"/>
        </w:rPr>
        <w:t>年资本性支出</w:t>
      </w:r>
      <w:r>
        <w:rPr>
          <w:bCs/>
          <w:lang w:bidi="ar"/>
        </w:rPr>
        <w:t>-</w:t>
      </w:r>
      <w:r>
        <w:rPr>
          <w:rFonts w:hint="eastAsia"/>
          <w:bCs/>
          <w:lang w:bidi="ar"/>
        </w:rPr>
        <w:t>年营运资金增加额</w:t>
      </w:r>
    </w:p>
    <w:p w14:paraId="51FF705C"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119" w:name="_Toc161394631"/>
      <w:bookmarkStart w:id="120" w:name="_Toc163542864"/>
      <w:r>
        <w:rPr>
          <w:rFonts w:ascii="Times New Roman" w:hAnsi="Times New Roman" w:cs="Times New Roman" w:hint="eastAsia"/>
          <w:lang w:bidi="ar"/>
        </w:rPr>
        <w:t>（</w:t>
      </w:r>
      <w:r>
        <w:rPr>
          <w:rFonts w:ascii="Times New Roman" w:hAnsi="Times New Roman" w:cs="Times New Roman"/>
          <w:lang w:bidi="ar"/>
        </w:rPr>
        <w:t>1</w:t>
      </w:r>
      <w:r>
        <w:rPr>
          <w:rFonts w:ascii="Times New Roman" w:hAnsi="Times New Roman" w:cs="Times New Roman" w:hint="eastAsia"/>
          <w:lang w:bidi="ar"/>
        </w:rPr>
        <w:t>）折旧及摊销的预测</w:t>
      </w:r>
      <w:bookmarkEnd w:id="119"/>
      <w:bookmarkEnd w:id="120"/>
    </w:p>
    <w:p w14:paraId="4F8652D0" w14:textId="77777777" w:rsidR="00C02929" w:rsidRDefault="006116D1">
      <w:pPr>
        <w:pStyle w:val="affffd"/>
        <w:snapToGrid w:val="0"/>
        <w:spacing w:before="156"/>
        <w:ind w:firstLine="480"/>
        <w:rPr>
          <w:bCs/>
          <w:lang w:bidi="ar"/>
        </w:rPr>
      </w:pPr>
      <w:r>
        <w:rPr>
          <w:rFonts w:hint="eastAsia"/>
          <w:bCs/>
          <w:lang w:val="en-GB" w:bidi="ar"/>
        </w:rPr>
        <w:lastRenderedPageBreak/>
        <w:t>根据北洋天青财务报告和资产负债表调整情况表，截至评估基准日标的公司折旧及摊销情况如下表</w:t>
      </w:r>
      <w:r>
        <w:rPr>
          <w:rFonts w:hint="eastAsia"/>
          <w:bCs/>
          <w:lang w:bidi="ar"/>
        </w:rPr>
        <w:t>：</w:t>
      </w:r>
    </w:p>
    <w:p w14:paraId="6F23C3C9"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516"/>
        <w:gridCol w:w="1931"/>
        <w:gridCol w:w="2146"/>
        <w:gridCol w:w="1929"/>
      </w:tblGrid>
      <w:tr w:rsidR="00C02929" w14:paraId="429C110E" w14:textId="77777777">
        <w:trPr>
          <w:trHeight w:val="397"/>
          <w:tblHeader/>
        </w:trPr>
        <w:tc>
          <w:tcPr>
            <w:tcW w:w="1476" w:type="pct"/>
            <w:vMerge w:val="restart"/>
            <w:shd w:val="clear" w:color="auto" w:fill="auto"/>
            <w:noWrap/>
            <w:vAlign w:val="center"/>
          </w:tcPr>
          <w:p w14:paraId="4A1AE823"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资产类型</w:t>
            </w:r>
          </w:p>
        </w:tc>
        <w:tc>
          <w:tcPr>
            <w:tcW w:w="3524" w:type="pct"/>
            <w:gridSpan w:val="3"/>
            <w:shd w:val="clear" w:color="auto" w:fill="auto"/>
            <w:noWrap/>
            <w:vAlign w:val="center"/>
          </w:tcPr>
          <w:p w14:paraId="054852C5"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资产数额</w:t>
            </w:r>
          </w:p>
        </w:tc>
      </w:tr>
      <w:tr w:rsidR="00C02929" w14:paraId="5933B9D7" w14:textId="77777777">
        <w:trPr>
          <w:trHeight w:val="397"/>
          <w:tblHeader/>
        </w:trPr>
        <w:tc>
          <w:tcPr>
            <w:tcW w:w="1476" w:type="pct"/>
            <w:vMerge/>
            <w:vAlign w:val="center"/>
          </w:tcPr>
          <w:p w14:paraId="7847167B" w14:textId="77777777" w:rsidR="00C02929" w:rsidRDefault="00C02929">
            <w:pPr>
              <w:rPr>
                <w:rFonts w:ascii="Times New Roman" w:hAnsi="Times New Roman" w:cs="Times New Roman"/>
                <w:b/>
                <w:bCs/>
                <w:sz w:val="21"/>
                <w:szCs w:val="21"/>
              </w:rPr>
            </w:pPr>
          </w:p>
        </w:tc>
        <w:tc>
          <w:tcPr>
            <w:tcW w:w="1133" w:type="pct"/>
            <w:shd w:val="clear" w:color="auto" w:fill="auto"/>
            <w:noWrap/>
            <w:vAlign w:val="center"/>
          </w:tcPr>
          <w:p w14:paraId="5A36691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原值</w:t>
            </w:r>
          </w:p>
        </w:tc>
        <w:tc>
          <w:tcPr>
            <w:tcW w:w="1259" w:type="pct"/>
            <w:shd w:val="clear" w:color="auto" w:fill="auto"/>
            <w:vAlign w:val="center"/>
          </w:tcPr>
          <w:p w14:paraId="746978BB"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应计折旧原值</w:t>
            </w:r>
          </w:p>
        </w:tc>
        <w:tc>
          <w:tcPr>
            <w:tcW w:w="1132" w:type="pct"/>
            <w:shd w:val="clear" w:color="auto" w:fill="auto"/>
            <w:noWrap/>
            <w:vAlign w:val="center"/>
          </w:tcPr>
          <w:p w14:paraId="0D4989AF"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净值</w:t>
            </w:r>
          </w:p>
        </w:tc>
      </w:tr>
      <w:tr w:rsidR="00C02929" w14:paraId="245A8550" w14:textId="77777777">
        <w:trPr>
          <w:trHeight w:val="397"/>
        </w:trPr>
        <w:tc>
          <w:tcPr>
            <w:tcW w:w="1476" w:type="pct"/>
            <w:shd w:val="clear" w:color="auto" w:fill="auto"/>
            <w:vAlign w:val="center"/>
          </w:tcPr>
          <w:p w14:paraId="306D60F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房屋建筑物</w:t>
            </w:r>
          </w:p>
        </w:tc>
        <w:tc>
          <w:tcPr>
            <w:tcW w:w="1133" w:type="pct"/>
            <w:shd w:val="clear" w:color="auto" w:fill="auto"/>
            <w:noWrap/>
            <w:vAlign w:val="center"/>
          </w:tcPr>
          <w:p w14:paraId="6F2CF6B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1259" w:type="pct"/>
            <w:shd w:val="clear" w:color="auto" w:fill="auto"/>
            <w:noWrap/>
            <w:vAlign w:val="center"/>
          </w:tcPr>
          <w:p w14:paraId="2B0172F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1132" w:type="pct"/>
            <w:shd w:val="clear" w:color="auto" w:fill="auto"/>
            <w:noWrap/>
            <w:vAlign w:val="center"/>
          </w:tcPr>
          <w:p w14:paraId="71A364A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01AF808D" w14:textId="77777777">
        <w:trPr>
          <w:trHeight w:val="397"/>
        </w:trPr>
        <w:tc>
          <w:tcPr>
            <w:tcW w:w="1476" w:type="pct"/>
            <w:shd w:val="clear" w:color="auto" w:fill="auto"/>
            <w:vAlign w:val="center"/>
          </w:tcPr>
          <w:p w14:paraId="3FB90BB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机器设备</w:t>
            </w:r>
          </w:p>
        </w:tc>
        <w:tc>
          <w:tcPr>
            <w:tcW w:w="1133" w:type="pct"/>
            <w:shd w:val="clear" w:color="auto" w:fill="auto"/>
            <w:noWrap/>
            <w:vAlign w:val="center"/>
          </w:tcPr>
          <w:p w14:paraId="3903CB3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265.47</w:t>
            </w:r>
          </w:p>
        </w:tc>
        <w:tc>
          <w:tcPr>
            <w:tcW w:w="1259" w:type="pct"/>
            <w:shd w:val="clear" w:color="auto" w:fill="auto"/>
            <w:noWrap/>
            <w:vAlign w:val="center"/>
          </w:tcPr>
          <w:p w14:paraId="6197E55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252.19</w:t>
            </w:r>
          </w:p>
        </w:tc>
        <w:tc>
          <w:tcPr>
            <w:tcW w:w="1132" w:type="pct"/>
            <w:shd w:val="clear" w:color="auto" w:fill="auto"/>
            <w:noWrap/>
            <w:vAlign w:val="center"/>
          </w:tcPr>
          <w:p w14:paraId="1B46AEE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206.99</w:t>
            </w:r>
          </w:p>
        </w:tc>
      </w:tr>
      <w:tr w:rsidR="00C02929" w14:paraId="6201A24C" w14:textId="77777777">
        <w:trPr>
          <w:trHeight w:val="397"/>
        </w:trPr>
        <w:tc>
          <w:tcPr>
            <w:tcW w:w="1476" w:type="pct"/>
            <w:shd w:val="clear" w:color="auto" w:fill="auto"/>
            <w:vAlign w:val="center"/>
          </w:tcPr>
          <w:p w14:paraId="44E3450A"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电子设备</w:t>
            </w:r>
          </w:p>
        </w:tc>
        <w:tc>
          <w:tcPr>
            <w:tcW w:w="1133" w:type="pct"/>
            <w:shd w:val="clear" w:color="auto" w:fill="auto"/>
            <w:noWrap/>
            <w:vAlign w:val="center"/>
          </w:tcPr>
          <w:p w14:paraId="5DDC63B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90.56</w:t>
            </w:r>
          </w:p>
        </w:tc>
        <w:tc>
          <w:tcPr>
            <w:tcW w:w="1259" w:type="pct"/>
            <w:shd w:val="clear" w:color="auto" w:fill="auto"/>
            <w:noWrap/>
            <w:vAlign w:val="center"/>
          </w:tcPr>
          <w:p w14:paraId="6AEAD84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86.04</w:t>
            </w:r>
          </w:p>
        </w:tc>
        <w:tc>
          <w:tcPr>
            <w:tcW w:w="1132" w:type="pct"/>
            <w:shd w:val="clear" w:color="auto" w:fill="auto"/>
            <w:noWrap/>
            <w:vAlign w:val="center"/>
          </w:tcPr>
          <w:p w14:paraId="4E77B90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43.67</w:t>
            </w:r>
          </w:p>
        </w:tc>
      </w:tr>
      <w:tr w:rsidR="00C02929" w14:paraId="0CC757D1" w14:textId="77777777">
        <w:trPr>
          <w:trHeight w:val="397"/>
        </w:trPr>
        <w:tc>
          <w:tcPr>
            <w:tcW w:w="1476" w:type="pct"/>
            <w:shd w:val="clear" w:color="auto" w:fill="auto"/>
            <w:vAlign w:val="center"/>
          </w:tcPr>
          <w:p w14:paraId="73BC2143"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车辆</w:t>
            </w:r>
          </w:p>
        </w:tc>
        <w:tc>
          <w:tcPr>
            <w:tcW w:w="1133" w:type="pct"/>
            <w:shd w:val="clear" w:color="auto" w:fill="auto"/>
            <w:noWrap/>
            <w:vAlign w:val="center"/>
          </w:tcPr>
          <w:p w14:paraId="1354F78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219.31</w:t>
            </w:r>
          </w:p>
        </w:tc>
        <w:tc>
          <w:tcPr>
            <w:tcW w:w="1259" w:type="pct"/>
            <w:shd w:val="clear" w:color="auto" w:fill="auto"/>
            <w:noWrap/>
            <w:vAlign w:val="center"/>
          </w:tcPr>
          <w:p w14:paraId="3DA80CE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208.35</w:t>
            </w:r>
          </w:p>
        </w:tc>
        <w:tc>
          <w:tcPr>
            <w:tcW w:w="1132" w:type="pct"/>
            <w:shd w:val="clear" w:color="auto" w:fill="auto"/>
            <w:noWrap/>
            <w:vAlign w:val="center"/>
          </w:tcPr>
          <w:p w14:paraId="7304734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146.94</w:t>
            </w:r>
          </w:p>
        </w:tc>
      </w:tr>
      <w:tr w:rsidR="00C02929" w14:paraId="3D3D3666" w14:textId="77777777">
        <w:trPr>
          <w:trHeight w:val="397"/>
        </w:trPr>
        <w:tc>
          <w:tcPr>
            <w:tcW w:w="1476" w:type="pct"/>
            <w:shd w:val="clear" w:color="auto" w:fill="auto"/>
            <w:vAlign w:val="center"/>
          </w:tcPr>
          <w:p w14:paraId="5680AB7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其他无形资产</w:t>
            </w:r>
          </w:p>
        </w:tc>
        <w:tc>
          <w:tcPr>
            <w:tcW w:w="1133" w:type="pct"/>
            <w:shd w:val="clear" w:color="auto" w:fill="auto"/>
            <w:noWrap/>
            <w:vAlign w:val="center"/>
          </w:tcPr>
          <w:p w14:paraId="213FCDF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22.54</w:t>
            </w:r>
          </w:p>
        </w:tc>
        <w:tc>
          <w:tcPr>
            <w:tcW w:w="1259" w:type="pct"/>
            <w:shd w:val="clear" w:color="auto" w:fill="auto"/>
            <w:noWrap/>
            <w:vAlign w:val="center"/>
          </w:tcPr>
          <w:p w14:paraId="27CCC09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22.54</w:t>
            </w:r>
          </w:p>
        </w:tc>
        <w:tc>
          <w:tcPr>
            <w:tcW w:w="1132" w:type="pct"/>
            <w:shd w:val="clear" w:color="auto" w:fill="auto"/>
            <w:noWrap/>
            <w:vAlign w:val="center"/>
          </w:tcPr>
          <w:p w14:paraId="7504339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14.91</w:t>
            </w:r>
          </w:p>
        </w:tc>
      </w:tr>
    </w:tbl>
    <w:p w14:paraId="705CC696" w14:textId="77777777" w:rsidR="00C02929" w:rsidRDefault="006116D1">
      <w:pPr>
        <w:pStyle w:val="affffd"/>
        <w:snapToGrid w:val="0"/>
        <w:spacing w:before="156"/>
        <w:ind w:firstLine="480"/>
        <w:rPr>
          <w:bCs/>
          <w:lang w:val="en-GB" w:bidi="ar"/>
        </w:rPr>
      </w:pPr>
      <w:r>
        <w:rPr>
          <w:rFonts w:hint="eastAsia"/>
          <w:bCs/>
          <w:lang w:val="en-GB" w:bidi="ar"/>
        </w:rPr>
        <w:t>对于今后每年资本性支出形成的各类资产，遵循了企业执行的一贯会计政策计提，其折旧年限按以上年限计算折旧。</w:t>
      </w:r>
    </w:p>
    <w:p w14:paraId="323B5909" w14:textId="77777777" w:rsidR="00C02929" w:rsidRDefault="006116D1">
      <w:pPr>
        <w:pStyle w:val="affffd"/>
        <w:spacing w:before="156"/>
        <w:ind w:firstLine="480"/>
        <w:rPr>
          <w:bCs/>
          <w:lang w:bidi="ar"/>
        </w:rPr>
      </w:pPr>
      <w:r>
        <w:rPr>
          <w:rFonts w:hint="eastAsia"/>
          <w:bCs/>
          <w:lang w:bidi="ar"/>
        </w:rPr>
        <w:t>有关折旧及摊销的预测，具体情况如下：</w:t>
      </w:r>
    </w:p>
    <w:p w14:paraId="29D38184"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983"/>
        <w:gridCol w:w="941"/>
        <w:gridCol w:w="941"/>
        <w:gridCol w:w="941"/>
        <w:gridCol w:w="941"/>
        <w:gridCol w:w="941"/>
        <w:gridCol w:w="941"/>
        <w:gridCol w:w="893"/>
      </w:tblGrid>
      <w:tr w:rsidR="00C02929" w14:paraId="467D324E" w14:textId="77777777">
        <w:trPr>
          <w:trHeight w:val="397"/>
          <w:tblHeader/>
        </w:trPr>
        <w:tc>
          <w:tcPr>
            <w:tcW w:w="1164" w:type="pct"/>
            <w:vMerge w:val="restart"/>
            <w:vAlign w:val="center"/>
          </w:tcPr>
          <w:p w14:paraId="321C773A"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3836" w:type="pct"/>
            <w:gridSpan w:val="7"/>
            <w:vAlign w:val="center"/>
          </w:tcPr>
          <w:p w14:paraId="0916B07C"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折旧</w:t>
            </w:r>
            <w:r>
              <w:rPr>
                <w:rFonts w:ascii="Times New Roman" w:hAnsi="Times New Roman" w:cs="Times New Roman" w:hint="eastAsia"/>
                <w:b/>
                <w:bCs/>
                <w:color w:val="000000"/>
                <w:sz w:val="21"/>
                <w:szCs w:val="21"/>
              </w:rPr>
              <w:t>/</w:t>
            </w:r>
            <w:r>
              <w:rPr>
                <w:rFonts w:ascii="Times New Roman" w:hAnsi="Times New Roman" w:cs="Times New Roman" w:hint="eastAsia"/>
                <w:b/>
                <w:bCs/>
                <w:color w:val="000000"/>
                <w:sz w:val="21"/>
                <w:szCs w:val="21"/>
              </w:rPr>
              <w:t>摊销预测表</w:t>
            </w:r>
          </w:p>
        </w:tc>
      </w:tr>
      <w:tr w:rsidR="00C02929" w14:paraId="4690D04A" w14:textId="77777777">
        <w:trPr>
          <w:trHeight w:val="397"/>
          <w:tblHeader/>
        </w:trPr>
        <w:tc>
          <w:tcPr>
            <w:tcW w:w="1164" w:type="pct"/>
            <w:vMerge/>
            <w:vAlign w:val="center"/>
          </w:tcPr>
          <w:p w14:paraId="4BFFA916" w14:textId="77777777" w:rsidR="00C02929" w:rsidRDefault="00C02929">
            <w:pPr>
              <w:adjustRightInd w:val="0"/>
              <w:snapToGrid w:val="0"/>
              <w:rPr>
                <w:rFonts w:ascii="Times New Roman" w:hAnsi="Times New Roman" w:cs="Times New Roman"/>
                <w:b/>
                <w:bCs/>
                <w:sz w:val="21"/>
                <w:szCs w:val="21"/>
              </w:rPr>
            </w:pPr>
          </w:p>
        </w:tc>
        <w:tc>
          <w:tcPr>
            <w:tcW w:w="552" w:type="pct"/>
            <w:noWrap/>
            <w:vAlign w:val="center"/>
          </w:tcPr>
          <w:p w14:paraId="2A068729"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2020</w:t>
            </w:r>
            <w:r>
              <w:rPr>
                <w:rFonts w:ascii="Times New Roman" w:hAnsi="Times New Roman" w:cs="Times New Roman" w:hint="eastAsia"/>
                <w:b/>
                <w:bCs/>
                <w:sz w:val="21"/>
                <w:szCs w:val="21"/>
              </w:rPr>
              <w:t>年</w:t>
            </w:r>
          </w:p>
          <w:p w14:paraId="577C0563"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7-12</w:t>
            </w:r>
            <w:r>
              <w:rPr>
                <w:rFonts w:ascii="Times New Roman" w:hAnsi="Times New Roman" w:cs="Times New Roman" w:hint="eastAsia"/>
                <w:b/>
                <w:bCs/>
                <w:sz w:val="21"/>
                <w:szCs w:val="21"/>
              </w:rPr>
              <w:t>月</w:t>
            </w:r>
          </w:p>
        </w:tc>
        <w:tc>
          <w:tcPr>
            <w:tcW w:w="552" w:type="pct"/>
            <w:noWrap/>
            <w:vAlign w:val="center"/>
          </w:tcPr>
          <w:p w14:paraId="4BE78A78"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2021</w:t>
            </w:r>
            <w:r>
              <w:rPr>
                <w:rFonts w:ascii="Times New Roman" w:hAnsi="Times New Roman" w:cs="Times New Roman" w:hint="eastAsia"/>
                <w:b/>
                <w:bCs/>
                <w:sz w:val="21"/>
                <w:szCs w:val="21"/>
              </w:rPr>
              <w:t>年</w:t>
            </w:r>
          </w:p>
        </w:tc>
        <w:tc>
          <w:tcPr>
            <w:tcW w:w="552" w:type="pct"/>
            <w:noWrap/>
            <w:vAlign w:val="center"/>
          </w:tcPr>
          <w:p w14:paraId="0CB7FFD4"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2022</w:t>
            </w:r>
            <w:r>
              <w:rPr>
                <w:rFonts w:ascii="Times New Roman" w:hAnsi="Times New Roman" w:cs="Times New Roman" w:hint="eastAsia"/>
                <w:b/>
                <w:bCs/>
                <w:sz w:val="21"/>
                <w:szCs w:val="21"/>
              </w:rPr>
              <w:t>年</w:t>
            </w:r>
          </w:p>
        </w:tc>
        <w:tc>
          <w:tcPr>
            <w:tcW w:w="552" w:type="pct"/>
            <w:noWrap/>
            <w:vAlign w:val="center"/>
          </w:tcPr>
          <w:p w14:paraId="09DE2084"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2023</w:t>
            </w:r>
            <w:r>
              <w:rPr>
                <w:rFonts w:ascii="Times New Roman" w:hAnsi="Times New Roman" w:cs="Times New Roman" w:hint="eastAsia"/>
                <w:b/>
                <w:bCs/>
                <w:sz w:val="21"/>
                <w:szCs w:val="21"/>
              </w:rPr>
              <w:t>年</w:t>
            </w:r>
          </w:p>
        </w:tc>
        <w:tc>
          <w:tcPr>
            <w:tcW w:w="552" w:type="pct"/>
            <w:noWrap/>
            <w:vAlign w:val="center"/>
          </w:tcPr>
          <w:p w14:paraId="299219C8"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2024</w:t>
            </w:r>
            <w:r>
              <w:rPr>
                <w:rFonts w:ascii="Times New Roman" w:hAnsi="Times New Roman" w:cs="Times New Roman" w:hint="eastAsia"/>
                <w:b/>
                <w:bCs/>
                <w:sz w:val="21"/>
                <w:szCs w:val="21"/>
              </w:rPr>
              <w:t>年</w:t>
            </w:r>
          </w:p>
        </w:tc>
        <w:tc>
          <w:tcPr>
            <w:tcW w:w="552" w:type="pct"/>
            <w:noWrap/>
            <w:vAlign w:val="center"/>
          </w:tcPr>
          <w:p w14:paraId="64F3DF7A"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2025</w:t>
            </w:r>
            <w:r>
              <w:rPr>
                <w:rFonts w:ascii="Times New Roman" w:hAnsi="Times New Roman" w:cs="Times New Roman" w:hint="eastAsia"/>
                <w:b/>
                <w:bCs/>
                <w:sz w:val="21"/>
                <w:szCs w:val="21"/>
              </w:rPr>
              <w:t>年</w:t>
            </w:r>
          </w:p>
        </w:tc>
        <w:tc>
          <w:tcPr>
            <w:tcW w:w="521" w:type="pct"/>
            <w:noWrap/>
            <w:vAlign w:val="center"/>
          </w:tcPr>
          <w:p w14:paraId="7AD132A5"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稳定期</w:t>
            </w:r>
          </w:p>
        </w:tc>
      </w:tr>
      <w:tr w:rsidR="00C02929" w14:paraId="2B441743" w14:textId="77777777">
        <w:trPr>
          <w:trHeight w:val="397"/>
        </w:trPr>
        <w:tc>
          <w:tcPr>
            <w:tcW w:w="1164" w:type="pct"/>
            <w:vAlign w:val="center"/>
          </w:tcPr>
          <w:p w14:paraId="3C937389"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房屋建筑物</w:t>
            </w:r>
          </w:p>
        </w:tc>
        <w:tc>
          <w:tcPr>
            <w:tcW w:w="552" w:type="pct"/>
            <w:noWrap/>
            <w:vAlign w:val="center"/>
          </w:tcPr>
          <w:p w14:paraId="7FC421A3"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224B666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41A3239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2A99A3A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632866A1"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1FF61F5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21" w:type="pct"/>
            <w:noWrap/>
            <w:vAlign w:val="center"/>
          </w:tcPr>
          <w:p w14:paraId="401CC87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23AE56D0" w14:textId="77777777">
        <w:trPr>
          <w:trHeight w:val="397"/>
        </w:trPr>
        <w:tc>
          <w:tcPr>
            <w:tcW w:w="1164" w:type="pct"/>
            <w:noWrap/>
            <w:vAlign w:val="center"/>
          </w:tcPr>
          <w:p w14:paraId="6E3D337D"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机器设备</w:t>
            </w:r>
          </w:p>
        </w:tc>
        <w:tc>
          <w:tcPr>
            <w:tcW w:w="552" w:type="pct"/>
            <w:noWrap/>
            <w:vAlign w:val="center"/>
          </w:tcPr>
          <w:p w14:paraId="3CED2D8F"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25.22</w:t>
            </w:r>
          </w:p>
        </w:tc>
        <w:tc>
          <w:tcPr>
            <w:tcW w:w="552" w:type="pct"/>
            <w:noWrap/>
            <w:vAlign w:val="center"/>
          </w:tcPr>
          <w:p w14:paraId="71F9973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0F2A479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6409FB9E"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6E06D55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52" w:type="pct"/>
            <w:noWrap/>
            <w:vAlign w:val="center"/>
          </w:tcPr>
          <w:p w14:paraId="1732FE2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c>
          <w:tcPr>
            <w:tcW w:w="521" w:type="pct"/>
            <w:noWrap/>
            <w:vAlign w:val="center"/>
          </w:tcPr>
          <w:p w14:paraId="1A4D547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50.44</w:t>
            </w:r>
          </w:p>
        </w:tc>
      </w:tr>
      <w:tr w:rsidR="00C02929" w14:paraId="507E536A" w14:textId="77777777">
        <w:trPr>
          <w:trHeight w:val="397"/>
        </w:trPr>
        <w:tc>
          <w:tcPr>
            <w:tcW w:w="1164" w:type="pct"/>
            <w:noWrap/>
            <w:vAlign w:val="center"/>
          </w:tcPr>
          <w:p w14:paraId="72452D85"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电子设备</w:t>
            </w:r>
          </w:p>
        </w:tc>
        <w:tc>
          <w:tcPr>
            <w:tcW w:w="552" w:type="pct"/>
            <w:noWrap/>
            <w:vAlign w:val="center"/>
          </w:tcPr>
          <w:p w14:paraId="62F03DD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8.60</w:t>
            </w:r>
          </w:p>
        </w:tc>
        <w:tc>
          <w:tcPr>
            <w:tcW w:w="552" w:type="pct"/>
            <w:noWrap/>
            <w:vAlign w:val="center"/>
          </w:tcPr>
          <w:p w14:paraId="3581BBD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4D0F492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5E75F2D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6DF14F1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52" w:type="pct"/>
            <w:noWrap/>
            <w:vAlign w:val="center"/>
          </w:tcPr>
          <w:p w14:paraId="5D73CEF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c>
          <w:tcPr>
            <w:tcW w:w="521" w:type="pct"/>
            <w:noWrap/>
            <w:vAlign w:val="center"/>
          </w:tcPr>
          <w:p w14:paraId="3ED6C63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17.21</w:t>
            </w:r>
          </w:p>
        </w:tc>
      </w:tr>
      <w:tr w:rsidR="00C02929" w14:paraId="43D21443" w14:textId="77777777">
        <w:trPr>
          <w:trHeight w:val="397"/>
        </w:trPr>
        <w:tc>
          <w:tcPr>
            <w:tcW w:w="1164" w:type="pct"/>
            <w:noWrap/>
            <w:vAlign w:val="center"/>
          </w:tcPr>
          <w:p w14:paraId="1952EEE3"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车辆</w:t>
            </w:r>
          </w:p>
        </w:tc>
        <w:tc>
          <w:tcPr>
            <w:tcW w:w="552" w:type="pct"/>
            <w:noWrap/>
            <w:vAlign w:val="center"/>
          </w:tcPr>
          <w:p w14:paraId="1DA34B1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20.83</w:t>
            </w:r>
          </w:p>
        </w:tc>
        <w:tc>
          <w:tcPr>
            <w:tcW w:w="552" w:type="pct"/>
            <w:noWrap/>
            <w:vAlign w:val="center"/>
          </w:tcPr>
          <w:p w14:paraId="1C8475EB"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20AC7391"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12DA483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5B1009F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52" w:type="pct"/>
            <w:noWrap/>
            <w:vAlign w:val="center"/>
          </w:tcPr>
          <w:p w14:paraId="115C23B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c>
          <w:tcPr>
            <w:tcW w:w="521" w:type="pct"/>
            <w:noWrap/>
            <w:vAlign w:val="center"/>
          </w:tcPr>
          <w:p w14:paraId="16D350DE"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41.67</w:t>
            </w:r>
          </w:p>
        </w:tc>
      </w:tr>
      <w:tr w:rsidR="00C02929" w14:paraId="3E0B719F" w14:textId="77777777">
        <w:trPr>
          <w:trHeight w:val="397"/>
        </w:trPr>
        <w:tc>
          <w:tcPr>
            <w:tcW w:w="1164" w:type="pct"/>
            <w:noWrap/>
            <w:vAlign w:val="center"/>
          </w:tcPr>
          <w:p w14:paraId="6D603058"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其他无形资产</w:t>
            </w:r>
          </w:p>
        </w:tc>
        <w:tc>
          <w:tcPr>
            <w:tcW w:w="552" w:type="pct"/>
            <w:noWrap/>
            <w:vAlign w:val="center"/>
          </w:tcPr>
          <w:p w14:paraId="1E2B904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1.13</w:t>
            </w:r>
          </w:p>
        </w:tc>
        <w:tc>
          <w:tcPr>
            <w:tcW w:w="552" w:type="pct"/>
            <w:noWrap/>
            <w:vAlign w:val="center"/>
          </w:tcPr>
          <w:p w14:paraId="084B252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45DCFA7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4981BB5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10FDBC9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7138FCF1"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21" w:type="pct"/>
            <w:noWrap/>
            <w:vAlign w:val="center"/>
          </w:tcPr>
          <w:p w14:paraId="324C8EB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r>
      <w:tr w:rsidR="00C02929" w14:paraId="051E33BC" w14:textId="77777777">
        <w:trPr>
          <w:trHeight w:val="397"/>
        </w:trPr>
        <w:tc>
          <w:tcPr>
            <w:tcW w:w="1164" w:type="pct"/>
            <w:noWrap/>
            <w:vAlign w:val="center"/>
          </w:tcPr>
          <w:p w14:paraId="5812BF9F"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长期待摊费用</w:t>
            </w:r>
          </w:p>
        </w:tc>
        <w:tc>
          <w:tcPr>
            <w:tcW w:w="552" w:type="pct"/>
            <w:noWrap/>
            <w:vAlign w:val="center"/>
          </w:tcPr>
          <w:p w14:paraId="624E0EF3"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67A07876"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123A2E3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5D0AFA2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092B504F"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52" w:type="pct"/>
            <w:noWrap/>
            <w:vAlign w:val="center"/>
          </w:tcPr>
          <w:p w14:paraId="5DB4ABA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c>
          <w:tcPr>
            <w:tcW w:w="521" w:type="pct"/>
            <w:noWrap/>
            <w:vAlign w:val="center"/>
          </w:tcPr>
          <w:p w14:paraId="772943E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763A31AE" w14:textId="77777777">
        <w:trPr>
          <w:trHeight w:val="397"/>
        </w:trPr>
        <w:tc>
          <w:tcPr>
            <w:tcW w:w="1164" w:type="pct"/>
            <w:noWrap/>
            <w:vAlign w:val="center"/>
          </w:tcPr>
          <w:p w14:paraId="72B365DF"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固定资产折旧合计</w:t>
            </w:r>
          </w:p>
        </w:tc>
        <w:tc>
          <w:tcPr>
            <w:tcW w:w="552" w:type="pct"/>
            <w:noWrap/>
            <w:vAlign w:val="center"/>
          </w:tcPr>
          <w:p w14:paraId="67580D2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54.66</w:t>
            </w:r>
          </w:p>
        </w:tc>
        <w:tc>
          <w:tcPr>
            <w:tcW w:w="552" w:type="pct"/>
            <w:noWrap/>
            <w:vAlign w:val="center"/>
          </w:tcPr>
          <w:p w14:paraId="37FD75C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119CEAC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4BE79BB3"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0F4CFFD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52" w:type="pct"/>
            <w:noWrap/>
            <w:vAlign w:val="center"/>
          </w:tcPr>
          <w:p w14:paraId="17FF9E78"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c>
          <w:tcPr>
            <w:tcW w:w="521" w:type="pct"/>
            <w:noWrap/>
            <w:vAlign w:val="center"/>
          </w:tcPr>
          <w:p w14:paraId="446F206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109.32</w:t>
            </w:r>
          </w:p>
        </w:tc>
      </w:tr>
      <w:tr w:rsidR="00C02929" w14:paraId="65D03C63" w14:textId="77777777">
        <w:trPr>
          <w:trHeight w:val="397"/>
        </w:trPr>
        <w:tc>
          <w:tcPr>
            <w:tcW w:w="1164" w:type="pct"/>
            <w:noWrap/>
            <w:vAlign w:val="center"/>
          </w:tcPr>
          <w:p w14:paraId="3190D77F" w14:textId="77777777" w:rsidR="00C02929" w:rsidRDefault="006116D1">
            <w:pPr>
              <w:adjustRightInd w:val="0"/>
              <w:snapToGrid w:val="0"/>
              <w:rPr>
                <w:rFonts w:ascii="Times New Roman" w:hAnsi="Times New Roman" w:cs="Times New Roman"/>
                <w:color w:val="0000FF"/>
                <w:sz w:val="21"/>
                <w:szCs w:val="21"/>
              </w:rPr>
            </w:pPr>
            <w:r>
              <w:rPr>
                <w:rFonts w:ascii="Times New Roman" w:hAnsi="Times New Roman" w:cs="Times New Roman" w:hint="eastAsia"/>
                <w:sz w:val="21"/>
                <w:szCs w:val="21"/>
              </w:rPr>
              <w:t>长期资产摊销合计</w:t>
            </w:r>
          </w:p>
        </w:tc>
        <w:tc>
          <w:tcPr>
            <w:tcW w:w="552" w:type="pct"/>
            <w:noWrap/>
            <w:vAlign w:val="center"/>
          </w:tcPr>
          <w:p w14:paraId="1CA8039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1.13</w:t>
            </w:r>
          </w:p>
        </w:tc>
        <w:tc>
          <w:tcPr>
            <w:tcW w:w="552" w:type="pct"/>
            <w:noWrap/>
            <w:vAlign w:val="center"/>
          </w:tcPr>
          <w:p w14:paraId="749DC91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6439258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7F620E66"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6FCF5524"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00022A1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21" w:type="pct"/>
            <w:noWrap/>
            <w:vAlign w:val="center"/>
          </w:tcPr>
          <w:p w14:paraId="6E163A8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r>
      <w:tr w:rsidR="00C02929" w14:paraId="03B5F769" w14:textId="77777777">
        <w:trPr>
          <w:trHeight w:val="397"/>
        </w:trPr>
        <w:tc>
          <w:tcPr>
            <w:tcW w:w="1164" w:type="pct"/>
            <w:noWrap/>
            <w:vAlign w:val="center"/>
          </w:tcPr>
          <w:p w14:paraId="00A98699"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生产成本</w:t>
            </w:r>
          </w:p>
        </w:tc>
        <w:tc>
          <w:tcPr>
            <w:tcW w:w="552" w:type="pct"/>
            <w:noWrap/>
            <w:vAlign w:val="center"/>
          </w:tcPr>
          <w:p w14:paraId="029D4CE4"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29.41</w:t>
            </w:r>
          </w:p>
        </w:tc>
        <w:tc>
          <w:tcPr>
            <w:tcW w:w="552" w:type="pct"/>
            <w:noWrap/>
            <w:vAlign w:val="center"/>
          </w:tcPr>
          <w:p w14:paraId="679B67DF"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4FECBF5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48748E3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3A7FF31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52" w:type="pct"/>
            <w:noWrap/>
            <w:vAlign w:val="center"/>
          </w:tcPr>
          <w:p w14:paraId="599DE53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c>
          <w:tcPr>
            <w:tcW w:w="521" w:type="pct"/>
            <w:noWrap/>
            <w:vAlign w:val="center"/>
          </w:tcPr>
          <w:p w14:paraId="1970493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58.83</w:t>
            </w:r>
          </w:p>
        </w:tc>
      </w:tr>
      <w:tr w:rsidR="00C02929" w14:paraId="4BE27108" w14:textId="77777777">
        <w:trPr>
          <w:trHeight w:val="397"/>
        </w:trPr>
        <w:tc>
          <w:tcPr>
            <w:tcW w:w="1164" w:type="pct"/>
            <w:noWrap/>
            <w:vAlign w:val="center"/>
          </w:tcPr>
          <w:p w14:paraId="76E1399A"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销售费用</w:t>
            </w:r>
          </w:p>
        </w:tc>
        <w:tc>
          <w:tcPr>
            <w:tcW w:w="552" w:type="pct"/>
            <w:noWrap/>
            <w:vAlign w:val="center"/>
          </w:tcPr>
          <w:p w14:paraId="396BCD9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1.15</w:t>
            </w:r>
          </w:p>
        </w:tc>
        <w:tc>
          <w:tcPr>
            <w:tcW w:w="552" w:type="pct"/>
            <w:noWrap/>
            <w:vAlign w:val="center"/>
          </w:tcPr>
          <w:p w14:paraId="77BA20FE"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3A90B10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5BE3293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34B1D3A4"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52" w:type="pct"/>
            <w:noWrap/>
            <w:vAlign w:val="center"/>
          </w:tcPr>
          <w:p w14:paraId="2511033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c>
          <w:tcPr>
            <w:tcW w:w="521" w:type="pct"/>
            <w:noWrap/>
            <w:vAlign w:val="center"/>
          </w:tcPr>
          <w:p w14:paraId="18B3FC4A"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2.30</w:t>
            </w:r>
          </w:p>
        </w:tc>
      </w:tr>
      <w:tr w:rsidR="00C02929" w14:paraId="7A1E193F" w14:textId="77777777">
        <w:trPr>
          <w:trHeight w:val="397"/>
        </w:trPr>
        <w:tc>
          <w:tcPr>
            <w:tcW w:w="1164" w:type="pct"/>
            <w:noWrap/>
            <w:vAlign w:val="center"/>
          </w:tcPr>
          <w:p w14:paraId="49172B0E"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管理费费用</w:t>
            </w:r>
          </w:p>
        </w:tc>
        <w:tc>
          <w:tcPr>
            <w:tcW w:w="552" w:type="pct"/>
            <w:noWrap/>
            <w:vAlign w:val="center"/>
          </w:tcPr>
          <w:p w14:paraId="18DB883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18.68</w:t>
            </w:r>
          </w:p>
        </w:tc>
        <w:tc>
          <w:tcPr>
            <w:tcW w:w="552" w:type="pct"/>
            <w:noWrap/>
            <w:vAlign w:val="center"/>
          </w:tcPr>
          <w:p w14:paraId="3904539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7607532B"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120E82DF"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51BF6E5E"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52" w:type="pct"/>
            <w:noWrap/>
            <w:vAlign w:val="center"/>
          </w:tcPr>
          <w:p w14:paraId="37F9DF52"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c>
          <w:tcPr>
            <w:tcW w:w="521" w:type="pct"/>
            <w:noWrap/>
            <w:vAlign w:val="center"/>
          </w:tcPr>
          <w:p w14:paraId="07F91819"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37.35</w:t>
            </w:r>
          </w:p>
        </w:tc>
      </w:tr>
      <w:tr w:rsidR="00C02929" w14:paraId="3951EFE9" w14:textId="77777777">
        <w:trPr>
          <w:trHeight w:val="397"/>
        </w:trPr>
        <w:tc>
          <w:tcPr>
            <w:tcW w:w="1164" w:type="pct"/>
            <w:noWrap/>
            <w:vAlign w:val="center"/>
          </w:tcPr>
          <w:p w14:paraId="6FBB7F7E"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管理费用摊销费</w:t>
            </w:r>
          </w:p>
        </w:tc>
        <w:tc>
          <w:tcPr>
            <w:tcW w:w="552" w:type="pct"/>
            <w:noWrap/>
            <w:vAlign w:val="center"/>
          </w:tcPr>
          <w:p w14:paraId="0716FD7D"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1.13</w:t>
            </w:r>
          </w:p>
        </w:tc>
        <w:tc>
          <w:tcPr>
            <w:tcW w:w="552" w:type="pct"/>
            <w:noWrap/>
            <w:vAlign w:val="center"/>
          </w:tcPr>
          <w:p w14:paraId="18074981"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6A9B89F7"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6C08BA18"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25D8241B"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52" w:type="pct"/>
            <w:noWrap/>
            <w:vAlign w:val="center"/>
          </w:tcPr>
          <w:p w14:paraId="6FEDDD2C"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c>
          <w:tcPr>
            <w:tcW w:w="521" w:type="pct"/>
            <w:noWrap/>
            <w:vAlign w:val="center"/>
          </w:tcPr>
          <w:p w14:paraId="134AD82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2.25</w:t>
            </w:r>
          </w:p>
        </w:tc>
      </w:tr>
      <w:tr w:rsidR="00C02929" w14:paraId="1F0CBEBC" w14:textId="77777777">
        <w:trPr>
          <w:trHeight w:val="397"/>
        </w:trPr>
        <w:tc>
          <w:tcPr>
            <w:tcW w:w="1164" w:type="pct"/>
            <w:noWrap/>
            <w:vAlign w:val="center"/>
          </w:tcPr>
          <w:p w14:paraId="176D7E89" w14:textId="77777777" w:rsidR="00C02929" w:rsidRDefault="006116D1">
            <w:pPr>
              <w:adjustRightInd w:val="0"/>
              <w:snapToGrid w:val="0"/>
              <w:rPr>
                <w:rFonts w:ascii="Times New Roman" w:hAnsi="Times New Roman" w:cs="Times New Roman"/>
                <w:sz w:val="21"/>
                <w:szCs w:val="21"/>
              </w:rPr>
            </w:pPr>
            <w:r>
              <w:rPr>
                <w:rFonts w:ascii="Times New Roman" w:hAnsi="Times New Roman" w:cs="Times New Roman" w:hint="eastAsia"/>
                <w:sz w:val="21"/>
                <w:szCs w:val="21"/>
              </w:rPr>
              <w:t>研发费用</w:t>
            </w:r>
          </w:p>
        </w:tc>
        <w:tc>
          <w:tcPr>
            <w:tcW w:w="552" w:type="pct"/>
            <w:noWrap/>
            <w:vAlign w:val="center"/>
          </w:tcPr>
          <w:p w14:paraId="5E9C0CC8"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5.42</w:t>
            </w:r>
          </w:p>
        </w:tc>
        <w:tc>
          <w:tcPr>
            <w:tcW w:w="552" w:type="pct"/>
            <w:noWrap/>
            <w:vAlign w:val="center"/>
          </w:tcPr>
          <w:p w14:paraId="23A34BA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4A99BD8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0707B90F"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4E533AF5"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52" w:type="pct"/>
            <w:noWrap/>
            <w:vAlign w:val="center"/>
          </w:tcPr>
          <w:p w14:paraId="6A099FEB"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c>
          <w:tcPr>
            <w:tcW w:w="521" w:type="pct"/>
            <w:noWrap/>
            <w:vAlign w:val="center"/>
          </w:tcPr>
          <w:p w14:paraId="0E48EF30" w14:textId="77777777" w:rsidR="00C02929" w:rsidRDefault="006116D1">
            <w:pPr>
              <w:adjustRightInd w:val="0"/>
              <w:snapToGrid w:val="0"/>
              <w:jc w:val="right"/>
              <w:rPr>
                <w:rFonts w:ascii="Times New Roman" w:hAnsi="Times New Roman" w:cs="Times New Roman"/>
                <w:sz w:val="21"/>
                <w:szCs w:val="21"/>
              </w:rPr>
            </w:pPr>
            <w:r>
              <w:rPr>
                <w:rFonts w:ascii="Times New Roman" w:hAnsi="Times New Roman" w:cs="Times New Roman"/>
                <w:sz w:val="21"/>
                <w:szCs w:val="21"/>
              </w:rPr>
              <w:t>10.84</w:t>
            </w:r>
          </w:p>
        </w:tc>
      </w:tr>
      <w:tr w:rsidR="00C02929" w14:paraId="1436C159" w14:textId="77777777">
        <w:trPr>
          <w:trHeight w:val="397"/>
        </w:trPr>
        <w:tc>
          <w:tcPr>
            <w:tcW w:w="1164" w:type="pct"/>
            <w:noWrap/>
            <w:vAlign w:val="center"/>
          </w:tcPr>
          <w:p w14:paraId="46FDF1E9" w14:textId="77777777" w:rsidR="00C02929" w:rsidRDefault="006116D1">
            <w:pPr>
              <w:adjustRightInd w:val="0"/>
              <w:snapToGrid w:val="0"/>
              <w:jc w:val="center"/>
              <w:rPr>
                <w:rFonts w:ascii="Times New Roman" w:hAnsi="Times New Roman" w:cs="Times New Roman"/>
                <w:b/>
                <w:bCs/>
                <w:sz w:val="21"/>
                <w:szCs w:val="21"/>
              </w:rPr>
            </w:pPr>
            <w:r>
              <w:rPr>
                <w:rFonts w:ascii="Times New Roman" w:hAnsi="Times New Roman" w:cs="Times New Roman" w:hint="eastAsia"/>
                <w:b/>
                <w:bCs/>
                <w:sz w:val="21"/>
                <w:szCs w:val="21"/>
              </w:rPr>
              <w:t>合计</w:t>
            </w:r>
          </w:p>
        </w:tc>
        <w:tc>
          <w:tcPr>
            <w:tcW w:w="552" w:type="pct"/>
            <w:noWrap/>
            <w:vAlign w:val="center"/>
          </w:tcPr>
          <w:p w14:paraId="173659A7"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55.78</w:t>
            </w:r>
          </w:p>
        </w:tc>
        <w:tc>
          <w:tcPr>
            <w:tcW w:w="552" w:type="pct"/>
            <w:noWrap/>
            <w:vAlign w:val="center"/>
          </w:tcPr>
          <w:p w14:paraId="1B1A25A0"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55222951"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1A97D920"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4E716C27"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52" w:type="pct"/>
            <w:noWrap/>
            <w:vAlign w:val="center"/>
          </w:tcPr>
          <w:p w14:paraId="704EF19A"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c>
          <w:tcPr>
            <w:tcW w:w="521" w:type="pct"/>
            <w:noWrap/>
            <w:vAlign w:val="center"/>
          </w:tcPr>
          <w:p w14:paraId="1F978E31" w14:textId="77777777" w:rsidR="00C02929" w:rsidRDefault="006116D1">
            <w:pPr>
              <w:adjustRightInd w:val="0"/>
              <w:snapToGrid w:val="0"/>
              <w:jc w:val="right"/>
              <w:rPr>
                <w:rFonts w:ascii="Times New Roman" w:hAnsi="Times New Roman" w:cs="Times New Roman"/>
                <w:b/>
                <w:bCs/>
                <w:sz w:val="21"/>
                <w:szCs w:val="21"/>
              </w:rPr>
            </w:pPr>
            <w:r>
              <w:rPr>
                <w:rFonts w:ascii="Times New Roman" w:hAnsi="Times New Roman" w:cs="Times New Roman"/>
                <w:b/>
                <w:bCs/>
                <w:sz w:val="21"/>
                <w:szCs w:val="21"/>
              </w:rPr>
              <w:t>111.57</w:t>
            </w:r>
          </w:p>
        </w:tc>
      </w:tr>
    </w:tbl>
    <w:p w14:paraId="13A43B1E"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121" w:name="_Toc161394632"/>
      <w:bookmarkStart w:id="122" w:name="_Toc163542865"/>
      <w:r>
        <w:rPr>
          <w:rFonts w:ascii="Times New Roman" w:hAnsi="Times New Roman" w:cs="Times New Roman" w:hint="eastAsia"/>
          <w:lang w:bidi="ar"/>
        </w:rPr>
        <w:t>（</w:t>
      </w:r>
      <w:r>
        <w:rPr>
          <w:rFonts w:ascii="Times New Roman" w:hAnsi="Times New Roman" w:cs="Times New Roman"/>
          <w:lang w:bidi="ar"/>
        </w:rPr>
        <w:t>2</w:t>
      </w:r>
      <w:r>
        <w:rPr>
          <w:rFonts w:ascii="Times New Roman" w:hAnsi="Times New Roman" w:cs="Times New Roman" w:hint="eastAsia"/>
          <w:lang w:bidi="ar"/>
        </w:rPr>
        <w:t>）资本性支出预测</w:t>
      </w:r>
      <w:bookmarkEnd w:id="121"/>
      <w:bookmarkEnd w:id="122"/>
    </w:p>
    <w:p w14:paraId="1E7CA1D3"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资本性支出是为了保证企业生产经营可以正常发展的情况下，企业每年需要进行的资本性支出。</w:t>
      </w:r>
    </w:p>
    <w:p w14:paraId="2E58F0C6"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本次估值评估机构采用设备和其他无形资产每年的折旧摊销额作为未来期间的资本性支出。</w:t>
      </w:r>
    </w:p>
    <w:p w14:paraId="25199C98"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123" w:name="_Toc163542866"/>
      <w:bookmarkStart w:id="124" w:name="_Toc161394633"/>
      <w:r>
        <w:rPr>
          <w:rFonts w:ascii="Times New Roman" w:hAnsi="Times New Roman" w:cs="Times New Roman" w:hint="eastAsia"/>
          <w:lang w:bidi="ar"/>
        </w:rPr>
        <w:t>（</w:t>
      </w:r>
      <w:r>
        <w:rPr>
          <w:rFonts w:ascii="Times New Roman" w:hAnsi="Times New Roman" w:cs="Times New Roman"/>
          <w:lang w:bidi="ar"/>
        </w:rPr>
        <w:t>3</w:t>
      </w:r>
      <w:r>
        <w:rPr>
          <w:rFonts w:ascii="Times New Roman" w:hAnsi="Times New Roman" w:cs="Times New Roman" w:hint="eastAsia"/>
          <w:lang w:bidi="ar"/>
        </w:rPr>
        <w:t>）营运资金增加预测</w:t>
      </w:r>
      <w:bookmarkEnd w:id="123"/>
      <w:bookmarkEnd w:id="124"/>
    </w:p>
    <w:p w14:paraId="629943B1" w14:textId="426C39B4"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bookmarkStart w:id="125" w:name="_Toc161394634"/>
      <w:bookmarkStart w:id="126" w:name="_Toc163542867"/>
      <w:r>
        <w:rPr>
          <w:rFonts w:ascii="Times New Roman" w:hAnsi="Times New Roman" w:cs="Times New Roman" w:hint="eastAsia"/>
        </w:rPr>
        <w:t>营运资金的增加是指随着企业经营活动的变化，获取他人的商业信用而占用的现金，正常经营所需保持的现金等；同时，在经济活动中，提供商业信用，相应可以减少现金的即时支付。因此估算营运资金的增加额，原则上只需考虑正常经营所需保有的现金（最低现金保有量）、存货、应收款项和应付款项等主要因素。本次评估所定义的营运资金增加额为：</w:t>
      </w:r>
    </w:p>
    <w:p w14:paraId="2CC6BA4A" w14:textId="77777777"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营运资金增加额＝当期营运资金－上期营运资金</w:t>
      </w:r>
    </w:p>
    <w:p w14:paraId="5EE56C51" w14:textId="77777777"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其中：营运资金＝经营性资金＋应收款项－应付款项</w:t>
      </w:r>
    </w:p>
    <w:p w14:paraId="22794B8D" w14:textId="77777777"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应收款项＝营业收入总额</w:t>
      </w:r>
      <w:r>
        <w:rPr>
          <w:rFonts w:ascii="Times New Roman" w:hAnsi="Times New Roman" w:cs="Times New Roman" w:hint="eastAsia"/>
        </w:rPr>
        <w:t>/</w:t>
      </w:r>
      <w:r>
        <w:rPr>
          <w:rFonts w:ascii="Times New Roman" w:hAnsi="Times New Roman" w:cs="Times New Roman" w:hint="eastAsia"/>
        </w:rPr>
        <w:t>应收账款周转率</w:t>
      </w:r>
    </w:p>
    <w:p w14:paraId="225417D2" w14:textId="77777777"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其中，应收款项主要包括应收账款、预付款项以及与经营生产相关的其他应收账款等诸项。</w:t>
      </w:r>
    </w:p>
    <w:p w14:paraId="0F22A497" w14:textId="77777777"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应付款项＝营业成本总额</w:t>
      </w:r>
      <w:r>
        <w:rPr>
          <w:rFonts w:ascii="Times New Roman" w:hAnsi="Times New Roman" w:cs="Times New Roman" w:hint="eastAsia"/>
        </w:rPr>
        <w:t>/</w:t>
      </w:r>
      <w:r>
        <w:rPr>
          <w:rFonts w:ascii="Times New Roman" w:hAnsi="Times New Roman" w:cs="Times New Roman" w:hint="eastAsia"/>
        </w:rPr>
        <w:t>应付账款周转率</w:t>
      </w:r>
    </w:p>
    <w:p w14:paraId="3F10EB67" w14:textId="77777777"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其中，应付款项主要包括应付账款、应交税费以及与经营生产相关的其他应付账款等诸项。</w:t>
      </w:r>
    </w:p>
    <w:p w14:paraId="0723B141" w14:textId="77777777" w:rsidR="00C02929" w:rsidRDefault="006116D1">
      <w:pPr>
        <w:tabs>
          <w:tab w:val="left" w:pos="709"/>
          <w:tab w:val="left" w:pos="993"/>
        </w:tabs>
        <w:topLinePunct/>
        <w:adjustRightInd w:val="0"/>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对评估对象经营情况的调查，以及经审计的评估对象的资产和损益、收入和成本费用的统计分析以及对未来经营期内各年度收入与成本的估算结果，按照上述定义，可得到未来经营期内各年度的经营性现金（最低现金保有量）、应收款项和应付款项等及其营运资金增加额。</w:t>
      </w:r>
    </w:p>
    <w:p w14:paraId="7F53AE20" w14:textId="77777777" w:rsidR="00C02929" w:rsidRDefault="006116D1">
      <w:pPr>
        <w:tabs>
          <w:tab w:val="left" w:pos="709"/>
          <w:tab w:val="left" w:pos="993"/>
        </w:tabs>
        <w:topLinePunct/>
        <w:adjustRightInd w:val="0"/>
        <w:snapToGrid w:val="0"/>
        <w:spacing w:beforeLines="50" w:before="156" w:afterLines="50" w:after="156" w:line="360" w:lineRule="auto"/>
        <w:ind w:left="420" w:firstLineChars="200" w:firstLine="480"/>
        <w:rPr>
          <w:lang w:val="en-GB"/>
        </w:rPr>
      </w:pPr>
      <w:r>
        <w:rPr>
          <w:rFonts w:ascii="Times New Roman" w:hAnsi="Times New Roman" w:cs="Times New Roman" w:hint="eastAsia"/>
          <w:lang w:val="en-GB"/>
        </w:rPr>
        <w:t>未来年度营运资金的预测具体情况如下：</w:t>
      </w:r>
    </w:p>
    <w:p w14:paraId="484C0593" w14:textId="77777777" w:rsidR="00C02929" w:rsidRDefault="006116D1">
      <w:pPr>
        <w:keepNext/>
        <w:jc w:val="right"/>
        <w:rPr>
          <w:rFonts w:ascii="Times New Roman" w:hAnsi="Times New Roman" w:cs="Times New Roman"/>
          <w:bCs/>
          <w:color w:val="000000"/>
          <w:sz w:val="21"/>
          <w:szCs w:val="18"/>
          <w:lang w:val="en-GB" w:bidi="ar"/>
        </w:rPr>
      </w:pPr>
      <w:r>
        <w:rPr>
          <w:rFonts w:ascii="Times New Roman" w:hAnsi="Times New Roman" w:cs="Times New Roman" w:hint="eastAsia"/>
          <w:bCs/>
          <w:color w:val="000000"/>
          <w:sz w:val="21"/>
          <w:szCs w:val="18"/>
          <w:lang w:val="en-GB" w:bidi="ar"/>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70"/>
        <w:gridCol w:w="1135"/>
        <w:gridCol w:w="1135"/>
        <w:gridCol w:w="1133"/>
        <w:gridCol w:w="1133"/>
        <w:gridCol w:w="1133"/>
        <w:gridCol w:w="1183"/>
      </w:tblGrid>
      <w:tr w:rsidR="00C02929" w14:paraId="2600F8C6" w14:textId="77777777">
        <w:trPr>
          <w:trHeight w:val="397"/>
          <w:tblHeader/>
        </w:trPr>
        <w:tc>
          <w:tcPr>
            <w:tcW w:w="979" w:type="pct"/>
            <w:vMerge w:val="restart"/>
            <w:noWrap/>
            <w:vAlign w:val="center"/>
          </w:tcPr>
          <w:p w14:paraId="277EAD4C" w14:textId="77777777" w:rsidR="00C02929" w:rsidRDefault="006116D1">
            <w:pPr>
              <w:adjustRightInd w:val="0"/>
              <w:snapToGrid w:val="0"/>
              <w:jc w:val="center"/>
              <w:rPr>
                <w:rFonts w:ascii="Times New Roman" w:hAnsi="Times New Roman"/>
                <w:b/>
                <w:bCs/>
                <w:sz w:val="21"/>
                <w:szCs w:val="21"/>
              </w:rPr>
            </w:pPr>
            <w:r>
              <w:rPr>
                <w:rFonts w:ascii="Times New Roman" w:hAnsi="Times New Roman" w:hint="eastAsia"/>
                <w:b/>
                <w:bCs/>
                <w:sz w:val="21"/>
                <w:szCs w:val="21"/>
              </w:rPr>
              <w:t>项目</w:t>
            </w:r>
          </w:p>
        </w:tc>
        <w:tc>
          <w:tcPr>
            <w:tcW w:w="4021" w:type="pct"/>
            <w:gridSpan w:val="6"/>
            <w:vAlign w:val="center"/>
          </w:tcPr>
          <w:p w14:paraId="41CB0EBB" w14:textId="77777777" w:rsidR="00C02929" w:rsidRDefault="006116D1">
            <w:pPr>
              <w:adjustRightInd w:val="0"/>
              <w:snapToGrid w:val="0"/>
              <w:jc w:val="center"/>
              <w:rPr>
                <w:rFonts w:ascii="Times New Roman" w:hAnsi="Times New Roman"/>
                <w:b/>
                <w:bCs/>
                <w:color w:val="000000"/>
                <w:sz w:val="21"/>
                <w:szCs w:val="21"/>
              </w:rPr>
            </w:pPr>
            <w:r>
              <w:rPr>
                <w:rFonts w:ascii="Times New Roman" w:hAnsi="Times New Roman" w:hint="eastAsia"/>
                <w:b/>
                <w:bCs/>
                <w:color w:val="000000"/>
                <w:sz w:val="21"/>
                <w:szCs w:val="21"/>
              </w:rPr>
              <w:t>营运资金预测表</w:t>
            </w:r>
          </w:p>
        </w:tc>
      </w:tr>
      <w:tr w:rsidR="00C02929" w14:paraId="5E5E4DDC" w14:textId="77777777">
        <w:trPr>
          <w:trHeight w:val="397"/>
          <w:tblHeader/>
        </w:trPr>
        <w:tc>
          <w:tcPr>
            <w:tcW w:w="979" w:type="pct"/>
            <w:vMerge/>
            <w:vAlign w:val="center"/>
          </w:tcPr>
          <w:p w14:paraId="0E54796F" w14:textId="77777777" w:rsidR="00C02929" w:rsidRDefault="00C02929">
            <w:pPr>
              <w:adjustRightInd w:val="0"/>
              <w:snapToGrid w:val="0"/>
              <w:rPr>
                <w:rFonts w:ascii="Times New Roman" w:hAnsi="Times New Roman"/>
                <w:b/>
                <w:bCs/>
                <w:sz w:val="21"/>
                <w:szCs w:val="21"/>
              </w:rPr>
            </w:pPr>
          </w:p>
        </w:tc>
        <w:tc>
          <w:tcPr>
            <w:tcW w:w="666" w:type="pct"/>
            <w:noWrap/>
            <w:vAlign w:val="center"/>
          </w:tcPr>
          <w:p w14:paraId="59C33EF6" w14:textId="77777777" w:rsidR="00C02929" w:rsidRDefault="006116D1">
            <w:pPr>
              <w:adjustRightInd w:val="0"/>
              <w:snapToGrid w:val="0"/>
              <w:jc w:val="center"/>
              <w:rPr>
                <w:rFonts w:ascii="Times New Roman" w:hAnsi="Times New Roman"/>
                <w:b/>
                <w:bCs/>
                <w:sz w:val="21"/>
                <w:szCs w:val="21"/>
              </w:rPr>
            </w:pPr>
            <w:r>
              <w:rPr>
                <w:rFonts w:ascii="Times New Roman" w:hAnsi="Times New Roman"/>
                <w:b/>
                <w:bCs/>
                <w:sz w:val="21"/>
                <w:szCs w:val="21"/>
              </w:rPr>
              <w:t>2020</w:t>
            </w:r>
            <w:r>
              <w:rPr>
                <w:rFonts w:ascii="Times New Roman" w:hAnsi="Times New Roman" w:hint="eastAsia"/>
                <w:b/>
                <w:bCs/>
                <w:sz w:val="21"/>
                <w:szCs w:val="21"/>
              </w:rPr>
              <w:t>年</w:t>
            </w:r>
            <w:r>
              <w:rPr>
                <w:rFonts w:ascii="Times New Roman" w:hAnsi="Times New Roman"/>
                <w:b/>
                <w:bCs/>
                <w:sz w:val="21"/>
                <w:szCs w:val="21"/>
              </w:rPr>
              <w:t>7-12</w:t>
            </w:r>
            <w:r>
              <w:rPr>
                <w:rFonts w:ascii="Times New Roman" w:hAnsi="Times New Roman" w:hint="eastAsia"/>
                <w:b/>
                <w:bCs/>
                <w:sz w:val="21"/>
                <w:szCs w:val="21"/>
              </w:rPr>
              <w:t>月</w:t>
            </w:r>
          </w:p>
        </w:tc>
        <w:tc>
          <w:tcPr>
            <w:tcW w:w="666" w:type="pct"/>
            <w:noWrap/>
            <w:vAlign w:val="center"/>
          </w:tcPr>
          <w:p w14:paraId="32534094" w14:textId="77777777" w:rsidR="00C02929" w:rsidRDefault="006116D1">
            <w:pPr>
              <w:adjustRightInd w:val="0"/>
              <w:snapToGrid w:val="0"/>
              <w:jc w:val="center"/>
              <w:rPr>
                <w:rFonts w:ascii="Times New Roman" w:hAnsi="Times New Roman"/>
                <w:b/>
                <w:bCs/>
                <w:sz w:val="21"/>
                <w:szCs w:val="21"/>
              </w:rPr>
            </w:pPr>
            <w:r>
              <w:rPr>
                <w:rFonts w:ascii="Times New Roman" w:hAnsi="Times New Roman"/>
                <w:b/>
                <w:bCs/>
                <w:sz w:val="21"/>
                <w:szCs w:val="21"/>
              </w:rPr>
              <w:t>2021</w:t>
            </w:r>
            <w:r>
              <w:rPr>
                <w:rFonts w:ascii="Times New Roman" w:hAnsi="Times New Roman" w:hint="eastAsia"/>
                <w:b/>
                <w:bCs/>
                <w:sz w:val="21"/>
                <w:szCs w:val="21"/>
              </w:rPr>
              <w:t>年</w:t>
            </w:r>
          </w:p>
        </w:tc>
        <w:tc>
          <w:tcPr>
            <w:tcW w:w="665" w:type="pct"/>
            <w:noWrap/>
            <w:vAlign w:val="center"/>
          </w:tcPr>
          <w:p w14:paraId="3EE1461B" w14:textId="77777777" w:rsidR="00C02929" w:rsidRDefault="006116D1">
            <w:pPr>
              <w:adjustRightInd w:val="0"/>
              <w:snapToGrid w:val="0"/>
              <w:jc w:val="center"/>
              <w:rPr>
                <w:rFonts w:ascii="Times New Roman" w:hAnsi="Times New Roman"/>
                <w:b/>
                <w:bCs/>
                <w:sz w:val="21"/>
                <w:szCs w:val="21"/>
              </w:rPr>
            </w:pPr>
            <w:r>
              <w:rPr>
                <w:rFonts w:ascii="Times New Roman" w:hAnsi="Times New Roman"/>
                <w:b/>
                <w:bCs/>
                <w:sz w:val="21"/>
                <w:szCs w:val="21"/>
              </w:rPr>
              <w:t>2022</w:t>
            </w:r>
            <w:r>
              <w:rPr>
                <w:rFonts w:ascii="Times New Roman" w:hAnsi="Times New Roman" w:hint="eastAsia"/>
                <w:b/>
                <w:bCs/>
                <w:sz w:val="21"/>
                <w:szCs w:val="21"/>
              </w:rPr>
              <w:t>年</w:t>
            </w:r>
          </w:p>
        </w:tc>
        <w:tc>
          <w:tcPr>
            <w:tcW w:w="665" w:type="pct"/>
            <w:noWrap/>
            <w:vAlign w:val="center"/>
          </w:tcPr>
          <w:p w14:paraId="634B5991" w14:textId="77777777" w:rsidR="00C02929" w:rsidRDefault="006116D1">
            <w:pPr>
              <w:adjustRightInd w:val="0"/>
              <w:snapToGrid w:val="0"/>
              <w:jc w:val="center"/>
              <w:rPr>
                <w:rFonts w:ascii="Times New Roman" w:hAnsi="Times New Roman"/>
                <w:b/>
                <w:bCs/>
                <w:sz w:val="21"/>
                <w:szCs w:val="21"/>
              </w:rPr>
            </w:pPr>
            <w:r>
              <w:rPr>
                <w:rFonts w:ascii="Times New Roman" w:hAnsi="Times New Roman"/>
                <w:b/>
                <w:bCs/>
                <w:sz w:val="21"/>
                <w:szCs w:val="21"/>
              </w:rPr>
              <w:t>2023</w:t>
            </w:r>
            <w:r>
              <w:rPr>
                <w:rFonts w:ascii="Times New Roman" w:hAnsi="Times New Roman" w:hint="eastAsia"/>
                <w:b/>
                <w:bCs/>
                <w:sz w:val="21"/>
                <w:szCs w:val="21"/>
              </w:rPr>
              <w:t>年</w:t>
            </w:r>
          </w:p>
        </w:tc>
        <w:tc>
          <w:tcPr>
            <w:tcW w:w="665" w:type="pct"/>
            <w:noWrap/>
            <w:vAlign w:val="center"/>
          </w:tcPr>
          <w:p w14:paraId="5CB7EEC2" w14:textId="77777777" w:rsidR="00C02929" w:rsidRDefault="006116D1">
            <w:pPr>
              <w:adjustRightInd w:val="0"/>
              <w:snapToGrid w:val="0"/>
              <w:jc w:val="center"/>
              <w:rPr>
                <w:rFonts w:ascii="Times New Roman" w:hAnsi="Times New Roman"/>
                <w:b/>
                <w:bCs/>
                <w:sz w:val="21"/>
                <w:szCs w:val="21"/>
              </w:rPr>
            </w:pPr>
            <w:r>
              <w:rPr>
                <w:rFonts w:ascii="Times New Roman" w:hAnsi="Times New Roman"/>
                <w:b/>
                <w:bCs/>
                <w:sz w:val="21"/>
                <w:szCs w:val="21"/>
              </w:rPr>
              <w:t>2024</w:t>
            </w:r>
            <w:r>
              <w:rPr>
                <w:rFonts w:ascii="Times New Roman" w:hAnsi="Times New Roman" w:hint="eastAsia"/>
                <w:b/>
                <w:bCs/>
                <w:sz w:val="21"/>
                <w:szCs w:val="21"/>
              </w:rPr>
              <w:t>年</w:t>
            </w:r>
          </w:p>
        </w:tc>
        <w:tc>
          <w:tcPr>
            <w:tcW w:w="695" w:type="pct"/>
            <w:noWrap/>
            <w:vAlign w:val="center"/>
          </w:tcPr>
          <w:p w14:paraId="174F7593" w14:textId="77777777" w:rsidR="00C02929" w:rsidRDefault="006116D1">
            <w:pPr>
              <w:adjustRightInd w:val="0"/>
              <w:snapToGrid w:val="0"/>
              <w:jc w:val="center"/>
              <w:rPr>
                <w:rFonts w:ascii="Times New Roman" w:hAnsi="Times New Roman"/>
                <w:b/>
                <w:bCs/>
                <w:sz w:val="21"/>
                <w:szCs w:val="21"/>
              </w:rPr>
            </w:pPr>
            <w:r>
              <w:rPr>
                <w:rFonts w:ascii="Times New Roman" w:hAnsi="Times New Roman"/>
                <w:b/>
                <w:bCs/>
                <w:sz w:val="21"/>
                <w:szCs w:val="21"/>
              </w:rPr>
              <w:t>2025</w:t>
            </w:r>
            <w:r>
              <w:rPr>
                <w:rFonts w:ascii="Times New Roman" w:hAnsi="Times New Roman" w:hint="eastAsia"/>
                <w:b/>
                <w:bCs/>
                <w:sz w:val="21"/>
                <w:szCs w:val="21"/>
              </w:rPr>
              <w:t>年</w:t>
            </w:r>
          </w:p>
        </w:tc>
      </w:tr>
      <w:tr w:rsidR="00C02929" w14:paraId="73E8F34A" w14:textId="77777777">
        <w:trPr>
          <w:trHeight w:val="397"/>
        </w:trPr>
        <w:tc>
          <w:tcPr>
            <w:tcW w:w="5000" w:type="pct"/>
            <w:gridSpan w:val="7"/>
            <w:noWrap/>
            <w:vAlign w:val="center"/>
          </w:tcPr>
          <w:p w14:paraId="62DDD95F" w14:textId="77777777" w:rsidR="00C02929" w:rsidRDefault="006116D1">
            <w:pPr>
              <w:adjustRightInd w:val="0"/>
              <w:snapToGrid w:val="0"/>
              <w:rPr>
                <w:rFonts w:ascii="Times New Roman" w:hAnsi="Times New Roman"/>
                <w:b/>
                <w:bCs/>
                <w:sz w:val="21"/>
                <w:szCs w:val="21"/>
              </w:rPr>
            </w:pPr>
            <w:r>
              <w:rPr>
                <w:rFonts w:ascii="Times New Roman" w:hAnsi="Times New Roman" w:hint="eastAsia"/>
                <w:b/>
                <w:bCs/>
                <w:sz w:val="21"/>
                <w:szCs w:val="21"/>
              </w:rPr>
              <w:t>流动资产：</w:t>
            </w:r>
          </w:p>
        </w:tc>
      </w:tr>
      <w:tr w:rsidR="00C02929" w14:paraId="28DBDE99" w14:textId="77777777">
        <w:trPr>
          <w:trHeight w:val="397"/>
        </w:trPr>
        <w:tc>
          <w:tcPr>
            <w:tcW w:w="979" w:type="pct"/>
            <w:noWrap/>
            <w:vAlign w:val="center"/>
          </w:tcPr>
          <w:p w14:paraId="4ACA5FA9"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货币资金</w:t>
            </w:r>
          </w:p>
        </w:tc>
        <w:tc>
          <w:tcPr>
            <w:tcW w:w="666" w:type="pct"/>
            <w:vAlign w:val="center"/>
          </w:tcPr>
          <w:p w14:paraId="50C4A0F3"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2,726.33</w:t>
            </w:r>
          </w:p>
        </w:tc>
        <w:tc>
          <w:tcPr>
            <w:tcW w:w="666" w:type="pct"/>
            <w:vAlign w:val="center"/>
          </w:tcPr>
          <w:p w14:paraId="225F59DA"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3,168.54</w:t>
            </w:r>
          </w:p>
        </w:tc>
        <w:tc>
          <w:tcPr>
            <w:tcW w:w="665" w:type="pct"/>
            <w:vAlign w:val="center"/>
          </w:tcPr>
          <w:p w14:paraId="3F06D64A"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3,522.15</w:t>
            </w:r>
          </w:p>
        </w:tc>
        <w:tc>
          <w:tcPr>
            <w:tcW w:w="665" w:type="pct"/>
            <w:vAlign w:val="center"/>
          </w:tcPr>
          <w:p w14:paraId="0457A36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3,799.57</w:t>
            </w:r>
          </w:p>
        </w:tc>
        <w:tc>
          <w:tcPr>
            <w:tcW w:w="665" w:type="pct"/>
            <w:vAlign w:val="center"/>
          </w:tcPr>
          <w:p w14:paraId="3124B46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4,005.89</w:t>
            </w:r>
          </w:p>
        </w:tc>
        <w:tc>
          <w:tcPr>
            <w:tcW w:w="695" w:type="pct"/>
            <w:vAlign w:val="center"/>
          </w:tcPr>
          <w:p w14:paraId="6829DBA3"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4,126.52</w:t>
            </w:r>
          </w:p>
        </w:tc>
      </w:tr>
      <w:tr w:rsidR="00C02929" w14:paraId="04BA2239" w14:textId="77777777">
        <w:trPr>
          <w:trHeight w:val="397"/>
        </w:trPr>
        <w:tc>
          <w:tcPr>
            <w:tcW w:w="979" w:type="pct"/>
            <w:noWrap/>
            <w:vAlign w:val="center"/>
          </w:tcPr>
          <w:p w14:paraId="15F75A04"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应收票据</w:t>
            </w:r>
          </w:p>
        </w:tc>
        <w:tc>
          <w:tcPr>
            <w:tcW w:w="666" w:type="pct"/>
            <w:vAlign w:val="center"/>
          </w:tcPr>
          <w:p w14:paraId="4D451B67"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886.95</w:t>
            </w:r>
          </w:p>
        </w:tc>
        <w:tc>
          <w:tcPr>
            <w:tcW w:w="666" w:type="pct"/>
            <w:vAlign w:val="center"/>
          </w:tcPr>
          <w:p w14:paraId="6F3910FD"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1,651.71</w:t>
            </w:r>
          </w:p>
        </w:tc>
        <w:tc>
          <w:tcPr>
            <w:tcW w:w="665" w:type="pct"/>
            <w:vAlign w:val="center"/>
          </w:tcPr>
          <w:p w14:paraId="7B4D9A31"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1,827.48</w:t>
            </w:r>
          </w:p>
        </w:tc>
        <w:tc>
          <w:tcPr>
            <w:tcW w:w="665" w:type="pct"/>
            <w:vAlign w:val="center"/>
          </w:tcPr>
          <w:p w14:paraId="6B21335F"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1,964.59</w:t>
            </w:r>
          </w:p>
        </w:tc>
        <w:tc>
          <w:tcPr>
            <w:tcW w:w="665" w:type="pct"/>
            <w:vAlign w:val="center"/>
          </w:tcPr>
          <w:p w14:paraId="73BCC12A"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2,072.45</w:t>
            </w:r>
          </w:p>
        </w:tc>
        <w:tc>
          <w:tcPr>
            <w:tcW w:w="695" w:type="pct"/>
            <w:vAlign w:val="center"/>
          </w:tcPr>
          <w:p w14:paraId="2B4B59A0"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2,134.57</w:t>
            </w:r>
          </w:p>
        </w:tc>
      </w:tr>
      <w:tr w:rsidR="00C02929" w14:paraId="584B68DD" w14:textId="77777777">
        <w:trPr>
          <w:trHeight w:val="397"/>
        </w:trPr>
        <w:tc>
          <w:tcPr>
            <w:tcW w:w="979" w:type="pct"/>
            <w:noWrap/>
            <w:vAlign w:val="center"/>
          </w:tcPr>
          <w:p w14:paraId="73BFA90A"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应收账款净值</w:t>
            </w:r>
          </w:p>
        </w:tc>
        <w:tc>
          <w:tcPr>
            <w:tcW w:w="666" w:type="pct"/>
            <w:vAlign w:val="center"/>
          </w:tcPr>
          <w:p w14:paraId="1AC4D7A6"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4,755.21</w:t>
            </w:r>
          </w:p>
        </w:tc>
        <w:tc>
          <w:tcPr>
            <w:tcW w:w="666" w:type="pct"/>
            <w:vAlign w:val="center"/>
          </w:tcPr>
          <w:p w14:paraId="0C91CE41"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8,855.28</w:t>
            </w:r>
          </w:p>
        </w:tc>
        <w:tc>
          <w:tcPr>
            <w:tcW w:w="665" w:type="pct"/>
            <w:vAlign w:val="center"/>
          </w:tcPr>
          <w:p w14:paraId="50A24A03"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9,797.66</w:t>
            </w:r>
          </w:p>
        </w:tc>
        <w:tc>
          <w:tcPr>
            <w:tcW w:w="665" w:type="pct"/>
            <w:vAlign w:val="center"/>
          </w:tcPr>
          <w:p w14:paraId="7CFE29FB"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10,532.76</w:t>
            </w:r>
          </w:p>
        </w:tc>
        <w:tc>
          <w:tcPr>
            <w:tcW w:w="665" w:type="pct"/>
            <w:vAlign w:val="center"/>
          </w:tcPr>
          <w:p w14:paraId="3D9D7AAB"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11,111.02</w:t>
            </w:r>
          </w:p>
        </w:tc>
        <w:tc>
          <w:tcPr>
            <w:tcW w:w="695" w:type="pct"/>
            <w:vAlign w:val="center"/>
          </w:tcPr>
          <w:p w14:paraId="5D77CEF5"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11,444.05</w:t>
            </w:r>
          </w:p>
        </w:tc>
      </w:tr>
      <w:tr w:rsidR="00C02929" w14:paraId="0F20EED0" w14:textId="77777777">
        <w:trPr>
          <w:trHeight w:val="397"/>
        </w:trPr>
        <w:tc>
          <w:tcPr>
            <w:tcW w:w="979" w:type="pct"/>
            <w:noWrap/>
            <w:vAlign w:val="center"/>
          </w:tcPr>
          <w:p w14:paraId="6002DAA6"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预付款项</w:t>
            </w:r>
          </w:p>
        </w:tc>
        <w:tc>
          <w:tcPr>
            <w:tcW w:w="666" w:type="pct"/>
            <w:vAlign w:val="center"/>
          </w:tcPr>
          <w:p w14:paraId="688AEF83"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189.33</w:t>
            </w:r>
          </w:p>
        </w:tc>
        <w:tc>
          <w:tcPr>
            <w:tcW w:w="666" w:type="pct"/>
            <w:vAlign w:val="center"/>
          </w:tcPr>
          <w:p w14:paraId="3513734B"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376.43</w:t>
            </w:r>
          </w:p>
        </w:tc>
        <w:tc>
          <w:tcPr>
            <w:tcW w:w="665" w:type="pct"/>
            <w:vAlign w:val="center"/>
          </w:tcPr>
          <w:p w14:paraId="463AE401"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416.49</w:t>
            </w:r>
          </w:p>
        </w:tc>
        <w:tc>
          <w:tcPr>
            <w:tcW w:w="665" w:type="pct"/>
            <w:vAlign w:val="center"/>
          </w:tcPr>
          <w:p w14:paraId="5C49D972"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447.74</w:t>
            </w:r>
          </w:p>
        </w:tc>
        <w:tc>
          <w:tcPr>
            <w:tcW w:w="665" w:type="pct"/>
            <w:vAlign w:val="center"/>
          </w:tcPr>
          <w:p w14:paraId="1827D783"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472.32</w:t>
            </w:r>
          </w:p>
        </w:tc>
        <w:tc>
          <w:tcPr>
            <w:tcW w:w="695" w:type="pct"/>
            <w:vAlign w:val="center"/>
          </w:tcPr>
          <w:p w14:paraId="4B83820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486.48</w:t>
            </w:r>
          </w:p>
        </w:tc>
      </w:tr>
      <w:tr w:rsidR="00C02929" w14:paraId="1AD4B362" w14:textId="77777777">
        <w:trPr>
          <w:trHeight w:val="397"/>
        </w:trPr>
        <w:tc>
          <w:tcPr>
            <w:tcW w:w="979" w:type="pct"/>
            <w:noWrap/>
            <w:vAlign w:val="center"/>
          </w:tcPr>
          <w:p w14:paraId="7D765CFA"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其他应收款</w:t>
            </w:r>
          </w:p>
        </w:tc>
        <w:tc>
          <w:tcPr>
            <w:tcW w:w="666" w:type="pct"/>
            <w:vAlign w:val="center"/>
          </w:tcPr>
          <w:p w14:paraId="40D9E49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113.12</w:t>
            </w:r>
          </w:p>
        </w:tc>
        <w:tc>
          <w:tcPr>
            <w:tcW w:w="666" w:type="pct"/>
            <w:vAlign w:val="center"/>
          </w:tcPr>
          <w:p w14:paraId="02238C24"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113.12</w:t>
            </w:r>
          </w:p>
        </w:tc>
        <w:tc>
          <w:tcPr>
            <w:tcW w:w="665" w:type="pct"/>
            <w:vAlign w:val="center"/>
          </w:tcPr>
          <w:p w14:paraId="28C3EA4A"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113.12</w:t>
            </w:r>
          </w:p>
        </w:tc>
        <w:tc>
          <w:tcPr>
            <w:tcW w:w="665" w:type="pct"/>
            <w:vAlign w:val="center"/>
          </w:tcPr>
          <w:p w14:paraId="7EFFEEF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113.12</w:t>
            </w:r>
          </w:p>
        </w:tc>
        <w:tc>
          <w:tcPr>
            <w:tcW w:w="665" w:type="pct"/>
            <w:vAlign w:val="center"/>
          </w:tcPr>
          <w:p w14:paraId="3B7FD25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113.12</w:t>
            </w:r>
          </w:p>
        </w:tc>
        <w:tc>
          <w:tcPr>
            <w:tcW w:w="695" w:type="pct"/>
            <w:vAlign w:val="center"/>
          </w:tcPr>
          <w:p w14:paraId="31B57EF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113.12</w:t>
            </w:r>
          </w:p>
        </w:tc>
      </w:tr>
      <w:tr w:rsidR="00C02929" w14:paraId="4662A47A" w14:textId="77777777">
        <w:trPr>
          <w:trHeight w:val="397"/>
        </w:trPr>
        <w:tc>
          <w:tcPr>
            <w:tcW w:w="979" w:type="pct"/>
            <w:noWrap/>
            <w:vAlign w:val="center"/>
          </w:tcPr>
          <w:p w14:paraId="6CF26E6C"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存货</w:t>
            </w:r>
          </w:p>
        </w:tc>
        <w:tc>
          <w:tcPr>
            <w:tcW w:w="666" w:type="pct"/>
            <w:vAlign w:val="center"/>
          </w:tcPr>
          <w:p w14:paraId="2B830B70"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2,455.75</w:t>
            </w:r>
          </w:p>
        </w:tc>
        <w:tc>
          <w:tcPr>
            <w:tcW w:w="666" w:type="pct"/>
            <w:vAlign w:val="center"/>
          </w:tcPr>
          <w:p w14:paraId="5D5A983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4,882.56</w:t>
            </w:r>
          </w:p>
        </w:tc>
        <w:tc>
          <w:tcPr>
            <w:tcW w:w="665" w:type="pct"/>
            <w:vAlign w:val="center"/>
          </w:tcPr>
          <w:p w14:paraId="778F19C0"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5,402.16</w:t>
            </w:r>
          </w:p>
        </w:tc>
        <w:tc>
          <w:tcPr>
            <w:tcW w:w="665" w:type="pct"/>
            <w:vAlign w:val="center"/>
          </w:tcPr>
          <w:p w14:paraId="47DBC06D"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5,807.47</w:t>
            </w:r>
          </w:p>
        </w:tc>
        <w:tc>
          <w:tcPr>
            <w:tcW w:w="665" w:type="pct"/>
            <w:vAlign w:val="center"/>
          </w:tcPr>
          <w:p w14:paraId="5472022B"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6,126.31</w:t>
            </w:r>
          </w:p>
        </w:tc>
        <w:tc>
          <w:tcPr>
            <w:tcW w:w="695" w:type="pct"/>
            <w:vAlign w:val="center"/>
          </w:tcPr>
          <w:p w14:paraId="34CA0D07"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6,309.93</w:t>
            </w:r>
          </w:p>
        </w:tc>
      </w:tr>
      <w:tr w:rsidR="00C02929" w14:paraId="284ABB50" w14:textId="77777777">
        <w:trPr>
          <w:trHeight w:val="397"/>
        </w:trPr>
        <w:tc>
          <w:tcPr>
            <w:tcW w:w="979" w:type="pct"/>
            <w:noWrap/>
            <w:vAlign w:val="center"/>
          </w:tcPr>
          <w:p w14:paraId="514CBB7A"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其他流动资产</w:t>
            </w:r>
          </w:p>
        </w:tc>
        <w:tc>
          <w:tcPr>
            <w:tcW w:w="666" w:type="pct"/>
            <w:vAlign w:val="center"/>
          </w:tcPr>
          <w:p w14:paraId="07C12B63"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w:t>
            </w:r>
          </w:p>
        </w:tc>
        <w:tc>
          <w:tcPr>
            <w:tcW w:w="666" w:type="pct"/>
            <w:vAlign w:val="center"/>
          </w:tcPr>
          <w:p w14:paraId="18AA364E"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w:t>
            </w:r>
          </w:p>
        </w:tc>
        <w:tc>
          <w:tcPr>
            <w:tcW w:w="665" w:type="pct"/>
            <w:vAlign w:val="center"/>
          </w:tcPr>
          <w:p w14:paraId="54F210C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w:t>
            </w:r>
          </w:p>
        </w:tc>
        <w:tc>
          <w:tcPr>
            <w:tcW w:w="665" w:type="pct"/>
            <w:vAlign w:val="center"/>
          </w:tcPr>
          <w:p w14:paraId="657B405E"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w:t>
            </w:r>
          </w:p>
        </w:tc>
        <w:tc>
          <w:tcPr>
            <w:tcW w:w="665" w:type="pct"/>
            <w:vAlign w:val="center"/>
          </w:tcPr>
          <w:p w14:paraId="44614352"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w:t>
            </w:r>
          </w:p>
        </w:tc>
        <w:tc>
          <w:tcPr>
            <w:tcW w:w="695" w:type="pct"/>
            <w:vAlign w:val="center"/>
          </w:tcPr>
          <w:p w14:paraId="62606D37"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w:t>
            </w:r>
          </w:p>
        </w:tc>
      </w:tr>
      <w:tr w:rsidR="00C02929" w14:paraId="0404D432" w14:textId="77777777">
        <w:trPr>
          <w:trHeight w:val="397"/>
        </w:trPr>
        <w:tc>
          <w:tcPr>
            <w:tcW w:w="979" w:type="pct"/>
            <w:noWrap/>
            <w:vAlign w:val="center"/>
          </w:tcPr>
          <w:p w14:paraId="5600A7DB" w14:textId="77777777" w:rsidR="00C02929" w:rsidRDefault="006116D1">
            <w:pPr>
              <w:adjustRightInd w:val="0"/>
              <w:snapToGrid w:val="0"/>
              <w:rPr>
                <w:rFonts w:ascii="Times New Roman" w:hAnsi="Times New Roman"/>
                <w:b/>
                <w:bCs/>
                <w:sz w:val="21"/>
                <w:szCs w:val="21"/>
              </w:rPr>
            </w:pPr>
            <w:r>
              <w:rPr>
                <w:rFonts w:ascii="Times New Roman" w:hAnsi="Times New Roman" w:hint="eastAsia"/>
                <w:b/>
                <w:bCs/>
                <w:sz w:val="21"/>
                <w:szCs w:val="21"/>
              </w:rPr>
              <w:t>流动资产合计</w:t>
            </w:r>
          </w:p>
        </w:tc>
        <w:tc>
          <w:tcPr>
            <w:tcW w:w="666" w:type="pct"/>
            <w:noWrap/>
            <w:vAlign w:val="center"/>
          </w:tcPr>
          <w:p w14:paraId="72345472"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11,126.68</w:t>
            </w:r>
          </w:p>
        </w:tc>
        <w:tc>
          <w:tcPr>
            <w:tcW w:w="666" w:type="pct"/>
            <w:noWrap/>
            <w:vAlign w:val="center"/>
          </w:tcPr>
          <w:p w14:paraId="5C989C16"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19,047.63</w:t>
            </w:r>
          </w:p>
        </w:tc>
        <w:tc>
          <w:tcPr>
            <w:tcW w:w="665" w:type="pct"/>
            <w:noWrap/>
            <w:vAlign w:val="center"/>
          </w:tcPr>
          <w:p w14:paraId="65A8EFCD"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21,079.06</w:t>
            </w:r>
          </w:p>
        </w:tc>
        <w:tc>
          <w:tcPr>
            <w:tcW w:w="665" w:type="pct"/>
            <w:noWrap/>
            <w:vAlign w:val="center"/>
          </w:tcPr>
          <w:p w14:paraId="1D047653"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22,665.25</w:t>
            </w:r>
          </w:p>
        </w:tc>
        <w:tc>
          <w:tcPr>
            <w:tcW w:w="665" w:type="pct"/>
            <w:noWrap/>
            <w:vAlign w:val="center"/>
          </w:tcPr>
          <w:p w14:paraId="4F3C0260"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23,901.10</w:t>
            </w:r>
          </w:p>
        </w:tc>
        <w:tc>
          <w:tcPr>
            <w:tcW w:w="695" w:type="pct"/>
            <w:noWrap/>
            <w:vAlign w:val="center"/>
          </w:tcPr>
          <w:p w14:paraId="4C340DDE"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24,614.65</w:t>
            </w:r>
          </w:p>
        </w:tc>
      </w:tr>
      <w:tr w:rsidR="00C02929" w14:paraId="53E1D3D4" w14:textId="77777777">
        <w:trPr>
          <w:trHeight w:val="397"/>
        </w:trPr>
        <w:tc>
          <w:tcPr>
            <w:tcW w:w="5000" w:type="pct"/>
            <w:gridSpan w:val="7"/>
            <w:noWrap/>
            <w:vAlign w:val="center"/>
          </w:tcPr>
          <w:p w14:paraId="484D2DC6" w14:textId="77777777" w:rsidR="00C02929" w:rsidRDefault="006116D1">
            <w:pPr>
              <w:adjustRightInd w:val="0"/>
              <w:snapToGrid w:val="0"/>
              <w:rPr>
                <w:rFonts w:ascii="Times New Roman" w:hAnsi="Times New Roman"/>
                <w:b/>
                <w:bCs/>
                <w:sz w:val="21"/>
                <w:szCs w:val="21"/>
              </w:rPr>
            </w:pPr>
            <w:r>
              <w:rPr>
                <w:rFonts w:ascii="Times New Roman" w:hAnsi="Times New Roman" w:hint="eastAsia"/>
                <w:b/>
                <w:bCs/>
                <w:sz w:val="21"/>
                <w:szCs w:val="21"/>
              </w:rPr>
              <w:t>流动负债：</w:t>
            </w:r>
          </w:p>
        </w:tc>
      </w:tr>
      <w:tr w:rsidR="00C02929" w14:paraId="2B9007D6" w14:textId="77777777">
        <w:trPr>
          <w:trHeight w:val="397"/>
        </w:trPr>
        <w:tc>
          <w:tcPr>
            <w:tcW w:w="979" w:type="pct"/>
            <w:noWrap/>
            <w:vAlign w:val="center"/>
          </w:tcPr>
          <w:p w14:paraId="1988501F"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应付票据</w:t>
            </w:r>
          </w:p>
        </w:tc>
        <w:tc>
          <w:tcPr>
            <w:tcW w:w="666" w:type="pct"/>
            <w:vAlign w:val="center"/>
          </w:tcPr>
          <w:p w14:paraId="1D768284"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1,104.32</w:t>
            </w:r>
          </w:p>
        </w:tc>
        <w:tc>
          <w:tcPr>
            <w:tcW w:w="666" w:type="pct"/>
            <w:vAlign w:val="center"/>
          </w:tcPr>
          <w:p w14:paraId="6679BFD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2,195.62</w:t>
            </w:r>
          </w:p>
        </w:tc>
        <w:tc>
          <w:tcPr>
            <w:tcW w:w="665" w:type="pct"/>
            <w:vAlign w:val="center"/>
          </w:tcPr>
          <w:p w14:paraId="67C19CA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2,429.28</w:t>
            </w:r>
          </w:p>
        </w:tc>
        <w:tc>
          <w:tcPr>
            <w:tcW w:w="665" w:type="pct"/>
            <w:vAlign w:val="center"/>
          </w:tcPr>
          <w:p w14:paraId="09A3B50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2,611.54</w:t>
            </w:r>
          </w:p>
        </w:tc>
        <w:tc>
          <w:tcPr>
            <w:tcW w:w="665" w:type="pct"/>
            <w:vAlign w:val="center"/>
          </w:tcPr>
          <w:p w14:paraId="686542EE"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2,754.92</w:t>
            </w:r>
          </w:p>
        </w:tc>
        <w:tc>
          <w:tcPr>
            <w:tcW w:w="695" w:type="pct"/>
            <w:vAlign w:val="center"/>
          </w:tcPr>
          <w:p w14:paraId="0FC59FC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2,837.49</w:t>
            </w:r>
          </w:p>
        </w:tc>
      </w:tr>
      <w:tr w:rsidR="00C02929" w14:paraId="0D63C0C9" w14:textId="77777777">
        <w:trPr>
          <w:trHeight w:val="397"/>
        </w:trPr>
        <w:tc>
          <w:tcPr>
            <w:tcW w:w="979" w:type="pct"/>
            <w:noWrap/>
            <w:vAlign w:val="center"/>
          </w:tcPr>
          <w:p w14:paraId="4F897575"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应付账款</w:t>
            </w:r>
          </w:p>
        </w:tc>
        <w:tc>
          <w:tcPr>
            <w:tcW w:w="666" w:type="pct"/>
            <w:vAlign w:val="center"/>
          </w:tcPr>
          <w:p w14:paraId="676BE5BD"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2,299.03</w:t>
            </w:r>
          </w:p>
        </w:tc>
        <w:tc>
          <w:tcPr>
            <w:tcW w:w="666" w:type="pct"/>
            <w:vAlign w:val="center"/>
          </w:tcPr>
          <w:p w14:paraId="31597481"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4,570.98</w:t>
            </w:r>
          </w:p>
        </w:tc>
        <w:tc>
          <w:tcPr>
            <w:tcW w:w="665" w:type="pct"/>
            <w:vAlign w:val="center"/>
          </w:tcPr>
          <w:p w14:paraId="4FD7417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5,057.42</w:t>
            </w:r>
          </w:p>
        </w:tc>
        <w:tc>
          <w:tcPr>
            <w:tcW w:w="665" w:type="pct"/>
            <w:vAlign w:val="center"/>
          </w:tcPr>
          <w:p w14:paraId="0FF772D0"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5,436.87</w:t>
            </w:r>
          </w:p>
        </w:tc>
        <w:tc>
          <w:tcPr>
            <w:tcW w:w="665" w:type="pct"/>
            <w:vAlign w:val="center"/>
          </w:tcPr>
          <w:p w14:paraId="22FC3D5A"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5,735.36</w:t>
            </w:r>
          </w:p>
        </w:tc>
        <w:tc>
          <w:tcPr>
            <w:tcW w:w="695" w:type="pct"/>
            <w:vAlign w:val="center"/>
          </w:tcPr>
          <w:p w14:paraId="41CA6A7B"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5,907.26</w:t>
            </w:r>
          </w:p>
        </w:tc>
      </w:tr>
      <w:tr w:rsidR="00C02929" w14:paraId="501A60DA" w14:textId="77777777">
        <w:trPr>
          <w:trHeight w:val="397"/>
        </w:trPr>
        <w:tc>
          <w:tcPr>
            <w:tcW w:w="979" w:type="pct"/>
            <w:noWrap/>
            <w:vAlign w:val="center"/>
          </w:tcPr>
          <w:p w14:paraId="46E7992A" w14:textId="4CEE77AC"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合同负债</w:t>
            </w:r>
          </w:p>
        </w:tc>
        <w:tc>
          <w:tcPr>
            <w:tcW w:w="666" w:type="pct"/>
            <w:vAlign w:val="center"/>
          </w:tcPr>
          <w:p w14:paraId="3DEBB84D"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1,589.48</w:t>
            </w:r>
          </w:p>
        </w:tc>
        <w:tc>
          <w:tcPr>
            <w:tcW w:w="666" w:type="pct"/>
            <w:vAlign w:val="center"/>
          </w:tcPr>
          <w:p w14:paraId="170A25D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2,959.97</w:t>
            </w:r>
          </w:p>
        </w:tc>
        <w:tc>
          <w:tcPr>
            <w:tcW w:w="665" w:type="pct"/>
            <w:vAlign w:val="center"/>
          </w:tcPr>
          <w:p w14:paraId="7B5B3220"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3,274.98</w:t>
            </w:r>
          </w:p>
        </w:tc>
        <w:tc>
          <w:tcPr>
            <w:tcW w:w="665" w:type="pct"/>
            <w:vAlign w:val="center"/>
          </w:tcPr>
          <w:p w14:paraId="749EE13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3,520.69</w:t>
            </w:r>
          </w:p>
        </w:tc>
        <w:tc>
          <w:tcPr>
            <w:tcW w:w="665" w:type="pct"/>
            <w:vAlign w:val="center"/>
          </w:tcPr>
          <w:p w14:paraId="0E331B41"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3,713.98</w:t>
            </w:r>
          </w:p>
        </w:tc>
        <w:tc>
          <w:tcPr>
            <w:tcW w:w="695" w:type="pct"/>
            <w:vAlign w:val="center"/>
          </w:tcPr>
          <w:p w14:paraId="59A9547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3,825.30</w:t>
            </w:r>
          </w:p>
        </w:tc>
      </w:tr>
      <w:tr w:rsidR="00C02929" w14:paraId="6CDCF31B" w14:textId="77777777">
        <w:trPr>
          <w:trHeight w:val="397"/>
        </w:trPr>
        <w:tc>
          <w:tcPr>
            <w:tcW w:w="979" w:type="pct"/>
            <w:noWrap/>
            <w:vAlign w:val="center"/>
          </w:tcPr>
          <w:p w14:paraId="1F025C32"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其他应付款</w:t>
            </w:r>
          </w:p>
        </w:tc>
        <w:tc>
          <w:tcPr>
            <w:tcW w:w="666" w:type="pct"/>
            <w:vAlign w:val="center"/>
          </w:tcPr>
          <w:p w14:paraId="3897AB34"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14.84</w:t>
            </w:r>
          </w:p>
        </w:tc>
        <w:tc>
          <w:tcPr>
            <w:tcW w:w="666" w:type="pct"/>
            <w:vAlign w:val="center"/>
          </w:tcPr>
          <w:p w14:paraId="2D8FB6D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14.84</w:t>
            </w:r>
          </w:p>
        </w:tc>
        <w:tc>
          <w:tcPr>
            <w:tcW w:w="665" w:type="pct"/>
            <w:vAlign w:val="center"/>
          </w:tcPr>
          <w:p w14:paraId="7D6644D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14.84</w:t>
            </w:r>
          </w:p>
        </w:tc>
        <w:tc>
          <w:tcPr>
            <w:tcW w:w="665" w:type="pct"/>
            <w:vAlign w:val="center"/>
          </w:tcPr>
          <w:p w14:paraId="576C2481"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14.84</w:t>
            </w:r>
          </w:p>
        </w:tc>
        <w:tc>
          <w:tcPr>
            <w:tcW w:w="665" w:type="pct"/>
            <w:vAlign w:val="center"/>
          </w:tcPr>
          <w:p w14:paraId="6AC14373"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14.84</w:t>
            </w:r>
          </w:p>
        </w:tc>
        <w:tc>
          <w:tcPr>
            <w:tcW w:w="695" w:type="pct"/>
            <w:vAlign w:val="center"/>
          </w:tcPr>
          <w:p w14:paraId="134583C6"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14.84</w:t>
            </w:r>
          </w:p>
        </w:tc>
      </w:tr>
      <w:tr w:rsidR="00C02929" w14:paraId="2C426059" w14:textId="77777777">
        <w:trPr>
          <w:trHeight w:val="397"/>
        </w:trPr>
        <w:tc>
          <w:tcPr>
            <w:tcW w:w="979" w:type="pct"/>
            <w:noWrap/>
            <w:vAlign w:val="center"/>
          </w:tcPr>
          <w:p w14:paraId="73674B24"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应付工资</w:t>
            </w:r>
          </w:p>
        </w:tc>
        <w:tc>
          <w:tcPr>
            <w:tcW w:w="666" w:type="pct"/>
            <w:vAlign w:val="center"/>
          </w:tcPr>
          <w:p w14:paraId="5CBA997D"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121.81</w:t>
            </w:r>
          </w:p>
        </w:tc>
        <w:tc>
          <w:tcPr>
            <w:tcW w:w="666" w:type="pct"/>
            <w:vAlign w:val="center"/>
          </w:tcPr>
          <w:p w14:paraId="7D9F4286"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242.19</w:t>
            </w:r>
          </w:p>
        </w:tc>
        <w:tc>
          <w:tcPr>
            <w:tcW w:w="665" w:type="pct"/>
            <w:vAlign w:val="center"/>
          </w:tcPr>
          <w:p w14:paraId="61C80105"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267.96</w:t>
            </w:r>
          </w:p>
        </w:tc>
        <w:tc>
          <w:tcPr>
            <w:tcW w:w="665" w:type="pct"/>
            <w:vAlign w:val="center"/>
          </w:tcPr>
          <w:p w14:paraId="50DBFDD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288.07</w:t>
            </w:r>
          </w:p>
        </w:tc>
        <w:tc>
          <w:tcPr>
            <w:tcW w:w="665" w:type="pct"/>
            <w:vAlign w:val="center"/>
          </w:tcPr>
          <w:p w14:paraId="22A6504A"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303.88</w:t>
            </w:r>
          </w:p>
        </w:tc>
        <w:tc>
          <w:tcPr>
            <w:tcW w:w="695" w:type="pct"/>
            <w:vAlign w:val="center"/>
          </w:tcPr>
          <w:p w14:paraId="6162F448"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312.99</w:t>
            </w:r>
          </w:p>
        </w:tc>
      </w:tr>
      <w:tr w:rsidR="00C02929" w14:paraId="070FF018" w14:textId="77777777">
        <w:trPr>
          <w:trHeight w:val="397"/>
        </w:trPr>
        <w:tc>
          <w:tcPr>
            <w:tcW w:w="979" w:type="pct"/>
            <w:noWrap/>
            <w:vAlign w:val="center"/>
          </w:tcPr>
          <w:p w14:paraId="09770948"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应交税费</w:t>
            </w:r>
          </w:p>
        </w:tc>
        <w:tc>
          <w:tcPr>
            <w:tcW w:w="666" w:type="pct"/>
            <w:vAlign w:val="center"/>
          </w:tcPr>
          <w:p w14:paraId="36ABC58E"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93.13</w:t>
            </w:r>
          </w:p>
        </w:tc>
        <w:tc>
          <w:tcPr>
            <w:tcW w:w="666" w:type="pct"/>
            <w:vAlign w:val="center"/>
          </w:tcPr>
          <w:p w14:paraId="76C6AD7A"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185.16</w:t>
            </w:r>
          </w:p>
        </w:tc>
        <w:tc>
          <w:tcPr>
            <w:tcW w:w="665" w:type="pct"/>
            <w:vAlign w:val="center"/>
          </w:tcPr>
          <w:p w14:paraId="3EFA19CE"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204.87</w:t>
            </w:r>
          </w:p>
        </w:tc>
        <w:tc>
          <w:tcPr>
            <w:tcW w:w="665" w:type="pct"/>
            <w:vAlign w:val="center"/>
          </w:tcPr>
          <w:p w14:paraId="1BBCD0AD"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220.24</w:t>
            </w:r>
          </w:p>
        </w:tc>
        <w:tc>
          <w:tcPr>
            <w:tcW w:w="665" w:type="pct"/>
            <w:vAlign w:val="center"/>
          </w:tcPr>
          <w:p w14:paraId="359E325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232.33</w:t>
            </w:r>
          </w:p>
        </w:tc>
        <w:tc>
          <w:tcPr>
            <w:tcW w:w="695" w:type="pct"/>
            <w:vAlign w:val="center"/>
          </w:tcPr>
          <w:p w14:paraId="10FE4E56"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239.29</w:t>
            </w:r>
          </w:p>
        </w:tc>
      </w:tr>
      <w:tr w:rsidR="00C02929" w14:paraId="2B1C08CA" w14:textId="77777777">
        <w:trPr>
          <w:trHeight w:val="397"/>
        </w:trPr>
        <w:tc>
          <w:tcPr>
            <w:tcW w:w="979" w:type="pct"/>
            <w:noWrap/>
            <w:vAlign w:val="center"/>
          </w:tcPr>
          <w:p w14:paraId="097A7AB3" w14:textId="77777777" w:rsidR="00C02929" w:rsidRDefault="006116D1">
            <w:pPr>
              <w:adjustRightInd w:val="0"/>
              <w:snapToGrid w:val="0"/>
              <w:rPr>
                <w:rFonts w:ascii="Times New Roman" w:hAnsi="Times New Roman"/>
                <w:b/>
                <w:bCs/>
                <w:sz w:val="21"/>
                <w:szCs w:val="21"/>
              </w:rPr>
            </w:pPr>
            <w:r>
              <w:rPr>
                <w:rFonts w:ascii="Times New Roman" w:hAnsi="Times New Roman" w:hint="eastAsia"/>
                <w:b/>
                <w:bCs/>
                <w:sz w:val="21"/>
                <w:szCs w:val="21"/>
              </w:rPr>
              <w:t>流动负债合计</w:t>
            </w:r>
          </w:p>
        </w:tc>
        <w:tc>
          <w:tcPr>
            <w:tcW w:w="666" w:type="pct"/>
            <w:noWrap/>
            <w:vAlign w:val="center"/>
          </w:tcPr>
          <w:p w14:paraId="3AC1DE6C"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5,222.61</w:t>
            </w:r>
          </w:p>
        </w:tc>
        <w:tc>
          <w:tcPr>
            <w:tcW w:w="666" w:type="pct"/>
            <w:noWrap/>
            <w:vAlign w:val="center"/>
          </w:tcPr>
          <w:p w14:paraId="3A7EB452"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10,168.77</w:t>
            </w:r>
          </w:p>
        </w:tc>
        <w:tc>
          <w:tcPr>
            <w:tcW w:w="665" w:type="pct"/>
            <w:noWrap/>
            <w:vAlign w:val="center"/>
          </w:tcPr>
          <w:p w14:paraId="29D87486"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11,249.35</w:t>
            </w:r>
          </w:p>
        </w:tc>
        <w:tc>
          <w:tcPr>
            <w:tcW w:w="665" w:type="pct"/>
            <w:noWrap/>
            <w:vAlign w:val="center"/>
          </w:tcPr>
          <w:p w14:paraId="6FFAFE23"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12,092.25</w:t>
            </w:r>
          </w:p>
        </w:tc>
        <w:tc>
          <w:tcPr>
            <w:tcW w:w="665" w:type="pct"/>
            <w:noWrap/>
            <w:vAlign w:val="center"/>
          </w:tcPr>
          <w:p w14:paraId="0AF46D2B"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12,755.31</w:t>
            </w:r>
          </w:p>
        </w:tc>
        <w:tc>
          <w:tcPr>
            <w:tcW w:w="695" w:type="pct"/>
            <w:noWrap/>
            <w:vAlign w:val="center"/>
          </w:tcPr>
          <w:p w14:paraId="5E0CC630"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13,137.18</w:t>
            </w:r>
          </w:p>
        </w:tc>
      </w:tr>
      <w:tr w:rsidR="00C02929" w14:paraId="215BE2A3" w14:textId="77777777">
        <w:trPr>
          <w:trHeight w:val="397"/>
        </w:trPr>
        <w:tc>
          <w:tcPr>
            <w:tcW w:w="979" w:type="pct"/>
            <w:noWrap/>
            <w:vAlign w:val="center"/>
          </w:tcPr>
          <w:p w14:paraId="6D89EFB1" w14:textId="77777777" w:rsidR="00C02929" w:rsidRDefault="006116D1">
            <w:pPr>
              <w:adjustRightInd w:val="0"/>
              <w:snapToGrid w:val="0"/>
              <w:rPr>
                <w:rFonts w:ascii="Times New Roman" w:hAnsi="Times New Roman"/>
                <w:b/>
                <w:bCs/>
                <w:sz w:val="21"/>
                <w:szCs w:val="21"/>
              </w:rPr>
            </w:pPr>
            <w:r>
              <w:rPr>
                <w:rFonts w:ascii="Times New Roman" w:hAnsi="Times New Roman" w:hint="eastAsia"/>
                <w:b/>
                <w:bCs/>
                <w:sz w:val="21"/>
                <w:szCs w:val="21"/>
              </w:rPr>
              <w:t>营运资金占用</w:t>
            </w:r>
          </w:p>
        </w:tc>
        <w:tc>
          <w:tcPr>
            <w:tcW w:w="666" w:type="pct"/>
            <w:noWrap/>
            <w:vAlign w:val="center"/>
          </w:tcPr>
          <w:p w14:paraId="5FBD4FFC"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5,904.07</w:t>
            </w:r>
          </w:p>
        </w:tc>
        <w:tc>
          <w:tcPr>
            <w:tcW w:w="666" w:type="pct"/>
            <w:noWrap/>
            <w:vAlign w:val="center"/>
          </w:tcPr>
          <w:p w14:paraId="7CB26BF5"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8,878.86</w:t>
            </w:r>
          </w:p>
        </w:tc>
        <w:tc>
          <w:tcPr>
            <w:tcW w:w="665" w:type="pct"/>
            <w:noWrap/>
            <w:vAlign w:val="center"/>
          </w:tcPr>
          <w:p w14:paraId="63E4880B"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9,829.71</w:t>
            </w:r>
          </w:p>
        </w:tc>
        <w:tc>
          <w:tcPr>
            <w:tcW w:w="665" w:type="pct"/>
            <w:noWrap/>
            <w:vAlign w:val="center"/>
          </w:tcPr>
          <w:p w14:paraId="5143F984"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10,573.00</w:t>
            </w:r>
          </w:p>
        </w:tc>
        <w:tc>
          <w:tcPr>
            <w:tcW w:w="665" w:type="pct"/>
            <w:noWrap/>
            <w:vAlign w:val="center"/>
          </w:tcPr>
          <w:p w14:paraId="37C82FE5"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11,145.79</w:t>
            </w:r>
          </w:p>
        </w:tc>
        <w:tc>
          <w:tcPr>
            <w:tcW w:w="695" w:type="pct"/>
            <w:noWrap/>
            <w:vAlign w:val="center"/>
          </w:tcPr>
          <w:p w14:paraId="15E23019" w14:textId="77777777" w:rsidR="00C02929" w:rsidRDefault="006116D1">
            <w:pPr>
              <w:adjustRightInd w:val="0"/>
              <w:snapToGrid w:val="0"/>
              <w:jc w:val="right"/>
              <w:rPr>
                <w:rFonts w:ascii="Times New Roman" w:hAnsi="Times New Roman"/>
                <w:b/>
                <w:bCs/>
                <w:sz w:val="21"/>
                <w:szCs w:val="21"/>
              </w:rPr>
            </w:pPr>
            <w:r>
              <w:rPr>
                <w:rFonts w:ascii="Times New Roman" w:hAnsi="Times New Roman"/>
                <w:b/>
                <w:bCs/>
                <w:sz w:val="21"/>
                <w:szCs w:val="21"/>
              </w:rPr>
              <w:t>11,477.48</w:t>
            </w:r>
          </w:p>
        </w:tc>
      </w:tr>
      <w:tr w:rsidR="00C02929" w14:paraId="1D10CE28" w14:textId="77777777">
        <w:trPr>
          <w:trHeight w:val="397"/>
        </w:trPr>
        <w:tc>
          <w:tcPr>
            <w:tcW w:w="979" w:type="pct"/>
            <w:noWrap/>
            <w:vAlign w:val="center"/>
          </w:tcPr>
          <w:p w14:paraId="5D12397E"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营运资金变动</w:t>
            </w:r>
          </w:p>
        </w:tc>
        <w:tc>
          <w:tcPr>
            <w:tcW w:w="666" w:type="pct"/>
            <w:noWrap/>
            <w:vAlign w:val="center"/>
          </w:tcPr>
          <w:p w14:paraId="1F346C0B"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786.20</w:t>
            </w:r>
          </w:p>
        </w:tc>
        <w:tc>
          <w:tcPr>
            <w:tcW w:w="666" w:type="pct"/>
            <w:noWrap/>
            <w:vAlign w:val="center"/>
          </w:tcPr>
          <w:p w14:paraId="3921B099"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2,974.79</w:t>
            </w:r>
          </w:p>
        </w:tc>
        <w:tc>
          <w:tcPr>
            <w:tcW w:w="665" w:type="pct"/>
            <w:noWrap/>
            <w:vAlign w:val="center"/>
          </w:tcPr>
          <w:p w14:paraId="5C80A5D0"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950.85</w:t>
            </w:r>
          </w:p>
        </w:tc>
        <w:tc>
          <w:tcPr>
            <w:tcW w:w="665" w:type="pct"/>
            <w:noWrap/>
            <w:vAlign w:val="center"/>
          </w:tcPr>
          <w:p w14:paraId="4E65FA4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743.29</w:t>
            </w:r>
          </w:p>
        </w:tc>
        <w:tc>
          <w:tcPr>
            <w:tcW w:w="665" w:type="pct"/>
            <w:noWrap/>
            <w:vAlign w:val="center"/>
          </w:tcPr>
          <w:p w14:paraId="3940185E"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572.79</w:t>
            </w:r>
          </w:p>
        </w:tc>
        <w:tc>
          <w:tcPr>
            <w:tcW w:w="695" w:type="pct"/>
            <w:noWrap/>
            <w:vAlign w:val="center"/>
          </w:tcPr>
          <w:p w14:paraId="6AF3910F"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331.68</w:t>
            </w:r>
          </w:p>
        </w:tc>
      </w:tr>
      <w:tr w:rsidR="00C02929" w14:paraId="40BA29BC" w14:textId="77777777">
        <w:trPr>
          <w:trHeight w:val="397"/>
        </w:trPr>
        <w:tc>
          <w:tcPr>
            <w:tcW w:w="979" w:type="pct"/>
            <w:noWrap/>
            <w:vAlign w:val="center"/>
          </w:tcPr>
          <w:p w14:paraId="28C1A8FA" w14:textId="77777777" w:rsidR="00C02929" w:rsidRDefault="006116D1">
            <w:pPr>
              <w:adjustRightInd w:val="0"/>
              <w:snapToGrid w:val="0"/>
              <w:rPr>
                <w:rFonts w:ascii="Times New Roman" w:hAnsi="Times New Roman"/>
                <w:sz w:val="21"/>
                <w:szCs w:val="21"/>
              </w:rPr>
            </w:pPr>
            <w:r>
              <w:rPr>
                <w:rFonts w:ascii="Times New Roman" w:hAnsi="Times New Roman" w:hint="eastAsia"/>
                <w:sz w:val="21"/>
                <w:szCs w:val="21"/>
              </w:rPr>
              <w:t>营运资金占用</w:t>
            </w:r>
            <w:r>
              <w:rPr>
                <w:rFonts w:ascii="Times New Roman" w:hAnsi="Times New Roman"/>
                <w:sz w:val="21"/>
                <w:szCs w:val="21"/>
              </w:rPr>
              <w:t>/</w:t>
            </w:r>
            <w:r>
              <w:rPr>
                <w:rFonts w:ascii="Times New Roman" w:hAnsi="Times New Roman" w:hint="eastAsia"/>
                <w:sz w:val="21"/>
                <w:szCs w:val="21"/>
              </w:rPr>
              <w:t>营业收入</w:t>
            </w:r>
          </w:p>
        </w:tc>
        <w:tc>
          <w:tcPr>
            <w:tcW w:w="666" w:type="pct"/>
            <w:noWrap/>
            <w:vAlign w:val="center"/>
          </w:tcPr>
          <w:p w14:paraId="287C4D7F"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38%</w:t>
            </w:r>
          </w:p>
        </w:tc>
        <w:tc>
          <w:tcPr>
            <w:tcW w:w="666" w:type="pct"/>
            <w:noWrap/>
            <w:vAlign w:val="center"/>
          </w:tcPr>
          <w:p w14:paraId="43B5D056"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30%</w:t>
            </w:r>
          </w:p>
        </w:tc>
        <w:tc>
          <w:tcPr>
            <w:tcW w:w="665" w:type="pct"/>
            <w:noWrap/>
            <w:vAlign w:val="center"/>
          </w:tcPr>
          <w:p w14:paraId="31064CDC"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30%</w:t>
            </w:r>
          </w:p>
        </w:tc>
        <w:tc>
          <w:tcPr>
            <w:tcW w:w="665" w:type="pct"/>
            <w:noWrap/>
            <w:vAlign w:val="center"/>
          </w:tcPr>
          <w:p w14:paraId="59BF50B0"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30%</w:t>
            </w:r>
          </w:p>
        </w:tc>
        <w:tc>
          <w:tcPr>
            <w:tcW w:w="665" w:type="pct"/>
            <w:noWrap/>
            <w:vAlign w:val="center"/>
          </w:tcPr>
          <w:p w14:paraId="1B8755B1"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30%</w:t>
            </w:r>
          </w:p>
        </w:tc>
        <w:tc>
          <w:tcPr>
            <w:tcW w:w="695" w:type="pct"/>
            <w:noWrap/>
            <w:vAlign w:val="center"/>
          </w:tcPr>
          <w:p w14:paraId="31EF3467" w14:textId="77777777" w:rsidR="00C02929" w:rsidRDefault="006116D1">
            <w:pPr>
              <w:adjustRightInd w:val="0"/>
              <w:snapToGrid w:val="0"/>
              <w:jc w:val="right"/>
              <w:rPr>
                <w:rFonts w:ascii="Times New Roman" w:hAnsi="Times New Roman"/>
                <w:sz w:val="21"/>
                <w:szCs w:val="21"/>
              </w:rPr>
            </w:pPr>
            <w:r>
              <w:rPr>
                <w:rFonts w:ascii="Times New Roman" w:hAnsi="Times New Roman"/>
                <w:sz w:val="21"/>
                <w:szCs w:val="21"/>
              </w:rPr>
              <w:t>30%</w:t>
            </w:r>
          </w:p>
        </w:tc>
      </w:tr>
    </w:tbl>
    <w:p w14:paraId="40DFF4BA"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4</w:t>
      </w:r>
      <w:r>
        <w:rPr>
          <w:rFonts w:ascii="Times New Roman" w:hAnsi="Times New Roman" w:cs="Times New Roman" w:hint="eastAsia"/>
          <w:lang w:bidi="ar"/>
        </w:rPr>
        <w:t>）终值预测</w:t>
      </w:r>
      <w:bookmarkEnd w:id="125"/>
      <w:bookmarkEnd w:id="126"/>
    </w:p>
    <w:p w14:paraId="6ABC5ED5"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终值是北洋天青在预测经营期之后的价值。</w:t>
      </w:r>
    </w:p>
    <w:p w14:paraId="578EF45C"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本次评估，评估机构假定北洋天青的经营在</w:t>
      </w:r>
      <w:r>
        <w:rPr>
          <w:rFonts w:ascii="Times New Roman" w:hAnsi="Times New Roman" w:cs="Times New Roman" w:hint="eastAsia"/>
        </w:rPr>
        <w:t>2026</w:t>
      </w:r>
      <w:r>
        <w:rPr>
          <w:rFonts w:ascii="Times New Roman" w:hAnsi="Times New Roman" w:cs="Times New Roman" w:hint="eastAsia"/>
        </w:rPr>
        <w:t>年后每年的经营情况趋于稳定。</w:t>
      </w:r>
    </w:p>
    <w:p w14:paraId="2241453D" w14:textId="77777777" w:rsidR="00C02929" w:rsidRDefault="006116D1">
      <w:pPr>
        <w:pStyle w:val="affffd"/>
        <w:spacing w:before="156"/>
        <w:ind w:firstLine="482"/>
        <w:rPr>
          <w:b/>
          <w:bCs/>
        </w:rPr>
      </w:pPr>
      <w:r>
        <w:rPr>
          <w:rFonts w:hint="eastAsia"/>
          <w:b/>
          <w:bCs/>
        </w:rPr>
        <w:t>4</w:t>
      </w:r>
      <w:r>
        <w:rPr>
          <w:rFonts w:hint="eastAsia"/>
          <w:b/>
          <w:bCs/>
        </w:rPr>
        <w:t>、折现率的确定</w:t>
      </w:r>
    </w:p>
    <w:p w14:paraId="3D0A0A81"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折现率，又称期望投资回报率，是基于收益法确定评估值的重要参数。由于标的公司不是上市公司，其折现率不能直接计算获得。因此本次评估采用选取对比公司进行分析计算的方法估算标的公司期望投资回报率。为此，第一步，首先在上市公司中选取对比公司，然后估算对比公司的系统性风险系数β（</w:t>
      </w:r>
      <w:r>
        <w:rPr>
          <w:rFonts w:ascii="Times New Roman" w:hAnsi="Times New Roman" w:cs="Times New Roman" w:hint="eastAsia"/>
        </w:rPr>
        <w:t>Levered</w:t>
      </w:r>
      <w:r>
        <w:rPr>
          <w:rFonts w:ascii="Times New Roman" w:hAnsi="Times New Roman" w:cs="Times New Roman"/>
        </w:rPr>
        <w:t xml:space="preserve"> </w:t>
      </w:r>
      <w:r>
        <w:rPr>
          <w:rFonts w:ascii="Times New Roman" w:hAnsi="Times New Roman" w:cs="Times New Roman" w:hint="eastAsia"/>
        </w:rPr>
        <w:lastRenderedPageBreak/>
        <w:t>Beta</w:t>
      </w:r>
      <w:r>
        <w:rPr>
          <w:rFonts w:ascii="Times New Roman" w:hAnsi="Times New Roman" w:cs="Times New Roman" w:hint="eastAsia"/>
        </w:rPr>
        <w:t>）；第二步，根据对比公司资本结构、对比公司β以及标的公司资本结构估算标的公司的期望投资回报率，并以此作为折现率。</w:t>
      </w:r>
    </w:p>
    <w:p w14:paraId="4541CC6E"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bookmarkStart w:id="127" w:name="_Toc163542827"/>
      <w:bookmarkStart w:id="128" w:name="_Toc161394595"/>
      <w:r>
        <w:rPr>
          <w:rFonts w:ascii="Times New Roman" w:hAnsi="Times New Roman" w:cs="Times New Roman" w:hint="eastAsia"/>
          <w:lang w:bidi="ar"/>
        </w:rPr>
        <w:t>（</w:t>
      </w:r>
      <w:r>
        <w:rPr>
          <w:rFonts w:ascii="Times New Roman" w:hAnsi="Times New Roman" w:cs="Times New Roman"/>
          <w:lang w:bidi="ar"/>
        </w:rPr>
        <w:t>1</w:t>
      </w:r>
      <w:r>
        <w:rPr>
          <w:rFonts w:ascii="Times New Roman" w:hAnsi="Times New Roman" w:cs="Times New Roman" w:hint="eastAsia"/>
          <w:lang w:bidi="ar"/>
        </w:rPr>
        <w:t>）对比公司的选取</w:t>
      </w:r>
      <w:bookmarkEnd w:id="127"/>
      <w:bookmarkEnd w:id="128"/>
    </w:p>
    <w:p w14:paraId="084C8270" w14:textId="77777777" w:rsidR="00C02929" w:rsidRDefault="006116D1">
      <w:pPr>
        <w:snapToGrid w:val="0"/>
        <w:spacing w:beforeLines="50" w:before="156" w:line="360" w:lineRule="auto"/>
        <w:ind w:firstLineChars="200" w:firstLine="480"/>
        <w:jc w:val="both"/>
        <w:rPr>
          <w:rFonts w:ascii="Times New Roman" w:hAnsi="Times New Roman" w:cs="Times New Roman"/>
        </w:rPr>
      </w:pPr>
      <w:bookmarkStart w:id="129" w:name="_Toc163542869"/>
      <w:bookmarkStart w:id="130" w:name="_Toc161394636"/>
      <w:r>
        <w:rPr>
          <w:rFonts w:ascii="Times New Roman" w:hAnsi="Times New Roman" w:cs="Times New Roman" w:hint="eastAsia"/>
        </w:rPr>
        <w:t>由于标的公司为盈利企业，并且主营业务为智能生产线整体解决方案提供商，为机械制造业中的其他制造业，因此在本次评估中，评估机构初步采用以下基本标准作为筛选对比公司的选择标准：</w:t>
      </w:r>
    </w:p>
    <w:p w14:paraId="7A34BA6E" w14:textId="77777777" w:rsidR="00C02929" w:rsidRDefault="006116D1">
      <w:pPr>
        <w:pStyle w:val="ac"/>
        <w:numPr>
          <w:ilvl w:val="255"/>
          <w:numId w:val="0"/>
        </w:numPr>
        <w:tabs>
          <w:tab w:val="left" w:pos="851"/>
        </w:tabs>
        <w:autoSpaceDE w:val="0"/>
        <w:autoSpaceDN w:val="0"/>
        <w:adjustRightInd w:val="0"/>
        <w:spacing w:beforeLines="50" w:before="156" w:after="0" w:line="360" w:lineRule="auto"/>
        <w:ind w:firstLineChars="200" w:firstLine="480"/>
        <w:rPr>
          <w:rFonts w:eastAsia="宋体"/>
          <w:sz w:val="24"/>
        </w:rPr>
      </w:pPr>
      <w:r>
        <w:rPr>
          <w:rFonts w:eastAsia="宋体" w:hint="eastAsia"/>
          <w:sz w:val="24"/>
        </w:rPr>
        <w:t>对比公司近两年为盈利公司；</w:t>
      </w:r>
    </w:p>
    <w:p w14:paraId="53E1138F" w14:textId="77777777" w:rsidR="00C02929" w:rsidRDefault="006116D1">
      <w:pPr>
        <w:pStyle w:val="ac"/>
        <w:numPr>
          <w:ilvl w:val="255"/>
          <w:numId w:val="0"/>
        </w:numPr>
        <w:tabs>
          <w:tab w:val="left" w:pos="851"/>
        </w:tabs>
        <w:autoSpaceDE w:val="0"/>
        <w:autoSpaceDN w:val="0"/>
        <w:adjustRightInd w:val="0"/>
        <w:spacing w:beforeLines="50" w:before="156" w:after="0" w:line="360" w:lineRule="auto"/>
        <w:ind w:firstLineChars="200" w:firstLine="480"/>
        <w:rPr>
          <w:rFonts w:eastAsia="宋体"/>
          <w:sz w:val="24"/>
        </w:rPr>
      </w:pPr>
      <w:r>
        <w:rPr>
          <w:rFonts w:eastAsia="宋体" w:hint="eastAsia"/>
          <w:sz w:val="24"/>
        </w:rPr>
        <w:t>对比公司必须为至少有两年上市历史；</w:t>
      </w:r>
    </w:p>
    <w:p w14:paraId="7CB829B1" w14:textId="77777777" w:rsidR="00C02929" w:rsidRDefault="006116D1">
      <w:pPr>
        <w:pStyle w:val="ac"/>
        <w:numPr>
          <w:ilvl w:val="255"/>
          <w:numId w:val="0"/>
        </w:numPr>
        <w:tabs>
          <w:tab w:val="left" w:pos="851"/>
        </w:tabs>
        <w:autoSpaceDE w:val="0"/>
        <w:autoSpaceDN w:val="0"/>
        <w:adjustRightInd w:val="0"/>
        <w:spacing w:beforeLines="50" w:before="156" w:after="0" w:line="360" w:lineRule="auto"/>
        <w:ind w:leftChars="15" w:left="36" w:firstLineChars="200" w:firstLine="480"/>
        <w:rPr>
          <w:rFonts w:eastAsia="宋体"/>
          <w:sz w:val="24"/>
        </w:rPr>
      </w:pPr>
      <w:r>
        <w:rPr>
          <w:rFonts w:eastAsia="宋体" w:hint="eastAsia"/>
          <w:sz w:val="24"/>
        </w:rPr>
        <w:t>对比公司只发行人民币</w:t>
      </w:r>
      <w:r>
        <w:rPr>
          <w:rFonts w:eastAsia="宋体" w:hint="eastAsia"/>
          <w:sz w:val="24"/>
        </w:rPr>
        <w:t>A</w:t>
      </w:r>
      <w:r>
        <w:rPr>
          <w:rFonts w:eastAsia="宋体" w:hint="eastAsia"/>
          <w:sz w:val="24"/>
        </w:rPr>
        <w:t>股；</w:t>
      </w:r>
    </w:p>
    <w:p w14:paraId="402455D9" w14:textId="77777777" w:rsidR="00C02929" w:rsidRDefault="006116D1">
      <w:pPr>
        <w:pStyle w:val="ac"/>
        <w:numPr>
          <w:ilvl w:val="255"/>
          <w:numId w:val="0"/>
        </w:numPr>
        <w:tabs>
          <w:tab w:val="left" w:pos="851"/>
        </w:tabs>
        <w:autoSpaceDE w:val="0"/>
        <w:autoSpaceDN w:val="0"/>
        <w:adjustRightInd w:val="0"/>
        <w:spacing w:beforeLines="50" w:before="156" w:after="0" w:line="360" w:lineRule="auto"/>
        <w:ind w:firstLineChars="200" w:firstLine="480"/>
        <w:rPr>
          <w:rFonts w:eastAsia="宋体"/>
          <w:sz w:val="24"/>
        </w:rPr>
      </w:pPr>
      <w:r>
        <w:rPr>
          <w:rFonts w:eastAsia="宋体" w:hint="eastAsia"/>
          <w:sz w:val="24"/>
        </w:rPr>
        <w:t>对比公司所从事的行业或其主营业务为其他制造业中的工业自动化制造，或者受相同经济因素的影响，并且主营该行业历史不少于</w:t>
      </w:r>
      <w:r>
        <w:rPr>
          <w:rFonts w:eastAsia="宋体" w:hint="eastAsia"/>
          <w:sz w:val="24"/>
        </w:rPr>
        <w:t>2</w:t>
      </w:r>
      <w:r>
        <w:rPr>
          <w:rFonts w:eastAsia="宋体" w:hint="eastAsia"/>
          <w:sz w:val="24"/>
        </w:rPr>
        <w:t>年。</w:t>
      </w:r>
    </w:p>
    <w:p w14:paraId="4CFE4B0F" w14:textId="77777777" w:rsidR="00C02929" w:rsidRDefault="006116D1">
      <w:pPr>
        <w:adjustRightInd w:val="0"/>
        <w:snapToGrid w:val="0"/>
        <w:spacing w:beforeLines="50" w:before="156" w:line="360" w:lineRule="auto"/>
        <w:ind w:firstLineChars="200" w:firstLine="480"/>
        <w:jc w:val="both"/>
        <w:rPr>
          <w:bCs/>
          <w:lang w:val="en-GB"/>
        </w:rPr>
      </w:pPr>
      <w:r>
        <w:rPr>
          <w:bCs/>
          <w:lang w:val="en-GB"/>
        </w:rPr>
        <w:t>根据上述四项原则，评估机构利用</w:t>
      </w:r>
      <w:r>
        <w:rPr>
          <w:rFonts w:hint="eastAsia"/>
        </w:rPr>
        <w:t>同花顺</w:t>
      </w:r>
      <w:r>
        <w:t>iFinD</w:t>
      </w:r>
      <w:r>
        <w:rPr>
          <w:bCs/>
          <w:lang w:val="en-GB"/>
        </w:rPr>
        <w:t>数据系统进行筛选，最终选取3家上市公司作为对比公司</w:t>
      </w:r>
      <w:r>
        <w:rPr>
          <w:rFonts w:hint="eastAsia"/>
          <w:bCs/>
          <w:lang w:val="en-GB"/>
        </w:rPr>
        <w:t>：</w:t>
      </w:r>
    </w:p>
    <w:p w14:paraId="5292677F"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）对比公司一：快克智能装备股份有限公司</w:t>
      </w:r>
    </w:p>
    <w:p w14:paraId="5599664D"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证券代码：</w:t>
      </w:r>
      <w:r>
        <w:rPr>
          <w:rFonts w:ascii="Times New Roman" w:hAnsi="Times New Roman" w:cs="Times New Roman" w:hint="eastAsia"/>
        </w:rPr>
        <w:t>603203.SH</w:t>
      </w:r>
    </w:p>
    <w:p w14:paraId="78F678C7"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证券简称：快克股份</w:t>
      </w:r>
    </w:p>
    <w:p w14:paraId="22845E36"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上市日期：</w:t>
      </w:r>
      <w:r>
        <w:rPr>
          <w:rFonts w:ascii="Times New Roman" w:hAnsi="Times New Roman" w:cs="Times New Roman" w:hint="eastAsia"/>
        </w:rPr>
        <w:t>2016-11-08</w:t>
      </w:r>
    </w:p>
    <w:p w14:paraId="4B1EF118"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成立日期：</w:t>
      </w:r>
      <w:r>
        <w:rPr>
          <w:rFonts w:ascii="Times New Roman" w:hAnsi="Times New Roman" w:cs="Times New Roman" w:hint="eastAsia"/>
        </w:rPr>
        <w:t>2006-06-28</w:t>
      </w:r>
    </w:p>
    <w:p w14:paraId="7D13F763"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注册资本：</w:t>
      </w:r>
      <w:r>
        <w:rPr>
          <w:rFonts w:ascii="Times New Roman" w:hAnsi="Times New Roman" w:cs="Times New Roman" w:hint="eastAsia"/>
        </w:rPr>
        <w:t>15,653.3787</w:t>
      </w:r>
      <w:r>
        <w:rPr>
          <w:rFonts w:ascii="Times New Roman" w:hAnsi="Times New Roman" w:cs="Times New Roman" w:hint="eastAsia"/>
        </w:rPr>
        <w:t>万元</w:t>
      </w:r>
    </w:p>
    <w:p w14:paraId="020690B9"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注册地址：江苏省常州市武进区高新技术产业开发区凤翔路</w:t>
      </w:r>
      <w:r>
        <w:rPr>
          <w:rFonts w:ascii="Times New Roman" w:hAnsi="Times New Roman" w:cs="Times New Roman" w:hint="eastAsia"/>
        </w:rPr>
        <w:t>11</w:t>
      </w:r>
      <w:r>
        <w:rPr>
          <w:rFonts w:ascii="Times New Roman" w:hAnsi="Times New Roman" w:cs="Times New Roman" w:hint="eastAsia"/>
        </w:rPr>
        <w:t>号</w:t>
      </w:r>
    </w:p>
    <w:p w14:paraId="50EAB125"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公司简介：快克智能装备股份有限公司主营业务为以锡焊技术为核心的电子装联专用设备的研发、生产和销售，提供的产品和服务包括锡焊工具和机器人、装联作业的关联性设备以及柔性自动化生产线。</w:t>
      </w:r>
    </w:p>
    <w:p w14:paraId="569AAB2A"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经营范围：工业机器人、自动化装备、智能制造解决方案、信息系统集成、物联网技术的开发、销售、服务；锡焊技术研发；电子专用设备及配件、测试仪器及配件、工模具的研发、制造、销售；精密锡焊、点胶涂覆、螺丝锁付、自动贴合、视觉检测及其他装联设备、集成电路</w:t>
      </w:r>
      <w:r>
        <w:rPr>
          <w:rFonts w:ascii="Times New Roman" w:hAnsi="Times New Roman" w:cs="Times New Roman" w:hint="eastAsia"/>
        </w:rPr>
        <w:t>BGA</w:t>
      </w:r>
      <w:r>
        <w:rPr>
          <w:rFonts w:ascii="Times New Roman" w:hAnsi="Times New Roman" w:cs="Times New Roman" w:hint="eastAsia"/>
        </w:rPr>
        <w:t>芯片贴装、返修设备的研发、制造、销售；提供自产产品以及上述同类产品租赁、安装、改造、维修服务，及技术开发、技术转让、技术咨询、技术服务；从事货物及技术的进出口业务（不涉及国营贸易管理商品，涉及配额、许可证管理商品的，按国家有关规定办理申请）。（依法需经批准的项目，经相关部门批准后方可开展经营活动）</w:t>
      </w:r>
    </w:p>
    <w:p w14:paraId="06A5491F"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主要产品名称：专用工业机器人、自动化智能装备、智能锡焊台等小型设备、配件及治具。</w:t>
      </w:r>
    </w:p>
    <w:p w14:paraId="0DF2DC18"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该公司近三年经营业务指标及主营业务占全部经营业务的比重及相关数据如下：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877"/>
        <w:gridCol w:w="1548"/>
        <w:gridCol w:w="1548"/>
        <w:gridCol w:w="1549"/>
      </w:tblGrid>
      <w:tr w:rsidR="00C02929" w14:paraId="1CB6490A" w14:textId="77777777">
        <w:trPr>
          <w:trHeight w:val="397"/>
          <w:tblHeader/>
        </w:trPr>
        <w:tc>
          <w:tcPr>
            <w:tcW w:w="2275" w:type="pct"/>
            <w:noWrap/>
            <w:vAlign w:val="center"/>
          </w:tcPr>
          <w:p w14:paraId="38F2302E" w14:textId="77777777" w:rsidR="00C02929" w:rsidRDefault="006116D1" w:rsidP="001F3E46">
            <w:pPr>
              <w:keepNext/>
              <w:jc w:val="center"/>
              <w:rPr>
                <w:rFonts w:ascii="Times New Roman" w:hAnsi="Times New Roman" w:cs="Times New Roman"/>
                <w:b/>
                <w:bCs/>
                <w:sz w:val="21"/>
                <w:szCs w:val="21"/>
              </w:rPr>
            </w:pPr>
            <w:r>
              <w:rPr>
                <w:rFonts w:ascii="Times New Roman" w:hAnsi="Times New Roman" w:cs="Times New Roman" w:hint="eastAsia"/>
                <w:b/>
                <w:bCs/>
                <w:sz w:val="21"/>
                <w:szCs w:val="21"/>
              </w:rPr>
              <w:t>报告期</w:t>
            </w:r>
          </w:p>
        </w:tc>
        <w:tc>
          <w:tcPr>
            <w:tcW w:w="908" w:type="pct"/>
            <w:noWrap/>
            <w:vAlign w:val="center"/>
          </w:tcPr>
          <w:p w14:paraId="3E2F15AD" w14:textId="77777777" w:rsidR="00C02929" w:rsidRDefault="006116D1" w:rsidP="001F3E46">
            <w:pPr>
              <w:keepNext/>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w:t>
            </w:r>
          </w:p>
        </w:tc>
        <w:tc>
          <w:tcPr>
            <w:tcW w:w="908" w:type="pct"/>
            <w:noWrap/>
            <w:vAlign w:val="center"/>
          </w:tcPr>
          <w:p w14:paraId="2F5F53D5" w14:textId="77777777" w:rsidR="00C02929" w:rsidRDefault="006116D1" w:rsidP="001F3E46">
            <w:pPr>
              <w:keepNext/>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w:t>
            </w:r>
          </w:p>
        </w:tc>
        <w:tc>
          <w:tcPr>
            <w:tcW w:w="909" w:type="pct"/>
            <w:noWrap/>
            <w:vAlign w:val="center"/>
          </w:tcPr>
          <w:p w14:paraId="771FDEE1" w14:textId="77777777" w:rsidR="00C02929" w:rsidRDefault="006116D1" w:rsidP="001F3E46">
            <w:pPr>
              <w:keepNext/>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w:t>
            </w:r>
          </w:p>
        </w:tc>
      </w:tr>
      <w:tr w:rsidR="00C02929" w14:paraId="2170D49B" w14:textId="77777777">
        <w:trPr>
          <w:trHeight w:val="397"/>
        </w:trPr>
        <w:tc>
          <w:tcPr>
            <w:tcW w:w="5000" w:type="pct"/>
            <w:gridSpan w:val="4"/>
            <w:noWrap/>
            <w:vAlign w:val="center"/>
          </w:tcPr>
          <w:p w14:paraId="181CBC4F" w14:textId="77777777" w:rsidR="00C02929" w:rsidRDefault="006116D1" w:rsidP="001F3E46">
            <w:pPr>
              <w:keepNext/>
              <w:jc w:val="center"/>
              <w:rPr>
                <w:rFonts w:ascii="Times New Roman" w:hAnsi="Times New Roman" w:cs="Times New Roman"/>
                <w:sz w:val="21"/>
                <w:szCs w:val="21"/>
              </w:rPr>
            </w:pPr>
            <w:r>
              <w:rPr>
                <w:rFonts w:ascii="Times New Roman" w:hAnsi="Times New Roman" w:cs="Times New Roman" w:hint="eastAsia"/>
                <w:b/>
                <w:bCs/>
                <w:sz w:val="21"/>
                <w:szCs w:val="21"/>
              </w:rPr>
              <w:t>盈利能力</w:t>
            </w:r>
          </w:p>
        </w:tc>
      </w:tr>
      <w:tr w:rsidR="00C02929" w14:paraId="4106D9CA" w14:textId="77777777">
        <w:trPr>
          <w:trHeight w:val="397"/>
        </w:trPr>
        <w:tc>
          <w:tcPr>
            <w:tcW w:w="2275" w:type="pct"/>
            <w:noWrap/>
            <w:vAlign w:val="center"/>
          </w:tcPr>
          <w:p w14:paraId="0098F0BD"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净资产收益率年化（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06583F8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18.66</w:t>
            </w:r>
          </w:p>
        </w:tc>
        <w:tc>
          <w:tcPr>
            <w:tcW w:w="908" w:type="pct"/>
            <w:noWrap/>
            <w:vAlign w:val="center"/>
          </w:tcPr>
          <w:p w14:paraId="0288FE3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19.72</w:t>
            </w:r>
          </w:p>
        </w:tc>
        <w:tc>
          <w:tcPr>
            <w:tcW w:w="909" w:type="pct"/>
            <w:noWrap/>
            <w:vAlign w:val="center"/>
          </w:tcPr>
          <w:p w14:paraId="5C8DA52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19.48</w:t>
            </w:r>
          </w:p>
        </w:tc>
      </w:tr>
      <w:tr w:rsidR="00C02929" w14:paraId="1645CC9C" w14:textId="77777777">
        <w:trPr>
          <w:trHeight w:val="397"/>
        </w:trPr>
        <w:tc>
          <w:tcPr>
            <w:tcW w:w="2275" w:type="pct"/>
            <w:noWrap/>
            <w:vAlign w:val="center"/>
          </w:tcPr>
          <w:p w14:paraId="3EDDEE01"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总资产报酬率年化（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63006B1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17.31</w:t>
            </w:r>
          </w:p>
        </w:tc>
        <w:tc>
          <w:tcPr>
            <w:tcW w:w="908" w:type="pct"/>
            <w:noWrap/>
            <w:vAlign w:val="center"/>
          </w:tcPr>
          <w:p w14:paraId="221A0DB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17.90</w:t>
            </w:r>
          </w:p>
        </w:tc>
        <w:tc>
          <w:tcPr>
            <w:tcW w:w="909" w:type="pct"/>
            <w:noWrap/>
            <w:vAlign w:val="center"/>
          </w:tcPr>
          <w:p w14:paraId="5C8C87E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19.46</w:t>
            </w:r>
          </w:p>
        </w:tc>
      </w:tr>
      <w:tr w:rsidR="00C02929" w14:paraId="6370210C" w14:textId="77777777">
        <w:trPr>
          <w:trHeight w:val="397"/>
        </w:trPr>
        <w:tc>
          <w:tcPr>
            <w:tcW w:w="2275" w:type="pct"/>
            <w:noWrap/>
            <w:vAlign w:val="center"/>
          </w:tcPr>
          <w:p w14:paraId="0EC7388B"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总资产净利率年化（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0BD0E4F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15.83</w:t>
            </w:r>
          </w:p>
        </w:tc>
        <w:tc>
          <w:tcPr>
            <w:tcW w:w="908" w:type="pct"/>
            <w:noWrap/>
            <w:vAlign w:val="center"/>
          </w:tcPr>
          <w:p w14:paraId="67EDBC7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16.28</w:t>
            </w:r>
          </w:p>
        </w:tc>
        <w:tc>
          <w:tcPr>
            <w:tcW w:w="909" w:type="pct"/>
            <w:noWrap/>
            <w:vAlign w:val="center"/>
          </w:tcPr>
          <w:p w14:paraId="2663F30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16.42</w:t>
            </w:r>
          </w:p>
        </w:tc>
      </w:tr>
      <w:tr w:rsidR="00C02929" w14:paraId="7E42DC79" w14:textId="77777777">
        <w:trPr>
          <w:trHeight w:val="397"/>
        </w:trPr>
        <w:tc>
          <w:tcPr>
            <w:tcW w:w="2275" w:type="pct"/>
            <w:noWrap/>
            <w:vAlign w:val="center"/>
          </w:tcPr>
          <w:p w14:paraId="5FB0B5B4"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销售净利率（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1937AD4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37.70</w:t>
            </w:r>
          </w:p>
        </w:tc>
        <w:tc>
          <w:tcPr>
            <w:tcW w:w="908" w:type="pct"/>
            <w:noWrap/>
            <w:vAlign w:val="center"/>
          </w:tcPr>
          <w:p w14:paraId="07FE81E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36.33</w:t>
            </w:r>
          </w:p>
        </w:tc>
        <w:tc>
          <w:tcPr>
            <w:tcW w:w="909" w:type="pct"/>
            <w:noWrap/>
            <w:vAlign w:val="center"/>
          </w:tcPr>
          <w:p w14:paraId="49CAA5A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36.38</w:t>
            </w:r>
          </w:p>
        </w:tc>
      </w:tr>
      <w:tr w:rsidR="00C02929" w14:paraId="2913E636" w14:textId="77777777">
        <w:trPr>
          <w:trHeight w:val="397"/>
        </w:trPr>
        <w:tc>
          <w:tcPr>
            <w:tcW w:w="2275" w:type="pct"/>
            <w:noWrap/>
            <w:vAlign w:val="center"/>
          </w:tcPr>
          <w:p w14:paraId="66110D1C"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销售毛利率（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3730CE7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54.98</w:t>
            </w:r>
          </w:p>
        </w:tc>
        <w:tc>
          <w:tcPr>
            <w:tcW w:w="908" w:type="pct"/>
            <w:noWrap/>
            <w:vAlign w:val="center"/>
          </w:tcPr>
          <w:p w14:paraId="666D057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55.03</w:t>
            </w:r>
          </w:p>
        </w:tc>
        <w:tc>
          <w:tcPr>
            <w:tcW w:w="909" w:type="pct"/>
            <w:noWrap/>
            <w:vAlign w:val="center"/>
          </w:tcPr>
          <w:p w14:paraId="7F77917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58.15</w:t>
            </w:r>
          </w:p>
        </w:tc>
      </w:tr>
      <w:tr w:rsidR="00C02929" w14:paraId="13953ABD" w14:textId="77777777">
        <w:trPr>
          <w:trHeight w:val="397"/>
        </w:trPr>
        <w:tc>
          <w:tcPr>
            <w:tcW w:w="5000" w:type="pct"/>
            <w:gridSpan w:val="4"/>
            <w:noWrap/>
            <w:vAlign w:val="center"/>
          </w:tcPr>
          <w:p w14:paraId="7B735BC9"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b/>
                <w:bCs/>
                <w:sz w:val="21"/>
                <w:szCs w:val="21"/>
              </w:rPr>
              <w:t>主营收入构成</w:t>
            </w:r>
          </w:p>
        </w:tc>
      </w:tr>
      <w:tr w:rsidR="00C02929" w14:paraId="381EEFE3" w14:textId="77777777">
        <w:trPr>
          <w:trHeight w:val="397"/>
        </w:trPr>
        <w:tc>
          <w:tcPr>
            <w:tcW w:w="2275" w:type="pct"/>
            <w:noWrap/>
            <w:vAlign w:val="center"/>
          </w:tcPr>
          <w:p w14:paraId="5EFB1CEE"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营业收入</w:t>
            </w:r>
            <w:r>
              <w:rPr>
                <w:rFonts w:ascii="Times New Roman" w:hAnsi="Times New Roman" w:cs="Times New Roman" w:hint="eastAsia"/>
                <w:sz w:val="21"/>
                <w:szCs w:val="21"/>
              </w:rPr>
              <w:t>-</w:t>
            </w:r>
            <w:r>
              <w:rPr>
                <w:rFonts w:ascii="Times New Roman" w:hAnsi="Times New Roman" w:cs="Times New Roman" w:hint="eastAsia"/>
                <w:sz w:val="21"/>
                <w:szCs w:val="21"/>
              </w:rPr>
              <w:t>自动化智能装备（万元）</w:t>
            </w:r>
          </w:p>
        </w:tc>
        <w:tc>
          <w:tcPr>
            <w:tcW w:w="908" w:type="pct"/>
            <w:noWrap/>
            <w:vAlign w:val="center"/>
          </w:tcPr>
          <w:p w14:paraId="6291C01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37,356.8</w:t>
            </w:r>
          </w:p>
        </w:tc>
        <w:tc>
          <w:tcPr>
            <w:tcW w:w="908" w:type="pct"/>
            <w:noWrap/>
            <w:vAlign w:val="center"/>
          </w:tcPr>
          <w:p w14:paraId="0C83D05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34,437.3</w:t>
            </w:r>
          </w:p>
        </w:tc>
        <w:tc>
          <w:tcPr>
            <w:tcW w:w="909" w:type="pct"/>
            <w:noWrap/>
            <w:vAlign w:val="center"/>
          </w:tcPr>
          <w:p w14:paraId="37DD194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28,221.0</w:t>
            </w:r>
          </w:p>
        </w:tc>
      </w:tr>
      <w:tr w:rsidR="00C02929" w14:paraId="0AC20432" w14:textId="77777777">
        <w:trPr>
          <w:trHeight w:val="397"/>
        </w:trPr>
        <w:tc>
          <w:tcPr>
            <w:tcW w:w="2275" w:type="pct"/>
            <w:noWrap/>
            <w:vAlign w:val="center"/>
          </w:tcPr>
          <w:p w14:paraId="15E5BB6C"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毛利率</w:t>
            </w:r>
            <w:r>
              <w:rPr>
                <w:rFonts w:ascii="Times New Roman" w:hAnsi="Times New Roman" w:cs="Times New Roman" w:hint="eastAsia"/>
                <w:sz w:val="21"/>
                <w:szCs w:val="21"/>
              </w:rPr>
              <w:t>-</w:t>
            </w:r>
            <w:r>
              <w:rPr>
                <w:rFonts w:ascii="Times New Roman" w:hAnsi="Times New Roman" w:cs="Times New Roman" w:hint="eastAsia"/>
                <w:sz w:val="21"/>
                <w:szCs w:val="21"/>
              </w:rPr>
              <w:t>自动化智能装备（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2953DD8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53.10</w:t>
            </w:r>
          </w:p>
        </w:tc>
        <w:tc>
          <w:tcPr>
            <w:tcW w:w="908" w:type="pct"/>
            <w:noWrap/>
            <w:vAlign w:val="center"/>
          </w:tcPr>
          <w:p w14:paraId="1167305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53.39</w:t>
            </w:r>
          </w:p>
        </w:tc>
        <w:tc>
          <w:tcPr>
            <w:tcW w:w="909" w:type="pct"/>
            <w:noWrap/>
            <w:vAlign w:val="center"/>
          </w:tcPr>
          <w:p w14:paraId="3EB6ED7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56.72</w:t>
            </w:r>
          </w:p>
        </w:tc>
      </w:tr>
      <w:tr w:rsidR="00C02929" w14:paraId="204F0BF2" w14:textId="77777777">
        <w:trPr>
          <w:trHeight w:val="397"/>
        </w:trPr>
        <w:tc>
          <w:tcPr>
            <w:tcW w:w="2275" w:type="pct"/>
            <w:noWrap/>
            <w:vAlign w:val="center"/>
          </w:tcPr>
          <w:p w14:paraId="5027AA96"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收入构成</w:t>
            </w:r>
            <w:r>
              <w:rPr>
                <w:rFonts w:ascii="Times New Roman" w:hAnsi="Times New Roman" w:cs="Times New Roman" w:hint="eastAsia"/>
                <w:sz w:val="21"/>
                <w:szCs w:val="21"/>
              </w:rPr>
              <w:t>-</w:t>
            </w:r>
            <w:r>
              <w:rPr>
                <w:rFonts w:ascii="Times New Roman" w:hAnsi="Times New Roman" w:cs="Times New Roman" w:hint="eastAsia"/>
                <w:sz w:val="21"/>
                <w:szCs w:val="21"/>
              </w:rPr>
              <w:t>自动化智能装备（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08" w:type="pct"/>
            <w:noWrap/>
            <w:vAlign w:val="center"/>
          </w:tcPr>
          <w:p w14:paraId="1CC80DB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81.06</w:t>
            </w:r>
          </w:p>
        </w:tc>
        <w:tc>
          <w:tcPr>
            <w:tcW w:w="908" w:type="pct"/>
            <w:noWrap/>
            <w:vAlign w:val="center"/>
          </w:tcPr>
          <w:p w14:paraId="41C2FB6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79.64</w:t>
            </w:r>
          </w:p>
        </w:tc>
        <w:tc>
          <w:tcPr>
            <w:tcW w:w="909" w:type="pct"/>
            <w:noWrap/>
            <w:vAlign w:val="center"/>
          </w:tcPr>
          <w:p w14:paraId="7034452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77.99</w:t>
            </w:r>
          </w:p>
        </w:tc>
      </w:tr>
    </w:tbl>
    <w:p w14:paraId="1389FDBC" w14:textId="77777777" w:rsidR="00C02929" w:rsidRDefault="006116D1">
      <w:pPr>
        <w:jc w:val="both"/>
        <w:rPr>
          <w:rFonts w:ascii="Times New Roman" w:hAnsi="Times New Roman" w:cs="Times New Roman"/>
          <w:bCs/>
          <w:color w:val="000000"/>
          <w:sz w:val="21"/>
          <w:szCs w:val="21"/>
          <w:lang w:val="en-GB" w:bidi="ar"/>
        </w:rPr>
      </w:pPr>
      <w:r>
        <w:rPr>
          <w:rFonts w:ascii="Times New Roman" w:hAnsi="Times New Roman" w:cs="Times New Roman" w:hint="eastAsia"/>
          <w:bCs/>
          <w:color w:val="000000"/>
          <w:sz w:val="21"/>
          <w:szCs w:val="21"/>
          <w:lang w:val="en-GB"/>
        </w:rPr>
        <w:t>数据来源：同花顺</w:t>
      </w:r>
      <w:r>
        <w:rPr>
          <w:rFonts w:ascii="Times New Roman" w:hAnsi="Times New Roman" w:cs="Times New Roman"/>
          <w:bCs/>
          <w:color w:val="000000"/>
          <w:sz w:val="21"/>
          <w:szCs w:val="21"/>
          <w:lang w:val="en-GB"/>
        </w:rPr>
        <w:t>iFinD</w:t>
      </w:r>
    </w:p>
    <w:p w14:paraId="2FD7DF54"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）对比公司二：广东拓斯达科技股份有限公司</w:t>
      </w:r>
    </w:p>
    <w:p w14:paraId="079F5EAE"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证券代码：</w:t>
      </w:r>
      <w:r>
        <w:rPr>
          <w:rFonts w:ascii="Times New Roman" w:hAnsi="Times New Roman" w:cs="Times New Roman" w:hint="eastAsia"/>
        </w:rPr>
        <w:t>300607.SZ</w:t>
      </w:r>
    </w:p>
    <w:p w14:paraId="07FFDF6E"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证券简称：拓斯达</w:t>
      </w:r>
    </w:p>
    <w:p w14:paraId="7E2B247F"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上市日期：</w:t>
      </w:r>
      <w:r>
        <w:rPr>
          <w:rFonts w:ascii="Times New Roman" w:hAnsi="Times New Roman" w:cs="Times New Roman" w:hint="eastAsia"/>
        </w:rPr>
        <w:t>2017-02-09</w:t>
      </w:r>
    </w:p>
    <w:p w14:paraId="58241C6A"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成立日期：</w:t>
      </w:r>
      <w:r>
        <w:rPr>
          <w:rFonts w:ascii="Times New Roman" w:hAnsi="Times New Roman" w:cs="Times New Roman" w:hint="eastAsia"/>
        </w:rPr>
        <w:t>2007-06-01</w:t>
      </w:r>
    </w:p>
    <w:p w14:paraId="7C62E725"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注册资本：</w:t>
      </w:r>
      <w:r>
        <w:rPr>
          <w:rFonts w:ascii="Times New Roman" w:hAnsi="Times New Roman" w:cs="Times New Roman"/>
        </w:rPr>
        <w:t>26,616.8406</w:t>
      </w:r>
      <w:r>
        <w:rPr>
          <w:rFonts w:ascii="Times New Roman" w:hAnsi="Times New Roman" w:cs="Times New Roman" w:hint="eastAsia"/>
        </w:rPr>
        <w:t>万元</w:t>
      </w:r>
    </w:p>
    <w:p w14:paraId="794A7212"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注册地址：广东省东莞市大岭山镇大塘朗创新路</w:t>
      </w:r>
      <w:r>
        <w:rPr>
          <w:rFonts w:ascii="Times New Roman" w:hAnsi="Times New Roman" w:cs="Times New Roman" w:hint="eastAsia"/>
        </w:rPr>
        <w:t>2</w:t>
      </w:r>
      <w:r>
        <w:rPr>
          <w:rFonts w:ascii="Times New Roman" w:hAnsi="Times New Roman" w:cs="Times New Roman" w:hint="eastAsia"/>
        </w:rPr>
        <w:t>号</w:t>
      </w:r>
    </w:p>
    <w:p w14:paraId="380711A7"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公司简介：广东拓斯达科技股份有限公司的主要产品及服务包括工业机器人应用及成套装备、注塑自动化供料及水电气系统、辅机设备三大系列，广泛应用于</w:t>
      </w:r>
      <w:r>
        <w:rPr>
          <w:rFonts w:ascii="Times New Roman" w:hAnsi="Times New Roman" w:cs="Times New Roman" w:hint="eastAsia"/>
        </w:rPr>
        <w:t>3C</w:t>
      </w:r>
      <w:r>
        <w:rPr>
          <w:rFonts w:ascii="Times New Roman" w:hAnsi="Times New Roman" w:cs="Times New Roman" w:hint="eastAsia"/>
        </w:rPr>
        <w:t>产品、新能源、汽车零部件、精密电子、医疗器械等众多领域。公司获得恰佩克机器人峰会、高工金球奖、大湾区双创示范基地等各类围绕智能制造的业界荣誉。</w:t>
      </w:r>
    </w:p>
    <w:p w14:paraId="023D09EA"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营范围：工业机器人、机械手等智能装备、五金模具机械、自动化设备及自动供料、混合计量、除湿干燥、粉碎回收等塑胶机械设备、制冷设备等的研发、设计、产销；自动化控制系统软、硬件开发、销售；货物进出口、技术进出口；快速成型领域内的技术开发，打印设备、打印设备耗材等橡胶制品、塑料制品的研发、生产、加工与销售；从事机电安装工程，空气净化工程，管道工程，容器安装工程的设计，施工，咨询。从事无尘，无菌净化系统、设备及周边机电、仪控产品的生产组装（依法须经批准的项目，经相关部门批准后方可开展经营活动）。</w:t>
      </w:r>
    </w:p>
    <w:p w14:paraId="7AB20C1A"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主要产品名称：工业机器人（包括直角坐标机器人和多关节机器人）及自动化应用系统、注塑机配套设备及自动供料系统、智能能源及环境管理系统。</w:t>
      </w:r>
    </w:p>
    <w:p w14:paraId="1B874732"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该公司近三年经营业务指标及主营业务占全部经营业务的比重及相关数据如下：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3534"/>
        <w:gridCol w:w="1663"/>
        <w:gridCol w:w="1663"/>
        <w:gridCol w:w="1662"/>
      </w:tblGrid>
      <w:tr w:rsidR="00C02929" w14:paraId="531220EA" w14:textId="77777777">
        <w:trPr>
          <w:trHeight w:val="397"/>
          <w:tblHeader/>
        </w:trPr>
        <w:tc>
          <w:tcPr>
            <w:tcW w:w="2073" w:type="pct"/>
            <w:shd w:val="clear" w:color="auto" w:fill="auto"/>
            <w:noWrap/>
            <w:vAlign w:val="center"/>
          </w:tcPr>
          <w:p w14:paraId="2FC31C69"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报告期</w:t>
            </w:r>
          </w:p>
        </w:tc>
        <w:tc>
          <w:tcPr>
            <w:tcW w:w="976" w:type="pct"/>
            <w:shd w:val="clear" w:color="auto" w:fill="auto"/>
            <w:noWrap/>
            <w:vAlign w:val="center"/>
          </w:tcPr>
          <w:p w14:paraId="6B25BA6A"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w:t>
            </w:r>
          </w:p>
        </w:tc>
        <w:tc>
          <w:tcPr>
            <w:tcW w:w="976" w:type="pct"/>
            <w:shd w:val="clear" w:color="auto" w:fill="auto"/>
            <w:noWrap/>
            <w:vAlign w:val="center"/>
          </w:tcPr>
          <w:p w14:paraId="216D5F48"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w:t>
            </w:r>
          </w:p>
        </w:tc>
        <w:tc>
          <w:tcPr>
            <w:tcW w:w="976" w:type="pct"/>
            <w:shd w:val="clear" w:color="auto" w:fill="auto"/>
            <w:noWrap/>
            <w:vAlign w:val="center"/>
          </w:tcPr>
          <w:p w14:paraId="7BED20D9"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w:t>
            </w:r>
          </w:p>
        </w:tc>
      </w:tr>
      <w:tr w:rsidR="00C02929" w14:paraId="120185F5" w14:textId="77777777">
        <w:trPr>
          <w:trHeight w:val="397"/>
        </w:trPr>
        <w:tc>
          <w:tcPr>
            <w:tcW w:w="5000" w:type="pct"/>
            <w:gridSpan w:val="4"/>
            <w:shd w:val="clear" w:color="auto" w:fill="auto"/>
            <w:noWrap/>
            <w:vAlign w:val="center"/>
          </w:tcPr>
          <w:p w14:paraId="7985830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盈利能力</w:t>
            </w:r>
          </w:p>
        </w:tc>
      </w:tr>
      <w:tr w:rsidR="00C02929" w14:paraId="263E861D" w14:textId="77777777">
        <w:trPr>
          <w:trHeight w:val="397"/>
        </w:trPr>
        <w:tc>
          <w:tcPr>
            <w:tcW w:w="2073" w:type="pct"/>
            <w:shd w:val="clear" w:color="auto" w:fill="auto"/>
            <w:noWrap/>
            <w:vAlign w:val="center"/>
          </w:tcPr>
          <w:p w14:paraId="5F7CC1C6"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净资产收益率年化（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5022A47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14.44</w:t>
            </w:r>
          </w:p>
        </w:tc>
        <w:tc>
          <w:tcPr>
            <w:tcW w:w="976" w:type="pct"/>
            <w:shd w:val="clear" w:color="auto" w:fill="auto"/>
            <w:noWrap/>
            <w:vAlign w:val="center"/>
          </w:tcPr>
          <w:p w14:paraId="5C0D4E4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20.50</w:t>
            </w:r>
          </w:p>
        </w:tc>
        <w:tc>
          <w:tcPr>
            <w:tcW w:w="976" w:type="pct"/>
            <w:shd w:val="clear" w:color="auto" w:fill="auto"/>
            <w:noWrap/>
            <w:vAlign w:val="center"/>
          </w:tcPr>
          <w:p w14:paraId="05804E0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25.05</w:t>
            </w:r>
          </w:p>
        </w:tc>
      </w:tr>
      <w:tr w:rsidR="00C02929" w14:paraId="2EFEFFAC" w14:textId="77777777">
        <w:trPr>
          <w:trHeight w:val="397"/>
        </w:trPr>
        <w:tc>
          <w:tcPr>
            <w:tcW w:w="2073" w:type="pct"/>
            <w:shd w:val="clear" w:color="auto" w:fill="auto"/>
            <w:noWrap/>
            <w:vAlign w:val="center"/>
          </w:tcPr>
          <w:p w14:paraId="47ABCE04"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总资产报酬率年化（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250B543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10.60</w:t>
            </w:r>
          </w:p>
        </w:tc>
        <w:tc>
          <w:tcPr>
            <w:tcW w:w="976" w:type="pct"/>
            <w:shd w:val="clear" w:color="auto" w:fill="auto"/>
            <w:noWrap/>
            <w:vAlign w:val="center"/>
          </w:tcPr>
          <w:p w14:paraId="3EAB410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14.19</w:t>
            </w:r>
          </w:p>
        </w:tc>
        <w:tc>
          <w:tcPr>
            <w:tcW w:w="976" w:type="pct"/>
            <w:shd w:val="clear" w:color="auto" w:fill="auto"/>
            <w:noWrap/>
            <w:vAlign w:val="center"/>
          </w:tcPr>
          <w:p w14:paraId="4AEADBC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17.83</w:t>
            </w:r>
          </w:p>
        </w:tc>
      </w:tr>
      <w:tr w:rsidR="00C02929" w14:paraId="3509333A" w14:textId="77777777">
        <w:trPr>
          <w:trHeight w:val="397"/>
        </w:trPr>
        <w:tc>
          <w:tcPr>
            <w:tcW w:w="2073" w:type="pct"/>
            <w:shd w:val="clear" w:color="auto" w:fill="auto"/>
            <w:noWrap/>
            <w:vAlign w:val="center"/>
          </w:tcPr>
          <w:p w14:paraId="07A325CE"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总资产净利率年化（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18EE0BC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8.59</w:t>
            </w:r>
          </w:p>
        </w:tc>
        <w:tc>
          <w:tcPr>
            <w:tcW w:w="976" w:type="pct"/>
            <w:shd w:val="clear" w:color="auto" w:fill="auto"/>
            <w:noWrap/>
            <w:vAlign w:val="center"/>
          </w:tcPr>
          <w:p w14:paraId="7F46B71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11.87</w:t>
            </w:r>
          </w:p>
        </w:tc>
        <w:tc>
          <w:tcPr>
            <w:tcW w:w="976" w:type="pct"/>
            <w:shd w:val="clear" w:color="auto" w:fill="auto"/>
            <w:noWrap/>
            <w:vAlign w:val="center"/>
          </w:tcPr>
          <w:p w14:paraId="56EBF45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15.80</w:t>
            </w:r>
          </w:p>
        </w:tc>
      </w:tr>
      <w:tr w:rsidR="00C02929" w14:paraId="17244EB5" w14:textId="77777777">
        <w:trPr>
          <w:trHeight w:val="397"/>
        </w:trPr>
        <w:tc>
          <w:tcPr>
            <w:tcW w:w="2073" w:type="pct"/>
            <w:shd w:val="clear" w:color="auto" w:fill="auto"/>
            <w:noWrap/>
            <w:vAlign w:val="center"/>
          </w:tcPr>
          <w:p w14:paraId="3CFF0373"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销售净利率（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1E34224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11.33</w:t>
            </w:r>
          </w:p>
        </w:tc>
        <w:tc>
          <w:tcPr>
            <w:tcW w:w="976" w:type="pct"/>
            <w:shd w:val="clear" w:color="auto" w:fill="auto"/>
            <w:noWrap/>
            <w:vAlign w:val="center"/>
          </w:tcPr>
          <w:p w14:paraId="5113CCE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14.22</w:t>
            </w:r>
          </w:p>
        </w:tc>
        <w:tc>
          <w:tcPr>
            <w:tcW w:w="976" w:type="pct"/>
            <w:shd w:val="clear" w:color="auto" w:fill="auto"/>
            <w:noWrap/>
            <w:vAlign w:val="center"/>
          </w:tcPr>
          <w:p w14:paraId="7FA9260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17.97</w:t>
            </w:r>
          </w:p>
        </w:tc>
      </w:tr>
      <w:tr w:rsidR="00C02929" w14:paraId="029BF26F" w14:textId="77777777">
        <w:trPr>
          <w:trHeight w:val="397"/>
        </w:trPr>
        <w:tc>
          <w:tcPr>
            <w:tcW w:w="2073" w:type="pct"/>
            <w:shd w:val="clear" w:color="auto" w:fill="auto"/>
            <w:noWrap/>
            <w:vAlign w:val="center"/>
          </w:tcPr>
          <w:p w14:paraId="66EC34EB"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销售毛利率（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0EB6F9E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34.04</w:t>
            </w:r>
          </w:p>
        </w:tc>
        <w:tc>
          <w:tcPr>
            <w:tcW w:w="976" w:type="pct"/>
            <w:shd w:val="clear" w:color="auto" w:fill="auto"/>
            <w:noWrap/>
            <w:vAlign w:val="center"/>
          </w:tcPr>
          <w:p w14:paraId="1C9F022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36.11</w:t>
            </w:r>
          </w:p>
        </w:tc>
        <w:tc>
          <w:tcPr>
            <w:tcW w:w="976" w:type="pct"/>
            <w:shd w:val="clear" w:color="auto" w:fill="auto"/>
            <w:noWrap/>
            <w:vAlign w:val="center"/>
          </w:tcPr>
          <w:p w14:paraId="1B22016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36.78</w:t>
            </w:r>
          </w:p>
        </w:tc>
      </w:tr>
      <w:tr w:rsidR="00C02929" w14:paraId="0AAF171C" w14:textId="77777777">
        <w:trPr>
          <w:trHeight w:val="397"/>
        </w:trPr>
        <w:tc>
          <w:tcPr>
            <w:tcW w:w="5000" w:type="pct"/>
            <w:gridSpan w:val="4"/>
            <w:shd w:val="clear" w:color="auto" w:fill="auto"/>
            <w:noWrap/>
            <w:vAlign w:val="center"/>
          </w:tcPr>
          <w:p w14:paraId="33B03A08"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主营收入构成</w:t>
            </w:r>
          </w:p>
        </w:tc>
      </w:tr>
      <w:tr w:rsidR="00C02929" w14:paraId="37922170" w14:textId="77777777">
        <w:trPr>
          <w:trHeight w:val="397"/>
        </w:trPr>
        <w:tc>
          <w:tcPr>
            <w:tcW w:w="2073" w:type="pct"/>
            <w:shd w:val="clear" w:color="auto" w:fill="auto"/>
            <w:noWrap/>
            <w:vAlign w:val="center"/>
          </w:tcPr>
          <w:p w14:paraId="7A163B40"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营业收入</w:t>
            </w:r>
            <w:r>
              <w:rPr>
                <w:rFonts w:ascii="Times New Roman" w:hAnsi="Times New Roman" w:cs="Times New Roman" w:hint="eastAsia"/>
                <w:sz w:val="21"/>
                <w:szCs w:val="21"/>
              </w:rPr>
              <w:t>-</w:t>
            </w:r>
            <w:r>
              <w:rPr>
                <w:rFonts w:ascii="Times New Roman" w:hAnsi="Times New Roman" w:cs="Times New Roman" w:hint="eastAsia"/>
                <w:sz w:val="21"/>
                <w:szCs w:val="21"/>
              </w:rPr>
              <w:t>工业自动化制造（万元）</w:t>
            </w:r>
          </w:p>
        </w:tc>
        <w:tc>
          <w:tcPr>
            <w:tcW w:w="976" w:type="pct"/>
            <w:shd w:val="clear" w:color="auto" w:fill="auto"/>
            <w:noWrap/>
            <w:vAlign w:val="center"/>
          </w:tcPr>
          <w:p w14:paraId="41EBFB4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162,141.46</w:t>
            </w:r>
          </w:p>
        </w:tc>
        <w:tc>
          <w:tcPr>
            <w:tcW w:w="976" w:type="pct"/>
            <w:shd w:val="clear" w:color="auto" w:fill="auto"/>
            <w:noWrap/>
            <w:vAlign w:val="center"/>
          </w:tcPr>
          <w:p w14:paraId="1514153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117,019.73</w:t>
            </w:r>
          </w:p>
        </w:tc>
        <w:tc>
          <w:tcPr>
            <w:tcW w:w="976" w:type="pct"/>
            <w:shd w:val="clear" w:color="auto" w:fill="auto"/>
            <w:noWrap/>
            <w:vAlign w:val="center"/>
          </w:tcPr>
          <w:p w14:paraId="3E7F5FF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74,534.15</w:t>
            </w:r>
          </w:p>
        </w:tc>
      </w:tr>
      <w:tr w:rsidR="00C02929" w14:paraId="2997971C" w14:textId="77777777">
        <w:trPr>
          <w:trHeight w:val="397"/>
        </w:trPr>
        <w:tc>
          <w:tcPr>
            <w:tcW w:w="2073" w:type="pct"/>
            <w:shd w:val="clear" w:color="auto" w:fill="auto"/>
            <w:noWrap/>
            <w:vAlign w:val="center"/>
          </w:tcPr>
          <w:p w14:paraId="7C1985D3"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毛利率</w:t>
            </w:r>
            <w:r>
              <w:rPr>
                <w:rFonts w:ascii="Times New Roman" w:hAnsi="Times New Roman" w:cs="Times New Roman" w:hint="eastAsia"/>
                <w:sz w:val="21"/>
                <w:szCs w:val="21"/>
              </w:rPr>
              <w:t>-</w:t>
            </w:r>
            <w:r>
              <w:rPr>
                <w:rFonts w:ascii="Times New Roman" w:hAnsi="Times New Roman" w:cs="Times New Roman" w:hint="eastAsia"/>
                <w:sz w:val="21"/>
                <w:szCs w:val="21"/>
              </w:rPr>
              <w:t>工业自动化制（</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7A2FDC1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33.9</w:t>
            </w:r>
          </w:p>
        </w:tc>
        <w:tc>
          <w:tcPr>
            <w:tcW w:w="976" w:type="pct"/>
            <w:shd w:val="clear" w:color="auto" w:fill="auto"/>
            <w:noWrap/>
            <w:vAlign w:val="center"/>
          </w:tcPr>
          <w:p w14:paraId="191A987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35.6</w:t>
            </w:r>
          </w:p>
        </w:tc>
        <w:tc>
          <w:tcPr>
            <w:tcW w:w="976" w:type="pct"/>
            <w:shd w:val="clear" w:color="auto" w:fill="auto"/>
            <w:noWrap/>
            <w:vAlign w:val="center"/>
          </w:tcPr>
          <w:p w14:paraId="2C573BA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38.5</w:t>
            </w:r>
          </w:p>
        </w:tc>
      </w:tr>
      <w:tr w:rsidR="00C02929" w14:paraId="470BD79B" w14:textId="77777777">
        <w:trPr>
          <w:trHeight w:val="397"/>
        </w:trPr>
        <w:tc>
          <w:tcPr>
            <w:tcW w:w="2073" w:type="pct"/>
            <w:shd w:val="clear" w:color="auto" w:fill="auto"/>
            <w:noWrap/>
            <w:vAlign w:val="center"/>
          </w:tcPr>
          <w:p w14:paraId="378CDE2C"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收入构成</w:t>
            </w:r>
            <w:r>
              <w:rPr>
                <w:rFonts w:ascii="Times New Roman" w:hAnsi="Times New Roman" w:cs="Times New Roman" w:hint="eastAsia"/>
                <w:sz w:val="21"/>
                <w:szCs w:val="21"/>
              </w:rPr>
              <w:t>-</w:t>
            </w:r>
            <w:r>
              <w:rPr>
                <w:rFonts w:ascii="Times New Roman" w:hAnsi="Times New Roman" w:cs="Times New Roman" w:hint="eastAsia"/>
                <w:sz w:val="21"/>
                <w:szCs w:val="21"/>
              </w:rPr>
              <w:t>工业自动化制（</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976" w:type="pct"/>
            <w:shd w:val="clear" w:color="auto" w:fill="auto"/>
            <w:noWrap/>
            <w:vAlign w:val="center"/>
          </w:tcPr>
          <w:p w14:paraId="3233FF0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97.65</w:t>
            </w:r>
          </w:p>
        </w:tc>
        <w:tc>
          <w:tcPr>
            <w:tcW w:w="976" w:type="pct"/>
            <w:shd w:val="clear" w:color="auto" w:fill="auto"/>
            <w:noWrap/>
            <w:vAlign w:val="center"/>
          </w:tcPr>
          <w:p w14:paraId="0FCB562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97.67</w:t>
            </w:r>
          </w:p>
        </w:tc>
        <w:tc>
          <w:tcPr>
            <w:tcW w:w="976" w:type="pct"/>
            <w:shd w:val="clear" w:color="auto" w:fill="auto"/>
            <w:noWrap/>
            <w:vAlign w:val="center"/>
          </w:tcPr>
          <w:p w14:paraId="06B41EB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97.50</w:t>
            </w:r>
          </w:p>
        </w:tc>
      </w:tr>
    </w:tbl>
    <w:p w14:paraId="2C5B2FD3"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lastRenderedPageBreak/>
        <w:t>数据来源：同花顺</w:t>
      </w:r>
      <w:r>
        <w:rPr>
          <w:rFonts w:ascii="Times New Roman" w:hAnsi="Times New Roman" w:cs="Times New Roman"/>
          <w:bCs/>
          <w:color w:val="000000"/>
          <w:sz w:val="21"/>
          <w:szCs w:val="21"/>
          <w:lang w:val="en-GB"/>
        </w:rPr>
        <w:t>iFinD</w:t>
      </w:r>
    </w:p>
    <w:p w14:paraId="41467550"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3</w:t>
      </w:r>
      <w:r>
        <w:rPr>
          <w:rFonts w:ascii="Times New Roman" w:hAnsi="Times New Roman" w:cs="Times New Roman" w:hint="eastAsia"/>
        </w:rPr>
        <w:t>）对比公司三：杭州永创智能设备股份有限公司</w:t>
      </w:r>
    </w:p>
    <w:p w14:paraId="470F58BA"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证券代码：</w:t>
      </w:r>
      <w:r>
        <w:rPr>
          <w:rFonts w:ascii="Times New Roman" w:hAnsi="Times New Roman" w:cs="Times New Roman" w:hint="eastAsia"/>
        </w:rPr>
        <w:t>603901.SH</w:t>
      </w:r>
    </w:p>
    <w:p w14:paraId="32CBA92B"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证券简称：永创智能</w:t>
      </w:r>
    </w:p>
    <w:p w14:paraId="4A25A90B"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上市日期：</w:t>
      </w:r>
      <w:r>
        <w:rPr>
          <w:rFonts w:ascii="Times New Roman" w:hAnsi="Times New Roman" w:cs="Times New Roman" w:hint="eastAsia"/>
        </w:rPr>
        <w:t>2015-05-29</w:t>
      </w:r>
    </w:p>
    <w:p w14:paraId="21D2DD58"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成立日期：</w:t>
      </w:r>
      <w:r>
        <w:rPr>
          <w:rFonts w:ascii="Times New Roman" w:hAnsi="Times New Roman" w:cs="Times New Roman" w:hint="eastAsia"/>
        </w:rPr>
        <w:t>2002-11-07</w:t>
      </w:r>
    </w:p>
    <w:p w14:paraId="31824459"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注册资本：</w:t>
      </w:r>
      <w:r>
        <w:rPr>
          <w:rFonts w:ascii="Times New Roman" w:hAnsi="Times New Roman" w:cs="Times New Roman" w:hint="eastAsia"/>
        </w:rPr>
        <w:t>43,938.9506</w:t>
      </w:r>
      <w:r>
        <w:rPr>
          <w:rFonts w:ascii="Times New Roman" w:hAnsi="Times New Roman" w:cs="Times New Roman" w:hint="eastAsia"/>
        </w:rPr>
        <w:t>万元</w:t>
      </w:r>
    </w:p>
    <w:p w14:paraId="6D84D9D4"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注册地址：浙江省杭州市西湖区三墩镇西园九路</w:t>
      </w:r>
      <w:r>
        <w:rPr>
          <w:rFonts w:ascii="Times New Roman" w:hAnsi="Times New Roman" w:cs="Times New Roman" w:hint="eastAsia"/>
        </w:rPr>
        <w:t>1</w:t>
      </w:r>
      <w:r>
        <w:rPr>
          <w:rFonts w:ascii="Times New Roman" w:hAnsi="Times New Roman" w:cs="Times New Roman" w:hint="eastAsia"/>
        </w:rPr>
        <w:t>号</w:t>
      </w:r>
    </w:p>
    <w:p w14:paraId="1CA58F81"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公司简介：杭州永创智能设备股份有限公司一直从事包装设备及配套包装材料的研发设计、生产制造、安装调试与技术服务</w:t>
      </w:r>
      <w:r>
        <w:rPr>
          <w:rFonts w:ascii="Times New Roman" w:hAnsi="Times New Roman" w:cs="Times New Roman" w:hint="eastAsia"/>
        </w:rPr>
        <w:t>,</w:t>
      </w:r>
      <w:r>
        <w:rPr>
          <w:rFonts w:ascii="Times New Roman" w:hAnsi="Times New Roman" w:cs="Times New Roman" w:hint="eastAsia"/>
        </w:rPr>
        <w:t>以技术为依托为客户提供包装设备解决方案。公司包装设备、软件及配套包装材料主要应用于液态食品、固态食品、医药、化工、家用电器、造币印钞、仓储物流、建筑材料、造纸印刷、图书出版等众多领域。为国家火炬计划重点高新技术企业</w:t>
      </w:r>
      <w:r>
        <w:rPr>
          <w:rFonts w:ascii="Times New Roman" w:hAnsi="Times New Roman" w:cs="Times New Roman" w:hint="eastAsia"/>
        </w:rPr>
        <w:t>,</w:t>
      </w:r>
      <w:r>
        <w:rPr>
          <w:rFonts w:ascii="Times New Roman" w:hAnsi="Times New Roman" w:cs="Times New Roman" w:hint="eastAsia"/>
        </w:rPr>
        <w:t>拥有机械系统设计、电气自动化控制设计等方面的大量专业人才</w:t>
      </w:r>
      <w:r>
        <w:rPr>
          <w:rFonts w:ascii="Times New Roman" w:hAnsi="Times New Roman" w:cs="Times New Roman" w:hint="eastAsia"/>
        </w:rPr>
        <w:t>,</w:t>
      </w:r>
      <w:r>
        <w:rPr>
          <w:rFonts w:ascii="Times New Roman" w:hAnsi="Times New Roman" w:cs="Times New Roman" w:hint="eastAsia"/>
        </w:rPr>
        <w:t>已形成覆盖智能单机、包装机器人、智能包装生产线、智慧工厂工业软件四大产品系列的专利体系</w:t>
      </w:r>
      <w:r>
        <w:rPr>
          <w:rFonts w:ascii="Times New Roman" w:hAnsi="Times New Roman" w:cs="Times New Roman" w:hint="eastAsia"/>
        </w:rPr>
        <w:t>,</w:t>
      </w:r>
      <w:r>
        <w:rPr>
          <w:rFonts w:ascii="Times New Roman" w:hAnsi="Times New Roman" w:cs="Times New Roman" w:hint="eastAsia"/>
        </w:rPr>
        <w:t>拥有的专利授权数量位居行业前列。</w:t>
      </w:r>
    </w:p>
    <w:p w14:paraId="167F1A83"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经营范围：包装机械及其零配件、工业机器人及其成套系统、精密仪器、非金属制品模具、包装材料的研发、设计、制造、加工，计算机软件、自动化信息系统的研发、设计、制作及工程承包、技术转让、技术咨询、技术服务，培训服务（不含办班培训），包装机械的维护、修理，本企业生产所需的废旧打包带、塑料颗粒的回收（限企业内经营，废旧金属除外），从事进出口业务。</w:t>
      </w:r>
    </w:p>
    <w:p w14:paraId="2528D47B"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该公司近三年经营业务指标及主营业务占全部经营业务的比重及相关数据如下：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906"/>
        <w:gridCol w:w="1161"/>
        <w:gridCol w:w="1202"/>
        <w:gridCol w:w="1253"/>
      </w:tblGrid>
      <w:tr w:rsidR="00C02929" w14:paraId="745B83FE" w14:textId="77777777">
        <w:trPr>
          <w:trHeight w:val="397"/>
          <w:tblHeader/>
        </w:trPr>
        <w:tc>
          <w:tcPr>
            <w:tcW w:w="2808" w:type="pct"/>
            <w:shd w:val="clear" w:color="auto" w:fill="auto"/>
            <w:noWrap/>
            <w:vAlign w:val="center"/>
          </w:tcPr>
          <w:p w14:paraId="2A6C31B3"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报告期</w:t>
            </w:r>
          </w:p>
        </w:tc>
        <w:tc>
          <w:tcPr>
            <w:tcW w:w="567" w:type="pct"/>
            <w:shd w:val="clear" w:color="auto" w:fill="auto"/>
            <w:noWrap/>
            <w:vAlign w:val="center"/>
          </w:tcPr>
          <w:p w14:paraId="13BB70A7"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2019</w:t>
            </w:r>
            <w:r>
              <w:rPr>
                <w:rFonts w:ascii="Times New Roman" w:hAnsi="Times New Roman" w:cs="Times New Roman" w:hint="eastAsia"/>
                <w:b/>
                <w:bCs/>
                <w:sz w:val="21"/>
                <w:szCs w:val="21"/>
              </w:rPr>
              <w:t>年</w:t>
            </w:r>
          </w:p>
        </w:tc>
        <w:tc>
          <w:tcPr>
            <w:tcW w:w="798" w:type="pct"/>
            <w:shd w:val="clear" w:color="auto" w:fill="auto"/>
            <w:noWrap/>
            <w:vAlign w:val="center"/>
          </w:tcPr>
          <w:p w14:paraId="18DD7B3B"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2018</w:t>
            </w:r>
            <w:r>
              <w:rPr>
                <w:rFonts w:ascii="Times New Roman" w:hAnsi="Times New Roman" w:cs="Times New Roman" w:hint="eastAsia"/>
                <w:b/>
                <w:bCs/>
                <w:sz w:val="21"/>
                <w:szCs w:val="21"/>
              </w:rPr>
              <w:t>年</w:t>
            </w:r>
          </w:p>
        </w:tc>
        <w:tc>
          <w:tcPr>
            <w:tcW w:w="827" w:type="pct"/>
            <w:shd w:val="clear" w:color="auto" w:fill="auto"/>
            <w:noWrap/>
            <w:vAlign w:val="center"/>
          </w:tcPr>
          <w:p w14:paraId="03CD41A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2017</w:t>
            </w:r>
            <w:r>
              <w:rPr>
                <w:rFonts w:ascii="Times New Roman" w:hAnsi="Times New Roman" w:cs="Times New Roman" w:hint="eastAsia"/>
                <w:b/>
                <w:bCs/>
                <w:sz w:val="21"/>
                <w:szCs w:val="21"/>
              </w:rPr>
              <w:t>年</w:t>
            </w:r>
          </w:p>
        </w:tc>
      </w:tr>
      <w:tr w:rsidR="00C02929" w14:paraId="392CAA09" w14:textId="77777777">
        <w:trPr>
          <w:trHeight w:val="397"/>
        </w:trPr>
        <w:tc>
          <w:tcPr>
            <w:tcW w:w="5000" w:type="pct"/>
            <w:gridSpan w:val="4"/>
            <w:shd w:val="clear" w:color="auto" w:fill="auto"/>
            <w:noWrap/>
            <w:vAlign w:val="center"/>
          </w:tcPr>
          <w:p w14:paraId="75E3A48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b/>
                <w:bCs/>
                <w:sz w:val="21"/>
                <w:szCs w:val="21"/>
              </w:rPr>
              <w:t>盈利能力</w:t>
            </w:r>
          </w:p>
        </w:tc>
      </w:tr>
      <w:tr w:rsidR="00C02929" w14:paraId="29B2E0CB" w14:textId="77777777">
        <w:trPr>
          <w:trHeight w:val="397"/>
        </w:trPr>
        <w:tc>
          <w:tcPr>
            <w:tcW w:w="2808" w:type="pct"/>
            <w:shd w:val="clear" w:color="auto" w:fill="auto"/>
            <w:noWrap/>
            <w:vAlign w:val="center"/>
          </w:tcPr>
          <w:p w14:paraId="0183FC02"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净资产收益率年化（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3F6778F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7.21</w:t>
            </w:r>
          </w:p>
        </w:tc>
        <w:tc>
          <w:tcPr>
            <w:tcW w:w="798" w:type="pct"/>
            <w:shd w:val="clear" w:color="auto" w:fill="auto"/>
            <w:noWrap/>
            <w:vAlign w:val="center"/>
          </w:tcPr>
          <w:p w14:paraId="7F97B9C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6.63</w:t>
            </w:r>
          </w:p>
        </w:tc>
        <w:tc>
          <w:tcPr>
            <w:tcW w:w="827" w:type="pct"/>
            <w:shd w:val="clear" w:color="auto" w:fill="auto"/>
            <w:noWrap/>
            <w:vAlign w:val="center"/>
          </w:tcPr>
          <w:p w14:paraId="7ABFC34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7.16</w:t>
            </w:r>
          </w:p>
        </w:tc>
      </w:tr>
      <w:tr w:rsidR="00C02929" w14:paraId="1FB510FF" w14:textId="77777777">
        <w:trPr>
          <w:trHeight w:val="397"/>
        </w:trPr>
        <w:tc>
          <w:tcPr>
            <w:tcW w:w="2808" w:type="pct"/>
            <w:shd w:val="clear" w:color="auto" w:fill="auto"/>
            <w:noWrap/>
            <w:vAlign w:val="center"/>
          </w:tcPr>
          <w:p w14:paraId="4E66A489"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总资产报酬率年化（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52C2FEF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4.04</w:t>
            </w:r>
          </w:p>
        </w:tc>
        <w:tc>
          <w:tcPr>
            <w:tcW w:w="798" w:type="pct"/>
            <w:shd w:val="clear" w:color="auto" w:fill="auto"/>
            <w:noWrap/>
            <w:vAlign w:val="center"/>
          </w:tcPr>
          <w:p w14:paraId="1DBC832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3.92</w:t>
            </w:r>
          </w:p>
        </w:tc>
        <w:tc>
          <w:tcPr>
            <w:tcW w:w="827" w:type="pct"/>
            <w:shd w:val="clear" w:color="auto" w:fill="auto"/>
            <w:noWrap/>
            <w:vAlign w:val="center"/>
          </w:tcPr>
          <w:p w14:paraId="640144B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4.59</w:t>
            </w:r>
          </w:p>
        </w:tc>
      </w:tr>
      <w:tr w:rsidR="00C02929" w14:paraId="28A23F7C" w14:textId="77777777">
        <w:trPr>
          <w:trHeight w:val="397"/>
        </w:trPr>
        <w:tc>
          <w:tcPr>
            <w:tcW w:w="2808" w:type="pct"/>
            <w:shd w:val="clear" w:color="auto" w:fill="auto"/>
            <w:noWrap/>
            <w:vAlign w:val="center"/>
          </w:tcPr>
          <w:p w14:paraId="0059C030"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lastRenderedPageBreak/>
              <w:t>总资产净利率年化（</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0E2E91B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3.14</w:t>
            </w:r>
          </w:p>
        </w:tc>
        <w:tc>
          <w:tcPr>
            <w:tcW w:w="798" w:type="pct"/>
            <w:shd w:val="clear" w:color="auto" w:fill="auto"/>
            <w:noWrap/>
            <w:vAlign w:val="center"/>
          </w:tcPr>
          <w:p w14:paraId="2B9997C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2.74</w:t>
            </w:r>
          </w:p>
        </w:tc>
        <w:tc>
          <w:tcPr>
            <w:tcW w:w="827" w:type="pct"/>
            <w:shd w:val="clear" w:color="auto" w:fill="auto"/>
            <w:noWrap/>
            <w:vAlign w:val="center"/>
          </w:tcPr>
          <w:p w14:paraId="3E60F4F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3.20</w:t>
            </w:r>
          </w:p>
        </w:tc>
      </w:tr>
      <w:tr w:rsidR="00C02929" w14:paraId="74250793" w14:textId="77777777">
        <w:trPr>
          <w:trHeight w:val="397"/>
        </w:trPr>
        <w:tc>
          <w:tcPr>
            <w:tcW w:w="2808" w:type="pct"/>
            <w:shd w:val="clear" w:color="auto" w:fill="auto"/>
            <w:noWrap/>
            <w:vAlign w:val="center"/>
          </w:tcPr>
          <w:p w14:paraId="736A41C6"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销售净利率（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4E6A3EF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5.42</w:t>
            </w:r>
          </w:p>
        </w:tc>
        <w:tc>
          <w:tcPr>
            <w:tcW w:w="798" w:type="pct"/>
            <w:shd w:val="clear" w:color="auto" w:fill="auto"/>
            <w:noWrap/>
            <w:vAlign w:val="center"/>
          </w:tcPr>
          <w:p w14:paraId="5CFD80A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4.36</w:t>
            </w:r>
          </w:p>
        </w:tc>
        <w:tc>
          <w:tcPr>
            <w:tcW w:w="827" w:type="pct"/>
            <w:shd w:val="clear" w:color="auto" w:fill="auto"/>
            <w:noWrap/>
            <w:vAlign w:val="center"/>
          </w:tcPr>
          <w:p w14:paraId="043EB15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4.71</w:t>
            </w:r>
          </w:p>
        </w:tc>
      </w:tr>
      <w:tr w:rsidR="00C02929" w14:paraId="5124CAF7" w14:textId="77777777">
        <w:trPr>
          <w:trHeight w:val="397"/>
        </w:trPr>
        <w:tc>
          <w:tcPr>
            <w:tcW w:w="2808" w:type="pct"/>
            <w:shd w:val="clear" w:color="auto" w:fill="auto"/>
            <w:noWrap/>
            <w:vAlign w:val="center"/>
          </w:tcPr>
          <w:p w14:paraId="4BA09779"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销售毛利率（</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6ADFED9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29.23</w:t>
            </w:r>
          </w:p>
        </w:tc>
        <w:tc>
          <w:tcPr>
            <w:tcW w:w="798" w:type="pct"/>
            <w:shd w:val="clear" w:color="auto" w:fill="auto"/>
            <w:noWrap/>
            <w:vAlign w:val="center"/>
          </w:tcPr>
          <w:p w14:paraId="2BA9FA7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29.77</w:t>
            </w:r>
          </w:p>
        </w:tc>
        <w:tc>
          <w:tcPr>
            <w:tcW w:w="827" w:type="pct"/>
            <w:shd w:val="clear" w:color="auto" w:fill="auto"/>
            <w:noWrap/>
            <w:vAlign w:val="center"/>
          </w:tcPr>
          <w:p w14:paraId="32FA8DF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28.88</w:t>
            </w:r>
          </w:p>
        </w:tc>
      </w:tr>
      <w:tr w:rsidR="00C02929" w14:paraId="7B03B3D3" w14:textId="77777777">
        <w:trPr>
          <w:trHeight w:val="397"/>
        </w:trPr>
        <w:tc>
          <w:tcPr>
            <w:tcW w:w="5000" w:type="pct"/>
            <w:gridSpan w:val="4"/>
            <w:shd w:val="clear" w:color="auto" w:fill="auto"/>
            <w:noWrap/>
            <w:vAlign w:val="center"/>
          </w:tcPr>
          <w:p w14:paraId="0B8B5334"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b/>
                <w:bCs/>
                <w:sz w:val="21"/>
                <w:szCs w:val="21"/>
              </w:rPr>
              <w:t>主营收入构成</w:t>
            </w:r>
          </w:p>
        </w:tc>
      </w:tr>
      <w:tr w:rsidR="00C02929" w14:paraId="497B95EA" w14:textId="77777777">
        <w:trPr>
          <w:trHeight w:val="397"/>
        </w:trPr>
        <w:tc>
          <w:tcPr>
            <w:tcW w:w="2808" w:type="pct"/>
            <w:shd w:val="clear" w:color="auto" w:fill="auto"/>
            <w:noWrap/>
            <w:vAlign w:val="center"/>
          </w:tcPr>
          <w:p w14:paraId="58169FDC"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营业收入</w:t>
            </w:r>
            <w:r>
              <w:rPr>
                <w:rFonts w:ascii="Times New Roman" w:hAnsi="Times New Roman" w:cs="Times New Roman" w:hint="eastAsia"/>
                <w:sz w:val="21"/>
                <w:szCs w:val="21"/>
              </w:rPr>
              <w:t>-</w:t>
            </w:r>
            <w:r>
              <w:rPr>
                <w:rFonts w:ascii="Times New Roman" w:hAnsi="Times New Roman" w:cs="Times New Roman" w:hint="eastAsia"/>
                <w:sz w:val="21"/>
                <w:szCs w:val="21"/>
              </w:rPr>
              <w:t>智能包装生产线、码垛、封口等（万元）</w:t>
            </w:r>
          </w:p>
        </w:tc>
        <w:tc>
          <w:tcPr>
            <w:tcW w:w="567" w:type="pct"/>
            <w:shd w:val="clear" w:color="auto" w:fill="auto"/>
            <w:noWrap/>
            <w:vAlign w:val="center"/>
          </w:tcPr>
          <w:p w14:paraId="76FF9EA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140,161.01</w:t>
            </w:r>
          </w:p>
        </w:tc>
        <w:tc>
          <w:tcPr>
            <w:tcW w:w="798" w:type="pct"/>
            <w:shd w:val="clear" w:color="auto" w:fill="auto"/>
            <w:noWrap/>
            <w:vAlign w:val="center"/>
          </w:tcPr>
          <w:p w14:paraId="47763D7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22,249.73</w:t>
            </w:r>
          </w:p>
        </w:tc>
        <w:tc>
          <w:tcPr>
            <w:tcW w:w="827" w:type="pct"/>
            <w:shd w:val="clear" w:color="auto" w:fill="auto"/>
            <w:noWrap/>
            <w:vAlign w:val="center"/>
          </w:tcPr>
          <w:p w14:paraId="1E1FEAB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103,745.55</w:t>
            </w:r>
          </w:p>
        </w:tc>
      </w:tr>
      <w:tr w:rsidR="00C02929" w14:paraId="4526D8AF" w14:textId="77777777">
        <w:trPr>
          <w:trHeight w:val="397"/>
        </w:trPr>
        <w:tc>
          <w:tcPr>
            <w:tcW w:w="2808" w:type="pct"/>
            <w:shd w:val="clear" w:color="auto" w:fill="auto"/>
            <w:noWrap/>
            <w:vAlign w:val="center"/>
          </w:tcPr>
          <w:p w14:paraId="25331763"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毛利率</w:t>
            </w:r>
            <w:r>
              <w:rPr>
                <w:rFonts w:ascii="Times New Roman" w:hAnsi="Times New Roman" w:cs="Times New Roman" w:hint="eastAsia"/>
                <w:sz w:val="21"/>
                <w:szCs w:val="21"/>
              </w:rPr>
              <w:t>-</w:t>
            </w:r>
            <w:r>
              <w:rPr>
                <w:rFonts w:ascii="Times New Roman" w:hAnsi="Times New Roman" w:cs="Times New Roman" w:hint="eastAsia"/>
                <w:sz w:val="21"/>
                <w:szCs w:val="21"/>
              </w:rPr>
              <w:t>智能包装生产线、码垛、封口等（</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3415019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30.42</w:t>
            </w:r>
          </w:p>
        </w:tc>
        <w:tc>
          <w:tcPr>
            <w:tcW w:w="798" w:type="pct"/>
            <w:shd w:val="clear" w:color="auto" w:fill="auto"/>
            <w:noWrap/>
            <w:vAlign w:val="center"/>
          </w:tcPr>
          <w:p w14:paraId="24EAC26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31.36</w:t>
            </w:r>
          </w:p>
        </w:tc>
        <w:tc>
          <w:tcPr>
            <w:tcW w:w="827" w:type="pct"/>
            <w:shd w:val="clear" w:color="auto" w:fill="auto"/>
            <w:noWrap/>
            <w:vAlign w:val="center"/>
          </w:tcPr>
          <w:p w14:paraId="5D313E1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30.98</w:t>
            </w:r>
          </w:p>
        </w:tc>
      </w:tr>
      <w:tr w:rsidR="00C02929" w14:paraId="5DA660E3" w14:textId="77777777">
        <w:trPr>
          <w:trHeight w:val="397"/>
        </w:trPr>
        <w:tc>
          <w:tcPr>
            <w:tcW w:w="2808" w:type="pct"/>
            <w:shd w:val="clear" w:color="auto" w:fill="auto"/>
            <w:noWrap/>
            <w:vAlign w:val="center"/>
          </w:tcPr>
          <w:p w14:paraId="7E53887D"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收入构成</w:t>
            </w:r>
            <w:r>
              <w:rPr>
                <w:rFonts w:ascii="Times New Roman" w:hAnsi="Times New Roman" w:cs="Times New Roman" w:hint="eastAsia"/>
                <w:sz w:val="21"/>
                <w:szCs w:val="21"/>
              </w:rPr>
              <w:t>-</w:t>
            </w:r>
            <w:r>
              <w:rPr>
                <w:rFonts w:ascii="Times New Roman" w:hAnsi="Times New Roman" w:cs="Times New Roman" w:hint="eastAsia"/>
                <w:sz w:val="21"/>
                <w:szCs w:val="21"/>
              </w:rPr>
              <w:t>智能包装生产线、码垛、封口等（</w:t>
            </w:r>
            <w:r>
              <w:rPr>
                <w:rFonts w:ascii="Times New Roman" w:hAnsi="Times New Roman" w:cs="Times New Roman" w:hint="eastAsia"/>
                <w:sz w:val="21"/>
                <w:szCs w:val="21"/>
              </w:rPr>
              <w:t>%</w:t>
            </w:r>
            <w:r>
              <w:rPr>
                <w:rFonts w:ascii="Times New Roman" w:hAnsi="Times New Roman" w:cs="Times New Roman" w:hint="eastAsia"/>
                <w:sz w:val="21"/>
                <w:szCs w:val="21"/>
              </w:rPr>
              <w:t>）</w:t>
            </w:r>
          </w:p>
        </w:tc>
        <w:tc>
          <w:tcPr>
            <w:tcW w:w="567" w:type="pct"/>
            <w:shd w:val="clear" w:color="auto" w:fill="auto"/>
            <w:noWrap/>
            <w:vAlign w:val="center"/>
          </w:tcPr>
          <w:p w14:paraId="65A8183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74.91</w:t>
            </w:r>
          </w:p>
        </w:tc>
        <w:tc>
          <w:tcPr>
            <w:tcW w:w="798" w:type="pct"/>
            <w:shd w:val="clear" w:color="auto" w:fill="auto"/>
            <w:noWrap/>
            <w:vAlign w:val="center"/>
          </w:tcPr>
          <w:p w14:paraId="7CB6237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74.05</w:t>
            </w:r>
          </w:p>
        </w:tc>
        <w:tc>
          <w:tcPr>
            <w:tcW w:w="827" w:type="pct"/>
            <w:shd w:val="clear" w:color="auto" w:fill="auto"/>
            <w:noWrap/>
            <w:vAlign w:val="center"/>
          </w:tcPr>
          <w:p w14:paraId="727A6CA1"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75.36</w:t>
            </w:r>
          </w:p>
        </w:tc>
      </w:tr>
    </w:tbl>
    <w:p w14:paraId="52DFBCCE" w14:textId="77777777" w:rsidR="00C02929" w:rsidRDefault="006116D1">
      <w:pPr>
        <w:jc w:val="both"/>
        <w:rPr>
          <w:rFonts w:ascii="Times New Roman" w:hAnsi="Times New Roman" w:cs="Times New Roman"/>
          <w:bCs/>
          <w:color w:val="000000"/>
          <w:sz w:val="21"/>
          <w:szCs w:val="21"/>
          <w:lang w:val="en-GB"/>
        </w:rPr>
      </w:pPr>
      <w:r>
        <w:rPr>
          <w:rFonts w:ascii="Times New Roman" w:hAnsi="Times New Roman" w:cs="Times New Roman" w:hint="eastAsia"/>
          <w:bCs/>
          <w:color w:val="000000"/>
          <w:sz w:val="21"/>
          <w:szCs w:val="21"/>
          <w:lang w:val="en-GB"/>
        </w:rPr>
        <w:t>数据来源：同花顺</w:t>
      </w:r>
      <w:r>
        <w:rPr>
          <w:rFonts w:ascii="Times New Roman" w:hAnsi="Times New Roman" w:cs="Times New Roman"/>
          <w:bCs/>
          <w:color w:val="000000"/>
          <w:sz w:val="21"/>
          <w:szCs w:val="21"/>
          <w:lang w:val="en-GB"/>
        </w:rPr>
        <w:t>iFinD</w:t>
      </w:r>
    </w:p>
    <w:p w14:paraId="6C5B0A98"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上述对比公司股票价格波动率与沪深</w:t>
      </w:r>
      <w:r>
        <w:rPr>
          <w:rFonts w:ascii="Times New Roman" w:hAnsi="Times New Roman" w:cs="Times New Roman" w:hint="eastAsia"/>
        </w:rPr>
        <w:t>300</w:t>
      </w:r>
      <w:r>
        <w:rPr>
          <w:rFonts w:ascii="Times New Roman" w:hAnsi="Times New Roman" w:cs="Times New Roman" w:hint="eastAsia"/>
        </w:rPr>
        <w:t>指数波动率</w:t>
      </w:r>
      <w:r>
        <w:rPr>
          <w:rFonts w:ascii="Times New Roman" w:hAnsi="Times New Roman" w:cs="Times New Roman" w:hint="eastAsia"/>
        </w:rPr>
        <w:t>t</w:t>
      </w:r>
      <w:r>
        <w:rPr>
          <w:rFonts w:ascii="Times New Roman" w:hAnsi="Times New Roman" w:cs="Times New Roman" w:hint="eastAsia"/>
        </w:rPr>
        <w:t>检验统计数据如下：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08"/>
        <w:gridCol w:w="1777"/>
        <w:gridCol w:w="1445"/>
        <w:gridCol w:w="1687"/>
        <w:gridCol w:w="1805"/>
      </w:tblGrid>
      <w:tr w:rsidR="00C02929" w14:paraId="0571BD1B" w14:textId="77777777">
        <w:trPr>
          <w:trHeight w:val="397"/>
          <w:tblHeader/>
        </w:trPr>
        <w:tc>
          <w:tcPr>
            <w:tcW w:w="1060" w:type="pct"/>
            <w:shd w:val="clear" w:color="auto" w:fill="auto"/>
            <w:vAlign w:val="center"/>
          </w:tcPr>
          <w:p w14:paraId="7BB2484D"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对比公司名称</w:t>
            </w:r>
          </w:p>
        </w:tc>
        <w:tc>
          <w:tcPr>
            <w:tcW w:w="1042" w:type="pct"/>
            <w:shd w:val="clear" w:color="auto" w:fill="auto"/>
            <w:vAlign w:val="center"/>
          </w:tcPr>
          <w:p w14:paraId="018C9F26"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股票代码</w:t>
            </w:r>
          </w:p>
        </w:tc>
        <w:tc>
          <w:tcPr>
            <w:tcW w:w="848" w:type="pct"/>
            <w:shd w:val="clear" w:color="auto" w:fill="auto"/>
            <w:vAlign w:val="center"/>
          </w:tcPr>
          <w:p w14:paraId="0AC21AF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自由度</w:t>
            </w:r>
            <w:r>
              <w:rPr>
                <w:rFonts w:ascii="Times New Roman" w:hAnsi="Times New Roman" w:cs="Times New Roman" w:hint="eastAsia"/>
                <w:b/>
                <w:bCs/>
                <w:sz w:val="21"/>
                <w:szCs w:val="21"/>
              </w:rPr>
              <w:t>(n-2)</w:t>
            </w:r>
          </w:p>
        </w:tc>
        <w:tc>
          <w:tcPr>
            <w:tcW w:w="990" w:type="pct"/>
            <w:shd w:val="clear" w:color="auto" w:fill="auto"/>
            <w:vAlign w:val="center"/>
          </w:tcPr>
          <w:p w14:paraId="53907AD9"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t</w:t>
            </w:r>
            <w:r>
              <w:rPr>
                <w:rFonts w:ascii="Times New Roman" w:hAnsi="Times New Roman" w:cs="Times New Roman" w:hint="eastAsia"/>
                <w:b/>
                <w:bCs/>
                <w:sz w:val="21"/>
                <w:szCs w:val="21"/>
              </w:rPr>
              <w:t>检验统计量</w:t>
            </w:r>
          </w:p>
        </w:tc>
        <w:tc>
          <w:tcPr>
            <w:tcW w:w="1059" w:type="pct"/>
            <w:shd w:val="clear" w:color="auto" w:fill="auto"/>
            <w:vAlign w:val="center"/>
          </w:tcPr>
          <w:p w14:paraId="68C5C05E"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t</w:t>
            </w:r>
            <w:r>
              <w:rPr>
                <w:rFonts w:ascii="Times New Roman" w:hAnsi="Times New Roman" w:cs="Times New Roman" w:hint="eastAsia"/>
                <w:b/>
                <w:bCs/>
                <w:sz w:val="21"/>
                <w:szCs w:val="21"/>
              </w:rPr>
              <w:t>检验结论</w:t>
            </w:r>
          </w:p>
        </w:tc>
      </w:tr>
      <w:tr w:rsidR="00C02929" w14:paraId="4090E2B9" w14:textId="77777777">
        <w:trPr>
          <w:trHeight w:val="397"/>
        </w:trPr>
        <w:tc>
          <w:tcPr>
            <w:tcW w:w="1060" w:type="pct"/>
            <w:shd w:val="clear" w:color="auto" w:fill="auto"/>
            <w:vAlign w:val="center"/>
          </w:tcPr>
          <w:p w14:paraId="777057F2"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永创智能</w:t>
            </w:r>
          </w:p>
        </w:tc>
        <w:tc>
          <w:tcPr>
            <w:tcW w:w="1042" w:type="pct"/>
            <w:shd w:val="clear" w:color="auto" w:fill="auto"/>
            <w:vAlign w:val="center"/>
          </w:tcPr>
          <w:p w14:paraId="2BEAE663"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603901.SH</w:t>
            </w:r>
          </w:p>
        </w:tc>
        <w:tc>
          <w:tcPr>
            <w:tcW w:w="848" w:type="pct"/>
            <w:shd w:val="clear" w:color="auto" w:fill="auto"/>
            <w:vAlign w:val="center"/>
          </w:tcPr>
          <w:p w14:paraId="6D952706"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58</w:t>
            </w:r>
          </w:p>
        </w:tc>
        <w:tc>
          <w:tcPr>
            <w:tcW w:w="990" w:type="pct"/>
            <w:shd w:val="clear" w:color="auto" w:fill="auto"/>
            <w:vAlign w:val="center"/>
          </w:tcPr>
          <w:p w14:paraId="0E0700D4"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3.51</w:t>
            </w:r>
          </w:p>
        </w:tc>
        <w:tc>
          <w:tcPr>
            <w:tcW w:w="1059" w:type="pct"/>
            <w:shd w:val="clear" w:color="auto" w:fill="auto"/>
            <w:vAlign w:val="center"/>
          </w:tcPr>
          <w:p w14:paraId="3DB76B01"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通过</w:t>
            </w:r>
          </w:p>
        </w:tc>
      </w:tr>
      <w:tr w:rsidR="00C02929" w14:paraId="2E265B96" w14:textId="77777777">
        <w:trPr>
          <w:trHeight w:val="397"/>
        </w:trPr>
        <w:tc>
          <w:tcPr>
            <w:tcW w:w="1060" w:type="pct"/>
            <w:shd w:val="clear" w:color="auto" w:fill="auto"/>
            <w:vAlign w:val="center"/>
          </w:tcPr>
          <w:p w14:paraId="1156B97D"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快克股份</w:t>
            </w:r>
          </w:p>
        </w:tc>
        <w:tc>
          <w:tcPr>
            <w:tcW w:w="1042" w:type="pct"/>
            <w:shd w:val="clear" w:color="auto" w:fill="auto"/>
            <w:vAlign w:val="center"/>
          </w:tcPr>
          <w:p w14:paraId="4716A190"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603203.</w:t>
            </w:r>
            <w:r>
              <w:rPr>
                <w:rFonts w:ascii="Times New Roman" w:hAnsi="Times New Roman" w:cs="Times New Roman" w:hint="eastAsia"/>
                <w:sz w:val="21"/>
                <w:szCs w:val="21"/>
              </w:rPr>
              <w:t>SH</w:t>
            </w:r>
          </w:p>
        </w:tc>
        <w:tc>
          <w:tcPr>
            <w:tcW w:w="848" w:type="pct"/>
            <w:shd w:val="clear" w:color="auto" w:fill="auto"/>
            <w:vAlign w:val="center"/>
          </w:tcPr>
          <w:p w14:paraId="4A40F125"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41</w:t>
            </w:r>
          </w:p>
        </w:tc>
        <w:tc>
          <w:tcPr>
            <w:tcW w:w="990" w:type="pct"/>
            <w:shd w:val="clear" w:color="auto" w:fill="auto"/>
            <w:vAlign w:val="center"/>
          </w:tcPr>
          <w:p w14:paraId="386FFE7F"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4.96</w:t>
            </w:r>
          </w:p>
        </w:tc>
        <w:tc>
          <w:tcPr>
            <w:tcW w:w="1059" w:type="pct"/>
            <w:shd w:val="clear" w:color="auto" w:fill="auto"/>
            <w:vAlign w:val="center"/>
          </w:tcPr>
          <w:p w14:paraId="3B8310C0"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通过</w:t>
            </w:r>
          </w:p>
        </w:tc>
      </w:tr>
      <w:tr w:rsidR="00C02929" w14:paraId="570D34C0" w14:textId="77777777">
        <w:trPr>
          <w:trHeight w:val="397"/>
        </w:trPr>
        <w:tc>
          <w:tcPr>
            <w:tcW w:w="1060" w:type="pct"/>
            <w:shd w:val="clear" w:color="auto" w:fill="auto"/>
            <w:vAlign w:val="center"/>
          </w:tcPr>
          <w:p w14:paraId="1094480F"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拓斯达</w:t>
            </w:r>
          </w:p>
        </w:tc>
        <w:tc>
          <w:tcPr>
            <w:tcW w:w="1042" w:type="pct"/>
            <w:shd w:val="clear" w:color="auto" w:fill="auto"/>
            <w:vAlign w:val="center"/>
          </w:tcPr>
          <w:p w14:paraId="239D34A1"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300607.SZ</w:t>
            </w:r>
          </w:p>
        </w:tc>
        <w:tc>
          <w:tcPr>
            <w:tcW w:w="848" w:type="pct"/>
            <w:shd w:val="clear" w:color="auto" w:fill="auto"/>
            <w:vAlign w:val="center"/>
          </w:tcPr>
          <w:p w14:paraId="60F8BB69"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38</w:t>
            </w:r>
          </w:p>
        </w:tc>
        <w:tc>
          <w:tcPr>
            <w:tcW w:w="990" w:type="pct"/>
            <w:shd w:val="clear" w:color="auto" w:fill="auto"/>
            <w:vAlign w:val="center"/>
          </w:tcPr>
          <w:p w14:paraId="413A8A74" w14:textId="77777777" w:rsidR="00C02929" w:rsidRDefault="006116D1">
            <w:pPr>
              <w:jc w:val="center"/>
              <w:rPr>
                <w:rFonts w:ascii="Times New Roman" w:hAnsi="Times New Roman" w:cs="Times New Roman"/>
                <w:sz w:val="21"/>
                <w:szCs w:val="21"/>
              </w:rPr>
            </w:pPr>
            <w:r>
              <w:rPr>
                <w:rFonts w:ascii="Times New Roman" w:hAnsi="Times New Roman" w:cs="Times New Roman"/>
                <w:sz w:val="21"/>
                <w:szCs w:val="21"/>
              </w:rPr>
              <w:t>2.30</w:t>
            </w:r>
          </w:p>
        </w:tc>
        <w:tc>
          <w:tcPr>
            <w:tcW w:w="1059" w:type="pct"/>
            <w:shd w:val="clear" w:color="auto" w:fill="auto"/>
            <w:vAlign w:val="center"/>
          </w:tcPr>
          <w:p w14:paraId="7DDE5FC6"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通过</w:t>
            </w:r>
          </w:p>
        </w:tc>
      </w:tr>
    </w:tbl>
    <w:p w14:paraId="30AD937A" w14:textId="77777777" w:rsidR="00C02929" w:rsidRDefault="006116D1">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w:t>
      </w:r>
      <w:r>
        <w:rPr>
          <w:rFonts w:ascii="Times New Roman" w:hAnsi="Times New Roman" w:cs="Times New Roman"/>
          <w:lang w:bidi="ar"/>
        </w:rPr>
        <w:t>2</w:t>
      </w:r>
      <w:r>
        <w:rPr>
          <w:rFonts w:ascii="Times New Roman" w:hAnsi="Times New Roman" w:cs="Times New Roman" w:hint="eastAsia"/>
          <w:lang w:bidi="ar"/>
        </w:rPr>
        <w:t>）加权资金成本的确定（</w:t>
      </w:r>
      <w:r>
        <w:rPr>
          <w:rFonts w:ascii="Times New Roman" w:hAnsi="Times New Roman" w:cs="Times New Roman"/>
          <w:lang w:bidi="ar"/>
        </w:rPr>
        <w:t>WACC</w:t>
      </w:r>
      <w:r>
        <w:rPr>
          <w:rFonts w:ascii="Times New Roman" w:hAnsi="Times New Roman" w:cs="Times New Roman" w:hint="eastAsia"/>
          <w:lang w:bidi="ar"/>
        </w:rPr>
        <w:t>）</w:t>
      </w:r>
      <w:bookmarkEnd w:id="129"/>
      <w:bookmarkEnd w:id="130"/>
    </w:p>
    <w:p w14:paraId="0DFF6E1D"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WACC</w:t>
      </w:r>
      <w:r>
        <w:rPr>
          <w:rFonts w:ascii="Times New Roman" w:hAnsi="Times New Roman" w:cs="Times New Roman" w:hint="eastAsia"/>
        </w:rPr>
        <w:t>代表期望的总投资回报率。它是期望的股权回报率和所得税调整后的债权回报率的加权平均值。</w:t>
      </w:r>
    </w:p>
    <w:p w14:paraId="1B300A41"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在计算总投资回报率时，第一步需要计算，截至评估基准日，股权资金回报率和利用公开的市场数据计算债权资金回报率。第二步，计算加权平均股权回报率和债权回报率。</w:t>
      </w:r>
    </w:p>
    <w:p w14:paraId="1D06308A" w14:textId="77777777" w:rsidR="00C02929" w:rsidRDefault="006116D1">
      <w:pPr>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1</w:t>
      </w:r>
      <w:r>
        <w:rPr>
          <w:rFonts w:ascii="Times New Roman" w:hAnsi="Times New Roman" w:cs="Times New Roman" w:hint="eastAsia"/>
          <w:lang w:bidi="ar"/>
        </w:rPr>
        <w:t>）股权回报率的确定</w:t>
      </w:r>
    </w:p>
    <w:p w14:paraId="1180D835"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为了确定股权回报率，评估机构利用资本定价模型（</w:t>
      </w:r>
      <w:r>
        <w:rPr>
          <w:rFonts w:ascii="Times New Roman" w:hAnsi="Times New Roman" w:cs="Times New Roman" w:hint="eastAsia"/>
        </w:rPr>
        <w:t>Capital</w:t>
      </w:r>
      <w:r>
        <w:rPr>
          <w:rFonts w:ascii="Times New Roman" w:hAnsi="Times New Roman" w:cs="Times New Roman"/>
        </w:rPr>
        <w:t xml:space="preserve"> Asset Pricing Model or </w:t>
      </w:r>
      <w:r>
        <w:rPr>
          <w:rFonts w:ascii="Times New Roman" w:hAnsi="Times New Roman" w:cs="Times New Roman" w:hint="eastAsia"/>
        </w:rPr>
        <w:t>“</w:t>
      </w:r>
      <w:r>
        <w:rPr>
          <w:rFonts w:ascii="Times New Roman" w:hAnsi="Times New Roman" w:cs="Times New Roman" w:hint="eastAsia"/>
        </w:rPr>
        <w:t>CAPM</w:t>
      </w:r>
      <w:r>
        <w:rPr>
          <w:rFonts w:ascii="Times New Roman" w:hAnsi="Times New Roman" w:cs="Times New Roman" w:hint="eastAsia"/>
        </w:rPr>
        <w:t>”）。</w:t>
      </w:r>
      <w:r>
        <w:rPr>
          <w:rFonts w:ascii="Times New Roman" w:hAnsi="Times New Roman" w:cs="Times New Roman" w:hint="eastAsia"/>
        </w:rPr>
        <w:t>CAPM</w:t>
      </w:r>
      <w:r>
        <w:rPr>
          <w:rFonts w:ascii="Times New Roman" w:hAnsi="Times New Roman" w:cs="Times New Roman" w:hint="eastAsia"/>
        </w:rPr>
        <w:t>是通常估算投资者收益要求并进而求取公司股权收益率的方法。它可以用下列公式表述：</w:t>
      </w:r>
    </w:p>
    <w:p w14:paraId="16F313F7"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e</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f</w:t>
      </w:r>
      <w:r>
        <w:rPr>
          <w:rFonts w:ascii="Times New Roman" w:hAnsi="Times New Roman" w:cs="Times New Roman" w:hint="eastAsia"/>
        </w:rPr>
        <w:t>＋β×</w:t>
      </w:r>
      <w:r>
        <w:rPr>
          <w:rFonts w:ascii="Times New Roman" w:hAnsi="Times New Roman" w:cs="Times New Roman" w:hint="eastAsia"/>
        </w:rPr>
        <w:t>ERP</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s</w:t>
      </w:r>
    </w:p>
    <w:p w14:paraId="0651B2BE"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w:t>
      </w:r>
      <w:r>
        <w:rPr>
          <w:rFonts w:ascii="Times New Roman" w:hAnsi="Times New Roman" w:cs="Times New Roman" w:hint="eastAsia"/>
        </w:rPr>
        <w:t>R</w:t>
      </w:r>
      <w:r>
        <w:rPr>
          <w:rFonts w:ascii="Times New Roman" w:hAnsi="Times New Roman" w:cs="Times New Roman"/>
          <w:vertAlign w:val="subscript"/>
        </w:rPr>
        <w:t>e</w:t>
      </w:r>
      <w:r>
        <w:rPr>
          <w:rFonts w:ascii="Times New Roman" w:hAnsi="Times New Roman" w:cs="Times New Roman" w:hint="eastAsia"/>
        </w:rPr>
        <w:t>为股权回报率；</w:t>
      </w:r>
      <w:r>
        <w:rPr>
          <w:rFonts w:ascii="Times New Roman" w:hAnsi="Times New Roman" w:cs="Times New Roman" w:hint="eastAsia"/>
        </w:rPr>
        <w:t>R</w:t>
      </w:r>
      <w:r>
        <w:rPr>
          <w:rFonts w:ascii="Times New Roman" w:hAnsi="Times New Roman" w:cs="Times New Roman"/>
          <w:vertAlign w:val="subscript"/>
        </w:rPr>
        <w:t>f</w:t>
      </w:r>
      <w:r>
        <w:rPr>
          <w:rFonts w:ascii="Times New Roman" w:hAnsi="Times New Roman" w:cs="Times New Roman" w:hint="eastAsia"/>
        </w:rPr>
        <w:t>为无风险回报率；β为风险系数；</w:t>
      </w:r>
      <w:r>
        <w:rPr>
          <w:rFonts w:ascii="Times New Roman" w:hAnsi="Times New Roman" w:cs="Times New Roman" w:hint="eastAsia"/>
        </w:rPr>
        <w:t>ERP</w:t>
      </w:r>
      <w:r>
        <w:rPr>
          <w:rFonts w:ascii="Times New Roman" w:hAnsi="Times New Roman" w:cs="Times New Roman" w:hint="eastAsia"/>
        </w:rPr>
        <w:t>为市场风险超额回报率；</w:t>
      </w:r>
      <w:r>
        <w:rPr>
          <w:rFonts w:ascii="Times New Roman" w:hAnsi="Times New Roman" w:cs="Times New Roman" w:hint="eastAsia"/>
        </w:rPr>
        <w:t>R</w:t>
      </w:r>
      <w:r>
        <w:rPr>
          <w:rFonts w:ascii="Times New Roman" w:hAnsi="Times New Roman" w:cs="Times New Roman"/>
          <w:vertAlign w:val="subscript"/>
        </w:rPr>
        <w:t>s</w:t>
      </w:r>
      <w:r>
        <w:rPr>
          <w:rFonts w:ascii="Times New Roman" w:hAnsi="Times New Roman" w:cs="Times New Roman" w:hint="eastAsia"/>
        </w:rPr>
        <w:t>为公司特有风险超额回报率</w:t>
      </w:r>
    </w:p>
    <w:p w14:paraId="0742C57F" w14:textId="77777777" w:rsidR="00C02929" w:rsidRDefault="006116D1">
      <w:pPr>
        <w:spacing w:beforeLines="50" w:before="156" w:line="360" w:lineRule="auto"/>
        <w:ind w:firstLineChars="200" w:firstLine="480"/>
        <w:jc w:val="both"/>
        <w:rPr>
          <w:rFonts w:ascii="Times New Roman" w:hAnsi="Times New Roman" w:cs="Times New Roman"/>
        </w:rPr>
      </w:pPr>
      <w:r>
        <w:rPr>
          <w:rFonts w:hint="eastAsia"/>
        </w:rPr>
        <w:t>①</w:t>
      </w:r>
      <w:r>
        <w:rPr>
          <w:rFonts w:ascii="Times New Roman" w:hAnsi="Times New Roman" w:cs="Times New Roman" w:hint="eastAsia"/>
        </w:rPr>
        <w:t>确定无风险收益率</w:t>
      </w:r>
    </w:p>
    <w:p w14:paraId="279F3B88"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国债收益率通常被认为是无风险的，因为持有该债权到期不能兑付的风险很小，可以忽略不计。</w:t>
      </w:r>
    </w:p>
    <w:p w14:paraId="22BB9232"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评估机构在沪、深两市选择从评估基准日到国债到期日剩余期限超过</w:t>
      </w:r>
      <w:r>
        <w:rPr>
          <w:rFonts w:ascii="Times New Roman" w:hAnsi="Times New Roman" w:cs="Times New Roman" w:hint="eastAsia"/>
        </w:rPr>
        <w:t>10</w:t>
      </w:r>
      <w:r>
        <w:rPr>
          <w:rFonts w:ascii="Times New Roman" w:hAnsi="Times New Roman" w:cs="Times New Roman" w:hint="eastAsia"/>
        </w:rPr>
        <w:t>年期的国债，并计算其到期收益率，选取所有国债到期收益率的平均值作为本次评估无风险收益率，详见具体如下：</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73"/>
        <w:gridCol w:w="1689"/>
        <w:gridCol w:w="1367"/>
        <w:gridCol w:w="1943"/>
        <w:gridCol w:w="2850"/>
      </w:tblGrid>
      <w:tr w:rsidR="00C02929" w14:paraId="34B9A121" w14:textId="77777777">
        <w:trPr>
          <w:trHeight w:val="397"/>
          <w:tblHeader/>
        </w:trPr>
        <w:tc>
          <w:tcPr>
            <w:tcW w:w="395" w:type="pct"/>
            <w:noWrap/>
            <w:vAlign w:val="center"/>
          </w:tcPr>
          <w:p w14:paraId="10E44E13"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序号</w:t>
            </w:r>
          </w:p>
        </w:tc>
        <w:tc>
          <w:tcPr>
            <w:tcW w:w="991" w:type="pct"/>
            <w:vAlign w:val="center"/>
          </w:tcPr>
          <w:p w14:paraId="2193F470"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证券代码</w:t>
            </w:r>
          </w:p>
        </w:tc>
        <w:tc>
          <w:tcPr>
            <w:tcW w:w="802" w:type="pct"/>
            <w:vAlign w:val="center"/>
          </w:tcPr>
          <w:p w14:paraId="441535B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证券名称</w:t>
            </w:r>
          </w:p>
        </w:tc>
        <w:tc>
          <w:tcPr>
            <w:tcW w:w="1140" w:type="pct"/>
            <w:vAlign w:val="center"/>
          </w:tcPr>
          <w:p w14:paraId="7CBB97AE"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剩余期限（年）</w:t>
            </w:r>
          </w:p>
          <w:p w14:paraId="43B6F05D"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20200630</w:t>
            </w:r>
            <w:r>
              <w:rPr>
                <w:rFonts w:ascii="Times New Roman" w:hAnsi="Times New Roman" w:cs="Times New Roman" w:hint="eastAsia"/>
                <w:b/>
                <w:bCs/>
                <w:color w:val="000000"/>
                <w:sz w:val="21"/>
                <w:szCs w:val="21"/>
              </w:rPr>
              <w:t>）</w:t>
            </w:r>
          </w:p>
        </w:tc>
        <w:tc>
          <w:tcPr>
            <w:tcW w:w="1672" w:type="pct"/>
            <w:vAlign w:val="center"/>
          </w:tcPr>
          <w:p w14:paraId="5C2FE6E4" w14:textId="77777777" w:rsidR="00C02929" w:rsidRDefault="006116D1">
            <w:pPr>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到期收益率（复利）（</w:t>
            </w:r>
            <w:r>
              <w:rPr>
                <w:rFonts w:ascii="Times New Roman" w:hAnsi="Times New Roman" w:cs="Times New Roman"/>
                <w:b/>
                <w:bCs/>
                <w:color w:val="000000"/>
                <w:sz w:val="21"/>
                <w:szCs w:val="21"/>
              </w:rPr>
              <w:t>20200630</w:t>
            </w:r>
            <w:r>
              <w:rPr>
                <w:rFonts w:ascii="Times New Roman" w:hAnsi="Times New Roman" w:cs="Times New Roman" w:hint="eastAsia"/>
                <w:b/>
                <w:bCs/>
                <w:color w:val="000000"/>
                <w:sz w:val="21"/>
                <w:szCs w:val="21"/>
              </w:rPr>
              <w:t>）（</w:t>
            </w:r>
            <w:r>
              <w:rPr>
                <w:rFonts w:ascii="Times New Roman" w:hAnsi="Times New Roman" w:cs="Times New Roman"/>
                <w:b/>
                <w:bCs/>
                <w:color w:val="000000"/>
                <w:sz w:val="21"/>
                <w:szCs w:val="21"/>
              </w:rPr>
              <w:t>%</w:t>
            </w:r>
            <w:r>
              <w:rPr>
                <w:rFonts w:ascii="Times New Roman" w:hAnsi="Times New Roman" w:cs="Times New Roman" w:hint="eastAsia"/>
                <w:b/>
                <w:bCs/>
                <w:color w:val="000000"/>
                <w:sz w:val="21"/>
                <w:szCs w:val="21"/>
              </w:rPr>
              <w:t>）</w:t>
            </w:r>
          </w:p>
        </w:tc>
      </w:tr>
      <w:tr w:rsidR="00C02929" w14:paraId="5A9928C1" w14:textId="77777777">
        <w:trPr>
          <w:trHeight w:val="397"/>
        </w:trPr>
        <w:tc>
          <w:tcPr>
            <w:tcW w:w="395" w:type="pct"/>
            <w:noWrap/>
            <w:vAlign w:val="center"/>
          </w:tcPr>
          <w:p w14:paraId="506742D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991" w:type="pct"/>
            <w:noWrap/>
            <w:vAlign w:val="center"/>
          </w:tcPr>
          <w:p w14:paraId="247BC90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010706.SH</w:t>
            </w:r>
          </w:p>
        </w:tc>
        <w:tc>
          <w:tcPr>
            <w:tcW w:w="802" w:type="pct"/>
            <w:noWrap/>
            <w:vAlign w:val="center"/>
          </w:tcPr>
          <w:p w14:paraId="3BDC281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07FA378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16.8795</w:t>
            </w:r>
          </w:p>
        </w:tc>
        <w:tc>
          <w:tcPr>
            <w:tcW w:w="1672" w:type="pct"/>
            <w:noWrap/>
            <w:vAlign w:val="center"/>
          </w:tcPr>
          <w:p w14:paraId="2530C24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4.3138</w:t>
            </w:r>
          </w:p>
        </w:tc>
      </w:tr>
      <w:tr w:rsidR="00C02929" w14:paraId="6A6D6C9C" w14:textId="77777777">
        <w:trPr>
          <w:trHeight w:val="397"/>
        </w:trPr>
        <w:tc>
          <w:tcPr>
            <w:tcW w:w="395" w:type="pct"/>
            <w:noWrap/>
            <w:vAlign w:val="center"/>
          </w:tcPr>
          <w:p w14:paraId="40BD589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991" w:type="pct"/>
            <w:noWrap/>
            <w:vAlign w:val="center"/>
          </w:tcPr>
          <w:p w14:paraId="3AFC88F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019003.SH</w:t>
            </w:r>
          </w:p>
        </w:tc>
        <w:tc>
          <w:tcPr>
            <w:tcW w:w="802" w:type="pct"/>
            <w:noWrap/>
            <w:vAlign w:val="center"/>
          </w:tcPr>
          <w:p w14:paraId="051EA1E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03</w:t>
            </w:r>
          </w:p>
        </w:tc>
        <w:tc>
          <w:tcPr>
            <w:tcW w:w="1140" w:type="pct"/>
            <w:noWrap/>
            <w:vAlign w:val="center"/>
          </w:tcPr>
          <w:p w14:paraId="0336DE2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19.6685</w:t>
            </w:r>
          </w:p>
        </w:tc>
        <w:tc>
          <w:tcPr>
            <w:tcW w:w="1672" w:type="pct"/>
            <w:noWrap/>
            <w:vAlign w:val="center"/>
          </w:tcPr>
          <w:p w14:paraId="6AF5954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4.1196</w:t>
            </w:r>
          </w:p>
        </w:tc>
      </w:tr>
      <w:tr w:rsidR="00C02929" w14:paraId="5AC90A49" w14:textId="77777777">
        <w:trPr>
          <w:trHeight w:val="397"/>
        </w:trPr>
        <w:tc>
          <w:tcPr>
            <w:tcW w:w="395" w:type="pct"/>
            <w:noWrap/>
            <w:vAlign w:val="center"/>
          </w:tcPr>
          <w:p w14:paraId="02EC921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991" w:type="pct"/>
            <w:noWrap/>
            <w:vAlign w:val="center"/>
          </w:tcPr>
          <w:p w14:paraId="48AD21A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019014.SH</w:t>
            </w:r>
          </w:p>
        </w:tc>
        <w:tc>
          <w:tcPr>
            <w:tcW w:w="802" w:type="pct"/>
            <w:noWrap/>
            <w:vAlign w:val="center"/>
          </w:tcPr>
          <w:p w14:paraId="34F1887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w:t>
            </w:r>
          </w:p>
        </w:tc>
        <w:tc>
          <w:tcPr>
            <w:tcW w:w="1140" w:type="pct"/>
            <w:noWrap/>
            <w:vAlign w:val="center"/>
          </w:tcPr>
          <w:p w14:paraId="310E45C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39.8986</w:t>
            </w:r>
          </w:p>
        </w:tc>
        <w:tc>
          <w:tcPr>
            <w:tcW w:w="1672" w:type="pct"/>
            <w:noWrap/>
            <w:vAlign w:val="center"/>
          </w:tcPr>
          <w:p w14:paraId="0B97D4B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4.0697</w:t>
            </w:r>
          </w:p>
        </w:tc>
      </w:tr>
      <w:tr w:rsidR="00C02929" w14:paraId="0356462E" w14:textId="77777777">
        <w:trPr>
          <w:trHeight w:val="397"/>
        </w:trPr>
        <w:tc>
          <w:tcPr>
            <w:tcW w:w="395" w:type="pct"/>
            <w:noWrap/>
            <w:vAlign w:val="center"/>
          </w:tcPr>
          <w:p w14:paraId="6D9C722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991" w:type="pct"/>
            <w:noWrap/>
            <w:vAlign w:val="center"/>
          </w:tcPr>
          <w:p w14:paraId="25D32D2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019018.SH</w:t>
            </w:r>
          </w:p>
        </w:tc>
        <w:tc>
          <w:tcPr>
            <w:tcW w:w="802" w:type="pct"/>
            <w:noWrap/>
            <w:vAlign w:val="center"/>
          </w:tcPr>
          <w:p w14:paraId="317766C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w:t>
            </w:r>
          </w:p>
        </w:tc>
        <w:tc>
          <w:tcPr>
            <w:tcW w:w="1140" w:type="pct"/>
            <w:noWrap/>
            <w:vAlign w:val="center"/>
          </w:tcPr>
          <w:p w14:paraId="4CAE38E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19.9753</w:t>
            </w:r>
          </w:p>
        </w:tc>
        <w:tc>
          <w:tcPr>
            <w:tcW w:w="1672" w:type="pct"/>
            <w:noWrap/>
            <w:vAlign w:val="center"/>
          </w:tcPr>
          <w:p w14:paraId="52C8FB1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4.0697</w:t>
            </w:r>
          </w:p>
        </w:tc>
      </w:tr>
      <w:tr w:rsidR="00C02929" w14:paraId="3ED4128E" w14:textId="77777777">
        <w:trPr>
          <w:trHeight w:val="397"/>
        </w:trPr>
        <w:tc>
          <w:tcPr>
            <w:tcW w:w="395" w:type="pct"/>
            <w:noWrap/>
            <w:vAlign w:val="center"/>
          </w:tcPr>
          <w:p w14:paraId="1FCF007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991" w:type="pct"/>
            <w:noWrap/>
            <w:vAlign w:val="center"/>
          </w:tcPr>
          <w:p w14:paraId="6352BAF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019023.SH</w:t>
            </w:r>
          </w:p>
        </w:tc>
        <w:tc>
          <w:tcPr>
            <w:tcW w:w="802" w:type="pct"/>
            <w:noWrap/>
            <w:vAlign w:val="center"/>
          </w:tcPr>
          <w:p w14:paraId="77DA68D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23</w:t>
            </w:r>
          </w:p>
        </w:tc>
        <w:tc>
          <w:tcPr>
            <w:tcW w:w="1140" w:type="pct"/>
            <w:noWrap/>
            <w:vAlign w:val="center"/>
          </w:tcPr>
          <w:p w14:paraId="10F60B2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20.0792</w:t>
            </w:r>
          </w:p>
        </w:tc>
        <w:tc>
          <w:tcPr>
            <w:tcW w:w="1672" w:type="pct"/>
            <w:noWrap/>
            <w:vAlign w:val="center"/>
          </w:tcPr>
          <w:p w14:paraId="4A15BBD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3.3362</w:t>
            </w:r>
          </w:p>
        </w:tc>
      </w:tr>
      <w:tr w:rsidR="00C02929" w14:paraId="6112242D" w14:textId="77777777">
        <w:trPr>
          <w:trHeight w:val="397"/>
        </w:trPr>
        <w:tc>
          <w:tcPr>
            <w:tcW w:w="395" w:type="pct"/>
            <w:noWrap/>
            <w:vAlign w:val="center"/>
          </w:tcPr>
          <w:p w14:paraId="68D8973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991" w:type="pct"/>
            <w:noWrap/>
            <w:vAlign w:val="center"/>
          </w:tcPr>
          <w:p w14:paraId="582D293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019026.SH</w:t>
            </w:r>
          </w:p>
        </w:tc>
        <w:tc>
          <w:tcPr>
            <w:tcW w:w="802" w:type="pct"/>
            <w:noWrap/>
            <w:vAlign w:val="center"/>
          </w:tcPr>
          <w:p w14:paraId="5791EFF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26</w:t>
            </w:r>
          </w:p>
        </w:tc>
        <w:tc>
          <w:tcPr>
            <w:tcW w:w="1140" w:type="pct"/>
            <w:noWrap/>
            <w:vAlign w:val="center"/>
          </w:tcPr>
          <w:p w14:paraId="14B025F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20.1284</w:t>
            </w:r>
          </w:p>
        </w:tc>
        <w:tc>
          <w:tcPr>
            <w:tcW w:w="1672" w:type="pct"/>
            <w:noWrap/>
            <w:vAlign w:val="center"/>
          </w:tcPr>
          <w:p w14:paraId="44ADF80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3.9992</w:t>
            </w:r>
          </w:p>
        </w:tc>
      </w:tr>
      <w:tr w:rsidR="00C02929" w14:paraId="5EE89D71" w14:textId="77777777">
        <w:trPr>
          <w:trHeight w:val="397"/>
        </w:trPr>
        <w:tc>
          <w:tcPr>
            <w:tcW w:w="395" w:type="pct"/>
            <w:noWrap/>
            <w:vAlign w:val="center"/>
          </w:tcPr>
          <w:p w14:paraId="1002AC3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991" w:type="pct"/>
            <w:noWrap/>
            <w:vAlign w:val="center"/>
          </w:tcPr>
          <w:p w14:paraId="51947F1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019029.SH</w:t>
            </w:r>
          </w:p>
        </w:tc>
        <w:tc>
          <w:tcPr>
            <w:tcW w:w="802" w:type="pct"/>
            <w:noWrap/>
            <w:vAlign w:val="center"/>
          </w:tcPr>
          <w:p w14:paraId="48DD2E9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29</w:t>
            </w:r>
          </w:p>
        </w:tc>
        <w:tc>
          <w:tcPr>
            <w:tcW w:w="1140" w:type="pct"/>
            <w:noWrap/>
            <w:vAlign w:val="center"/>
          </w:tcPr>
          <w:p w14:paraId="6850188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10.1749</w:t>
            </w:r>
          </w:p>
        </w:tc>
        <w:tc>
          <w:tcPr>
            <w:tcW w:w="1672" w:type="pct"/>
            <w:noWrap/>
            <w:vAlign w:val="center"/>
          </w:tcPr>
          <w:p w14:paraId="63CA31E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3.9010</w:t>
            </w:r>
          </w:p>
        </w:tc>
      </w:tr>
      <w:tr w:rsidR="00C02929" w14:paraId="31480608" w14:textId="77777777">
        <w:trPr>
          <w:trHeight w:val="397"/>
        </w:trPr>
        <w:tc>
          <w:tcPr>
            <w:tcW w:w="395" w:type="pct"/>
            <w:noWrap/>
            <w:vAlign w:val="center"/>
          </w:tcPr>
          <w:p w14:paraId="1CECD8E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991" w:type="pct"/>
            <w:noWrap/>
            <w:vAlign w:val="center"/>
          </w:tcPr>
          <w:p w14:paraId="454B1D5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019037.SH</w:t>
            </w:r>
          </w:p>
        </w:tc>
        <w:tc>
          <w:tcPr>
            <w:tcW w:w="802" w:type="pct"/>
            <w:noWrap/>
            <w:vAlign w:val="center"/>
          </w:tcPr>
          <w:p w14:paraId="6DB18E9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37</w:t>
            </w:r>
          </w:p>
        </w:tc>
        <w:tc>
          <w:tcPr>
            <w:tcW w:w="1140" w:type="pct"/>
            <w:noWrap/>
            <w:vAlign w:val="center"/>
          </w:tcPr>
          <w:p w14:paraId="4FB8E81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40.3852</w:t>
            </w:r>
          </w:p>
        </w:tc>
        <w:tc>
          <w:tcPr>
            <w:tcW w:w="1672" w:type="pct"/>
            <w:noWrap/>
            <w:vAlign w:val="center"/>
          </w:tcPr>
          <w:p w14:paraId="03AD7AA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4.4473</w:t>
            </w:r>
          </w:p>
        </w:tc>
      </w:tr>
      <w:tr w:rsidR="00C02929" w14:paraId="6C2D8AF9" w14:textId="77777777">
        <w:trPr>
          <w:trHeight w:val="397"/>
        </w:trPr>
        <w:tc>
          <w:tcPr>
            <w:tcW w:w="395" w:type="pct"/>
            <w:noWrap/>
            <w:vAlign w:val="center"/>
          </w:tcPr>
          <w:p w14:paraId="331C29D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991" w:type="pct"/>
            <w:noWrap/>
            <w:vAlign w:val="center"/>
          </w:tcPr>
          <w:p w14:paraId="5A7CE04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019040.SH</w:t>
            </w:r>
          </w:p>
        </w:tc>
        <w:tc>
          <w:tcPr>
            <w:tcW w:w="802" w:type="pct"/>
            <w:noWrap/>
            <w:vAlign w:val="center"/>
          </w:tcPr>
          <w:p w14:paraId="03B5348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40</w:t>
            </w:r>
          </w:p>
        </w:tc>
        <w:tc>
          <w:tcPr>
            <w:tcW w:w="1140" w:type="pct"/>
            <w:noWrap/>
            <w:vAlign w:val="center"/>
          </w:tcPr>
          <w:p w14:paraId="59ADCB8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20.4426</w:t>
            </w:r>
          </w:p>
        </w:tc>
        <w:tc>
          <w:tcPr>
            <w:tcW w:w="1672" w:type="pct"/>
            <w:noWrap/>
            <w:vAlign w:val="center"/>
          </w:tcPr>
          <w:p w14:paraId="7B64FC3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4.2736</w:t>
            </w:r>
          </w:p>
        </w:tc>
      </w:tr>
      <w:tr w:rsidR="00C02929" w14:paraId="11A3CF47" w14:textId="77777777">
        <w:trPr>
          <w:trHeight w:val="397"/>
        </w:trPr>
        <w:tc>
          <w:tcPr>
            <w:tcW w:w="395" w:type="pct"/>
            <w:noWrap/>
            <w:vAlign w:val="center"/>
          </w:tcPr>
          <w:p w14:paraId="2A3951F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991" w:type="pct"/>
            <w:noWrap/>
            <w:vAlign w:val="center"/>
          </w:tcPr>
          <w:p w14:paraId="740B478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019105.SH</w:t>
            </w:r>
          </w:p>
        </w:tc>
        <w:tc>
          <w:tcPr>
            <w:tcW w:w="802" w:type="pct"/>
            <w:noWrap/>
            <w:vAlign w:val="center"/>
          </w:tcPr>
          <w:p w14:paraId="6FC3E01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05</w:t>
            </w:r>
          </w:p>
        </w:tc>
        <w:tc>
          <w:tcPr>
            <w:tcW w:w="1140" w:type="pct"/>
            <w:noWrap/>
            <w:vAlign w:val="center"/>
          </w:tcPr>
          <w:p w14:paraId="4879528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20.6530</w:t>
            </w:r>
          </w:p>
        </w:tc>
        <w:tc>
          <w:tcPr>
            <w:tcW w:w="1672" w:type="pct"/>
            <w:noWrap/>
            <w:vAlign w:val="center"/>
          </w:tcPr>
          <w:p w14:paraId="71602CC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3.8741</w:t>
            </w:r>
          </w:p>
        </w:tc>
      </w:tr>
      <w:tr w:rsidR="00C02929" w14:paraId="601039C9" w14:textId="77777777">
        <w:trPr>
          <w:trHeight w:val="397"/>
        </w:trPr>
        <w:tc>
          <w:tcPr>
            <w:tcW w:w="395" w:type="pct"/>
            <w:noWrap/>
            <w:vAlign w:val="center"/>
          </w:tcPr>
          <w:p w14:paraId="545394C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991" w:type="pct"/>
            <w:noWrap/>
            <w:vAlign w:val="center"/>
          </w:tcPr>
          <w:p w14:paraId="257EB8A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019110.SH</w:t>
            </w:r>
          </w:p>
        </w:tc>
        <w:tc>
          <w:tcPr>
            <w:tcW w:w="802" w:type="pct"/>
            <w:noWrap/>
            <w:vAlign w:val="center"/>
          </w:tcPr>
          <w:p w14:paraId="097DF6B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406FB35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10.8274</w:t>
            </w:r>
          </w:p>
        </w:tc>
        <w:tc>
          <w:tcPr>
            <w:tcW w:w="1672" w:type="pct"/>
            <w:noWrap/>
            <w:vAlign w:val="center"/>
          </w:tcPr>
          <w:p w14:paraId="183FBBB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2.7666</w:t>
            </w:r>
          </w:p>
        </w:tc>
      </w:tr>
      <w:tr w:rsidR="00C02929" w14:paraId="155216BE" w14:textId="77777777">
        <w:trPr>
          <w:trHeight w:val="397"/>
        </w:trPr>
        <w:tc>
          <w:tcPr>
            <w:tcW w:w="395" w:type="pct"/>
            <w:noWrap/>
            <w:vAlign w:val="center"/>
          </w:tcPr>
          <w:p w14:paraId="6985AE9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991" w:type="pct"/>
            <w:noWrap/>
            <w:vAlign w:val="center"/>
          </w:tcPr>
          <w:p w14:paraId="4888614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019112.SH</w:t>
            </w:r>
          </w:p>
        </w:tc>
        <w:tc>
          <w:tcPr>
            <w:tcW w:w="802" w:type="pct"/>
            <w:noWrap/>
            <w:vAlign w:val="center"/>
          </w:tcPr>
          <w:p w14:paraId="33099D8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w:t>
            </w:r>
          </w:p>
        </w:tc>
        <w:tc>
          <w:tcPr>
            <w:tcW w:w="1140" w:type="pct"/>
            <w:noWrap/>
            <w:vAlign w:val="center"/>
          </w:tcPr>
          <w:p w14:paraId="12ECA2E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40.9041</w:t>
            </w:r>
          </w:p>
        </w:tc>
        <w:tc>
          <w:tcPr>
            <w:tcW w:w="1672" w:type="pct"/>
            <w:noWrap/>
            <w:vAlign w:val="center"/>
          </w:tcPr>
          <w:p w14:paraId="1B332D0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4.5292</w:t>
            </w:r>
          </w:p>
        </w:tc>
      </w:tr>
      <w:tr w:rsidR="00C02929" w14:paraId="7C763551" w14:textId="77777777">
        <w:trPr>
          <w:trHeight w:val="397"/>
        </w:trPr>
        <w:tc>
          <w:tcPr>
            <w:tcW w:w="395" w:type="pct"/>
            <w:noWrap/>
            <w:vAlign w:val="center"/>
          </w:tcPr>
          <w:p w14:paraId="093F444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991" w:type="pct"/>
            <w:noWrap/>
            <w:vAlign w:val="center"/>
          </w:tcPr>
          <w:p w14:paraId="5B2B15A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019116.SH</w:t>
            </w:r>
          </w:p>
        </w:tc>
        <w:tc>
          <w:tcPr>
            <w:tcW w:w="802" w:type="pct"/>
            <w:noWrap/>
            <w:vAlign w:val="center"/>
          </w:tcPr>
          <w:p w14:paraId="1EEBB5C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w:t>
            </w:r>
          </w:p>
        </w:tc>
        <w:tc>
          <w:tcPr>
            <w:tcW w:w="1140" w:type="pct"/>
            <w:noWrap/>
            <w:vAlign w:val="center"/>
          </w:tcPr>
          <w:p w14:paraId="53A8D5D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20.9808</w:t>
            </w:r>
          </w:p>
        </w:tc>
        <w:tc>
          <w:tcPr>
            <w:tcW w:w="1672" w:type="pct"/>
            <w:noWrap/>
            <w:vAlign w:val="center"/>
          </w:tcPr>
          <w:p w14:paraId="0F20E82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4.1639</w:t>
            </w:r>
          </w:p>
        </w:tc>
      </w:tr>
      <w:tr w:rsidR="00C02929" w14:paraId="7077945B" w14:textId="77777777">
        <w:trPr>
          <w:trHeight w:val="397"/>
        </w:trPr>
        <w:tc>
          <w:tcPr>
            <w:tcW w:w="395" w:type="pct"/>
            <w:noWrap/>
            <w:vAlign w:val="center"/>
          </w:tcPr>
          <w:p w14:paraId="5DE863E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991" w:type="pct"/>
            <w:noWrap/>
            <w:vAlign w:val="center"/>
          </w:tcPr>
          <w:p w14:paraId="374C878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019123.SH</w:t>
            </w:r>
          </w:p>
        </w:tc>
        <w:tc>
          <w:tcPr>
            <w:tcW w:w="802" w:type="pct"/>
            <w:noWrap/>
            <w:vAlign w:val="center"/>
          </w:tcPr>
          <w:p w14:paraId="0DF8294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11</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23</w:t>
            </w:r>
          </w:p>
        </w:tc>
        <w:tc>
          <w:tcPr>
            <w:tcW w:w="1140" w:type="pct"/>
            <w:noWrap/>
            <w:vAlign w:val="center"/>
          </w:tcPr>
          <w:p w14:paraId="0453429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41.3634</w:t>
            </w:r>
          </w:p>
        </w:tc>
        <w:tc>
          <w:tcPr>
            <w:tcW w:w="1672" w:type="pct"/>
            <w:noWrap/>
            <w:vAlign w:val="center"/>
          </w:tcPr>
          <w:p w14:paraId="092F23A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4.3757</w:t>
            </w:r>
          </w:p>
        </w:tc>
      </w:tr>
      <w:tr w:rsidR="00C02929" w14:paraId="4C49C13C" w14:textId="77777777">
        <w:trPr>
          <w:trHeight w:val="397"/>
        </w:trPr>
        <w:tc>
          <w:tcPr>
            <w:tcW w:w="395" w:type="pct"/>
            <w:noWrap/>
            <w:vAlign w:val="center"/>
          </w:tcPr>
          <w:p w14:paraId="36836D5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991" w:type="pct"/>
            <w:noWrap/>
            <w:vAlign w:val="center"/>
          </w:tcPr>
          <w:p w14:paraId="6B061C8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019206.SH</w:t>
            </w:r>
          </w:p>
        </w:tc>
        <w:tc>
          <w:tcPr>
            <w:tcW w:w="802" w:type="pct"/>
            <w:noWrap/>
            <w:vAlign w:val="center"/>
          </w:tcPr>
          <w:p w14:paraId="6481989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5AC8F87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11.8137</w:t>
            </w:r>
          </w:p>
        </w:tc>
        <w:tc>
          <w:tcPr>
            <w:tcW w:w="1672" w:type="pct"/>
            <w:noWrap/>
            <w:vAlign w:val="center"/>
          </w:tcPr>
          <w:p w14:paraId="6AF1760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4.0687</w:t>
            </w:r>
          </w:p>
        </w:tc>
      </w:tr>
      <w:tr w:rsidR="00C02929" w14:paraId="447F924F" w14:textId="77777777">
        <w:trPr>
          <w:trHeight w:val="397"/>
        </w:trPr>
        <w:tc>
          <w:tcPr>
            <w:tcW w:w="395" w:type="pct"/>
            <w:noWrap/>
            <w:vAlign w:val="center"/>
          </w:tcPr>
          <w:p w14:paraId="4486FAC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991" w:type="pct"/>
            <w:noWrap/>
            <w:vAlign w:val="center"/>
          </w:tcPr>
          <w:p w14:paraId="094F984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019208.SH</w:t>
            </w:r>
          </w:p>
        </w:tc>
        <w:tc>
          <w:tcPr>
            <w:tcW w:w="802" w:type="pct"/>
            <w:noWrap/>
            <w:vAlign w:val="center"/>
          </w:tcPr>
          <w:p w14:paraId="4D91E2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70BA0B6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41.8795</w:t>
            </w:r>
          </w:p>
        </w:tc>
        <w:tc>
          <w:tcPr>
            <w:tcW w:w="1672" w:type="pct"/>
            <w:noWrap/>
            <w:vAlign w:val="center"/>
          </w:tcPr>
          <w:p w14:paraId="2C54990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4.2941</w:t>
            </w:r>
          </w:p>
        </w:tc>
      </w:tr>
      <w:tr w:rsidR="00C02929" w14:paraId="4489C1F0" w14:textId="77777777">
        <w:trPr>
          <w:trHeight w:val="397"/>
        </w:trPr>
        <w:tc>
          <w:tcPr>
            <w:tcW w:w="395" w:type="pct"/>
            <w:noWrap/>
            <w:vAlign w:val="center"/>
          </w:tcPr>
          <w:p w14:paraId="6D1CC8B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991" w:type="pct"/>
            <w:noWrap/>
            <w:vAlign w:val="center"/>
          </w:tcPr>
          <w:p w14:paraId="044C595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019212.SH</w:t>
            </w:r>
          </w:p>
        </w:tc>
        <w:tc>
          <w:tcPr>
            <w:tcW w:w="802" w:type="pct"/>
            <w:noWrap/>
            <w:vAlign w:val="center"/>
          </w:tcPr>
          <w:p w14:paraId="000D12A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w:t>
            </w:r>
          </w:p>
        </w:tc>
        <w:tc>
          <w:tcPr>
            <w:tcW w:w="1140" w:type="pct"/>
            <w:noWrap/>
            <w:vAlign w:val="center"/>
          </w:tcPr>
          <w:p w14:paraId="1090C67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21.9945</w:t>
            </w:r>
          </w:p>
        </w:tc>
        <w:tc>
          <w:tcPr>
            <w:tcW w:w="1672" w:type="pct"/>
            <w:noWrap/>
            <w:vAlign w:val="center"/>
          </w:tcPr>
          <w:p w14:paraId="1D1B89F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3.9753</w:t>
            </w:r>
          </w:p>
        </w:tc>
      </w:tr>
      <w:tr w:rsidR="00C02929" w14:paraId="4EEE085C" w14:textId="77777777">
        <w:trPr>
          <w:trHeight w:val="397"/>
        </w:trPr>
        <w:tc>
          <w:tcPr>
            <w:tcW w:w="395" w:type="pct"/>
            <w:noWrap/>
            <w:vAlign w:val="center"/>
          </w:tcPr>
          <w:p w14:paraId="73E1F4B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991" w:type="pct"/>
            <w:noWrap/>
            <w:vAlign w:val="center"/>
          </w:tcPr>
          <w:p w14:paraId="3E7528B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019213.SH</w:t>
            </w:r>
          </w:p>
        </w:tc>
        <w:tc>
          <w:tcPr>
            <w:tcW w:w="802" w:type="pct"/>
            <w:noWrap/>
            <w:vAlign w:val="center"/>
          </w:tcPr>
          <w:p w14:paraId="2FA76BB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w:t>
            </w:r>
          </w:p>
        </w:tc>
        <w:tc>
          <w:tcPr>
            <w:tcW w:w="1140" w:type="pct"/>
            <w:noWrap/>
            <w:vAlign w:val="center"/>
          </w:tcPr>
          <w:p w14:paraId="44DC1BA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22.0902</w:t>
            </w:r>
          </w:p>
        </w:tc>
        <w:tc>
          <w:tcPr>
            <w:tcW w:w="1672" w:type="pct"/>
            <w:noWrap/>
            <w:vAlign w:val="center"/>
          </w:tcPr>
          <w:p w14:paraId="4B1DBD2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4.1625</w:t>
            </w:r>
          </w:p>
        </w:tc>
      </w:tr>
      <w:tr w:rsidR="00C02929" w14:paraId="1CADA127" w14:textId="77777777">
        <w:trPr>
          <w:trHeight w:val="397"/>
        </w:trPr>
        <w:tc>
          <w:tcPr>
            <w:tcW w:w="395" w:type="pct"/>
            <w:noWrap/>
            <w:vAlign w:val="center"/>
          </w:tcPr>
          <w:p w14:paraId="1CC39C0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991" w:type="pct"/>
            <w:noWrap/>
            <w:vAlign w:val="center"/>
          </w:tcPr>
          <w:p w14:paraId="17463E0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019218.SH</w:t>
            </w:r>
          </w:p>
        </w:tc>
        <w:tc>
          <w:tcPr>
            <w:tcW w:w="802" w:type="pct"/>
            <w:noWrap/>
            <w:vAlign w:val="center"/>
          </w:tcPr>
          <w:p w14:paraId="7CC702F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w:t>
            </w:r>
          </w:p>
        </w:tc>
        <w:tc>
          <w:tcPr>
            <w:tcW w:w="1140" w:type="pct"/>
            <w:noWrap/>
            <w:vAlign w:val="center"/>
          </w:tcPr>
          <w:p w14:paraId="79CA795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12.2432</w:t>
            </w:r>
          </w:p>
        </w:tc>
        <w:tc>
          <w:tcPr>
            <w:tcW w:w="1672" w:type="pct"/>
            <w:noWrap/>
            <w:vAlign w:val="center"/>
          </w:tcPr>
          <w:p w14:paraId="679D680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3.3281</w:t>
            </w:r>
          </w:p>
        </w:tc>
      </w:tr>
      <w:tr w:rsidR="00C02929" w14:paraId="35E9A442" w14:textId="77777777">
        <w:trPr>
          <w:trHeight w:val="397"/>
        </w:trPr>
        <w:tc>
          <w:tcPr>
            <w:tcW w:w="395" w:type="pct"/>
            <w:noWrap/>
            <w:vAlign w:val="center"/>
          </w:tcPr>
          <w:p w14:paraId="4C0C144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991" w:type="pct"/>
            <w:noWrap/>
            <w:vAlign w:val="center"/>
          </w:tcPr>
          <w:p w14:paraId="0671FF9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019220.SH</w:t>
            </w:r>
          </w:p>
        </w:tc>
        <w:tc>
          <w:tcPr>
            <w:tcW w:w="802" w:type="pct"/>
            <w:noWrap/>
            <w:vAlign w:val="center"/>
          </w:tcPr>
          <w:p w14:paraId="5E66447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12</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w:t>
            </w:r>
          </w:p>
        </w:tc>
        <w:tc>
          <w:tcPr>
            <w:tcW w:w="1140" w:type="pct"/>
            <w:noWrap/>
            <w:vAlign w:val="center"/>
          </w:tcPr>
          <w:p w14:paraId="145DDE4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42.3770</w:t>
            </w:r>
          </w:p>
        </w:tc>
        <w:tc>
          <w:tcPr>
            <w:tcW w:w="1672" w:type="pct"/>
            <w:noWrap/>
            <w:vAlign w:val="center"/>
          </w:tcPr>
          <w:p w14:paraId="7024269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4.3962</w:t>
            </w:r>
          </w:p>
        </w:tc>
      </w:tr>
      <w:tr w:rsidR="00C02929" w14:paraId="52DFAB2C" w14:textId="77777777">
        <w:trPr>
          <w:trHeight w:val="397"/>
        </w:trPr>
        <w:tc>
          <w:tcPr>
            <w:tcW w:w="395" w:type="pct"/>
            <w:noWrap/>
            <w:vAlign w:val="center"/>
          </w:tcPr>
          <w:p w14:paraId="5F4F485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991" w:type="pct"/>
            <w:noWrap/>
            <w:vAlign w:val="center"/>
          </w:tcPr>
          <w:p w14:paraId="7F9860E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019309.SH</w:t>
            </w:r>
          </w:p>
        </w:tc>
        <w:tc>
          <w:tcPr>
            <w:tcW w:w="802" w:type="pct"/>
            <w:noWrap/>
            <w:vAlign w:val="center"/>
          </w:tcPr>
          <w:p w14:paraId="13C9F8C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w:t>
            </w:r>
          </w:p>
        </w:tc>
        <w:tc>
          <w:tcPr>
            <w:tcW w:w="1140" w:type="pct"/>
            <w:noWrap/>
            <w:vAlign w:val="center"/>
          </w:tcPr>
          <w:p w14:paraId="4658A33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12.8110</w:t>
            </w:r>
          </w:p>
        </w:tc>
        <w:tc>
          <w:tcPr>
            <w:tcW w:w="1672" w:type="pct"/>
            <w:noWrap/>
            <w:vAlign w:val="center"/>
          </w:tcPr>
          <w:p w14:paraId="517A10B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2.8737</w:t>
            </w:r>
          </w:p>
        </w:tc>
      </w:tr>
      <w:tr w:rsidR="00C02929" w14:paraId="40887961" w14:textId="77777777">
        <w:trPr>
          <w:trHeight w:val="397"/>
        </w:trPr>
        <w:tc>
          <w:tcPr>
            <w:tcW w:w="395" w:type="pct"/>
            <w:noWrap/>
            <w:vAlign w:val="center"/>
          </w:tcPr>
          <w:p w14:paraId="69B6926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22</w:t>
            </w:r>
          </w:p>
        </w:tc>
        <w:tc>
          <w:tcPr>
            <w:tcW w:w="991" w:type="pct"/>
            <w:noWrap/>
            <w:vAlign w:val="center"/>
          </w:tcPr>
          <w:p w14:paraId="1C1B1D9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019310.SH</w:t>
            </w:r>
          </w:p>
        </w:tc>
        <w:tc>
          <w:tcPr>
            <w:tcW w:w="802" w:type="pct"/>
            <w:noWrap/>
            <w:vAlign w:val="center"/>
          </w:tcPr>
          <w:p w14:paraId="574BB93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0F0E7BF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42.8877</w:t>
            </w:r>
          </w:p>
        </w:tc>
        <w:tc>
          <w:tcPr>
            <w:tcW w:w="1672" w:type="pct"/>
            <w:noWrap/>
            <w:vAlign w:val="center"/>
          </w:tcPr>
          <w:p w14:paraId="39B71AB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4.2839</w:t>
            </w:r>
          </w:p>
        </w:tc>
      </w:tr>
      <w:tr w:rsidR="00C02929" w14:paraId="4D7326A9" w14:textId="77777777">
        <w:trPr>
          <w:trHeight w:val="397"/>
        </w:trPr>
        <w:tc>
          <w:tcPr>
            <w:tcW w:w="395" w:type="pct"/>
            <w:noWrap/>
            <w:vAlign w:val="center"/>
          </w:tcPr>
          <w:p w14:paraId="4EA5601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23</w:t>
            </w:r>
          </w:p>
        </w:tc>
        <w:tc>
          <w:tcPr>
            <w:tcW w:w="991" w:type="pct"/>
            <w:noWrap/>
            <w:vAlign w:val="center"/>
          </w:tcPr>
          <w:p w14:paraId="39645B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019316.SH</w:t>
            </w:r>
          </w:p>
        </w:tc>
        <w:tc>
          <w:tcPr>
            <w:tcW w:w="802" w:type="pct"/>
            <w:noWrap/>
            <w:vAlign w:val="center"/>
          </w:tcPr>
          <w:p w14:paraId="5A07BAE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w:t>
            </w:r>
          </w:p>
        </w:tc>
        <w:tc>
          <w:tcPr>
            <w:tcW w:w="1140" w:type="pct"/>
            <w:noWrap/>
            <w:vAlign w:val="center"/>
          </w:tcPr>
          <w:p w14:paraId="759919A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13.1175</w:t>
            </w:r>
          </w:p>
        </w:tc>
        <w:tc>
          <w:tcPr>
            <w:tcW w:w="1672" w:type="pct"/>
            <w:noWrap/>
            <w:vAlign w:val="center"/>
          </w:tcPr>
          <w:p w14:paraId="0D7B478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2.8072</w:t>
            </w:r>
          </w:p>
        </w:tc>
      </w:tr>
      <w:tr w:rsidR="00C02929" w14:paraId="4A16077F" w14:textId="77777777">
        <w:trPr>
          <w:trHeight w:val="397"/>
        </w:trPr>
        <w:tc>
          <w:tcPr>
            <w:tcW w:w="395" w:type="pct"/>
            <w:noWrap/>
            <w:vAlign w:val="center"/>
          </w:tcPr>
          <w:p w14:paraId="559EF27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24</w:t>
            </w:r>
          </w:p>
        </w:tc>
        <w:tc>
          <w:tcPr>
            <w:tcW w:w="991" w:type="pct"/>
            <w:noWrap/>
            <w:vAlign w:val="center"/>
          </w:tcPr>
          <w:p w14:paraId="4DC8AD9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019319.SH</w:t>
            </w:r>
          </w:p>
        </w:tc>
        <w:tc>
          <w:tcPr>
            <w:tcW w:w="802" w:type="pct"/>
            <w:noWrap/>
            <w:vAlign w:val="center"/>
          </w:tcPr>
          <w:p w14:paraId="26B8B5C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w:t>
            </w:r>
          </w:p>
        </w:tc>
        <w:tc>
          <w:tcPr>
            <w:tcW w:w="1140" w:type="pct"/>
            <w:noWrap/>
            <w:vAlign w:val="center"/>
          </w:tcPr>
          <w:p w14:paraId="17225C0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23.2131</w:t>
            </w:r>
          </w:p>
        </w:tc>
        <w:tc>
          <w:tcPr>
            <w:tcW w:w="1672" w:type="pct"/>
            <w:noWrap/>
            <w:vAlign w:val="center"/>
          </w:tcPr>
          <w:p w14:paraId="1C32208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3.5490</w:t>
            </w:r>
          </w:p>
        </w:tc>
      </w:tr>
      <w:tr w:rsidR="00C02929" w14:paraId="62DB6CE6" w14:textId="77777777">
        <w:trPr>
          <w:trHeight w:val="397"/>
        </w:trPr>
        <w:tc>
          <w:tcPr>
            <w:tcW w:w="395" w:type="pct"/>
            <w:noWrap/>
            <w:vAlign w:val="center"/>
          </w:tcPr>
          <w:p w14:paraId="4A2A7F0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25</w:t>
            </w:r>
          </w:p>
        </w:tc>
        <w:tc>
          <w:tcPr>
            <w:tcW w:w="991" w:type="pct"/>
            <w:noWrap/>
            <w:vAlign w:val="center"/>
          </w:tcPr>
          <w:p w14:paraId="5B58455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019324.SH</w:t>
            </w:r>
          </w:p>
        </w:tc>
        <w:tc>
          <w:tcPr>
            <w:tcW w:w="802" w:type="pct"/>
            <w:noWrap/>
            <w:vAlign w:val="center"/>
          </w:tcPr>
          <w:p w14:paraId="64685ED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24</w:t>
            </w:r>
          </w:p>
        </w:tc>
        <w:tc>
          <w:tcPr>
            <w:tcW w:w="1140" w:type="pct"/>
            <w:noWrap/>
            <w:vAlign w:val="center"/>
          </w:tcPr>
          <w:p w14:paraId="130A2D5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43.3852</w:t>
            </w:r>
          </w:p>
        </w:tc>
        <w:tc>
          <w:tcPr>
            <w:tcW w:w="1672" w:type="pct"/>
            <w:noWrap/>
            <w:vAlign w:val="center"/>
          </w:tcPr>
          <w:p w14:paraId="087A9CB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5.3790</w:t>
            </w:r>
          </w:p>
        </w:tc>
      </w:tr>
      <w:tr w:rsidR="00C02929" w14:paraId="05502EE5" w14:textId="77777777">
        <w:trPr>
          <w:trHeight w:val="397"/>
        </w:trPr>
        <w:tc>
          <w:tcPr>
            <w:tcW w:w="395" w:type="pct"/>
            <w:noWrap/>
            <w:vAlign w:val="center"/>
          </w:tcPr>
          <w:p w14:paraId="16EDB1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26</w:t>
            </w:r>
          </w:p>
        </w:tc>
        <w:tc>
          <w:tcPr>
            <w:tcW w:w="991" w:type="pct"/>
            <w:noWrap/>
            <w:vAlign w:val="center"/>
          </w:tcPr>
          <w:p w14:paraId="37CE0E6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019325.SH</w:t>
            </w:r>
          </w:p>
        </w:tc>
        <w:tc>
          <w:tcPr>
            <w:tcW w:w="802" w:type="pct"/>
            <w:noWrap/>
            <w:vAlign w:val="center"/>
          </w:tcPr>
          <w:p w14:paraId="770A92E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13</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6BB3795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23.4426</w:t>
            </w:r>
          </w:p>
        </w:tc>
        <w:tc>
          <w:tcPr>
            <w:tcW w:w="1672" w:type="pct"/>
            <w:noWrap/>
            <w:vAlign w:val="center"/>
          </w:tcPr>
          <w:p w14:paraId="5F4215E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3.7354</w:t>
            </w:r>
          </w:p>
        </w:tc>
      </w:tr>
      <w:tr w:rsidR="00C02929" w14:paraId="19A2A0BE" w14:textId="77777777">
        <w:trPr>
          <w:trHeight w:val="397"/>
        </w:trPr>
        <w:tc>
          <w:tcPr>
            <w:tcW w:w="395" w:type="pct"/>
            <w:noWrap/>
            <w:vAlign w:val="center"/>
          </w:tcPr>
          <w:p w14:paraId="7023BC1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27</w:t>
            </w:r>
          </w:p>
        </w:tc>
        <w:tc>
          <w:tcPr>
            <w:tcW w:w="991" w:type="pct"/>
            <w:noWrap/>
            <w:vAlign w:val="center"/>
          </w:tcPr>
          <w:p w14:paraId="25F3A15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019409.SH</w:t>
            </w:r>
          </w:p>
        </w:tc>
        <w:tc>
          <w:tcPr>
            <w:tcW w:w="802" w:type="pct"/>
            <w:noWrap/>
            <w:vAlign w:val="center"/>
          </w:tcPr>
          <w:p w14:paraId="0E81382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w:t>
            </w:r>
          </w:p>
        </w:tc>
        <w:tc>
          <w:tcPr>
            <w:tcW w:w="1140" w:type="pct"/>
            <w:noWrap/>
            <w:vAlign w:val="center"/>
          </w:tcPr>
          <w:p w14:paraId="0E534CA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13.8274</w:t>
            </w:r>
          </w:p>
        </w:tc>
        <w:tc>
          <w:tcPr>
            <w:tcW w:w="1672" w:type="pct"/>
            <w:noWrap/>
            <w:vAlign w:val="center"/>
          </w:tcPr>
          <w:p w14:paraId="2CB0E73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4.8246</w:t>
            </w:r>
          </w:p>
        </w:tc>
      </w:tr>
      <w:tr w:rsidR="00C02929" w14:paraId="150E2450" w14:textId="77777777">
        <w:trPr>
          <w:trHeight w:val="397"/>
        </w:trPr>
        <w:tc>
          <w:tcPr>
            <w:tcW w:w="395" w:type="pct"/>
            <w:noWrap/>
            <w:vAlign w:val="center"/>
          </w:tcPr>
          <w:p w14:paraId="0EFD4D4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28</w:t>
            </w:r>
          </w:p>
        </w:tc>
        <w:tc>
          <w:tcPr>
            <w:tcW w:w="991" w:type="pct"/>
            <w:noWrap/>
            <w:vAlign w:val="center"/>
          </w:tcPr>
          <w:p w14:paraId="26895AE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019410.SH</w:t>
            </w:r>
          </w:p>
        </w:tc>
        <w:tc>
          <w:tcPr>
            <w:tcW w:w="802" w:type="pct"/>
            <w:noWrap/>
            <w:vAlign w:val="center"/>
          </w:tcPr>
          <w:p w14:paraId="7E70404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335EDC2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43.9041</w:t>
            </w:r>
          </w:p>
        </w:tc>
        <w:tc>
          <w:tcPr>
            <w:tcW w:w="1672" w:type="pct"/>
            <w:noWrap/>
            <w:vAlign w:val="center"/>
          </w:tcPr>
          <w:p w14:paraId="592FAD0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4.7234</w:t>
            </w:r>
          </w:p>
        </w:tc>
      </w:tr>
      <w:tr w:rsidR="00C02929" w14:paraId="7809D2C2" w14:textId="77777777">
        <w:trPr>
          <w:trHeight w:val="397"/>
        </w:trPr>
        <w:tc>
          <w:tcPr>
            <w:tcW w:w="395" w:type="pct"/>
            <w:noWrap/>
            <w:vAlign w:val="center"/>
          </w:tcPr>
          <w:p w14:paraId="5A93D61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29</w:t>
            </w:r>
          </w:p>
        </w:tc>
        <w:tc>
          <w:tcPr>
            <w:tcW w:w="991" w:type="pct"/>
            <w:noWrap/>
            <w:vAlign w:val="center"/>
          </w:tcPr>
          <w:p w14:paraId="7488558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019416.SH</w:t>
            </w:r>
          </w:p>
        </w:tc>
        <w:tc>
          <w:tcPr>
            <w:tcW w:w="802" w:type="pct"/>
            <w:noWrap/>
            <w:vAlign w:val="center"/>
          </w:tcPr>
          <w:p w14:paraId="2D4689A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w:t>
            </w:r>
          </w:p>
        </w:tc>
        <w:tc>
          <w:tcPr>
            <w:tcW w:w="1140" w:type="pct"/>
            <w:noWrap/>
            <w:vAlign w:val="center"/>
          </w:tcPr>
          <w:p w14:paraId="061B31D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24.0656</w:t>
            </w:r>
          </w:p>
        </w:tc>
        <w:tc>
          <w:tcPr>
            <w:tcW w:w="1672" w:type="pct"/>
            <w:noWrap/>
            <w:vAlign w:val="center"/>
          </w:tcPr>
          <w:p w14:paraId="5C5305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4.8168</w:t>
            </w:r>
          </w:p>
        </w:tc>
      </w:tr>
      <w:tr w:rsidR="00C02929" w14:paraId="70FB9355" w14:textId="77777777">
        <w:trPr>
          <w:trHeight w:val="397"/>
        </w:trPr>
        <w:tc>
          <w:tcPr>
            <w:tcW w:w="395" w:type="pct"/>
            <w:noWrap/>
            <w:vAlign w:val="center"/>
          </w:tcPr>
          <w:p w14:paraId="2BE74E1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30</w:t>
            </w:r>
          </w:p>
        </w:tc>
        <w:tc>
          <w:tcPr>
            <w:tcW w:w="991" w:type="pct"/>
            <w:noWrap/>
            <w:vAlign w:val="center"/>
          </w:tcPr>
          <w:p w14:paraId="63AACA1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019417.SH</w:t>
            </w:r>
          </w:p>
        </w:tc>
        <w:tc>
          <w:tcPr>
            <w:tcW w:w="802" w:type="pct"/>
            <w:noWrap/>
            <w:vAlign w:val="center"/>
          </w:tcPr>
          <w:p w14:paraId="2A181ED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w:t>
            </w:r>
          </w:p>
        </w:tc>
        <w:tc>
          <w:tcPr>
            <w:tcW w:w="1140" w:type="pct"/>
            <w:noWrap/>
            <w:vAlign w:val="center"/>
          </w:tcPr>
          <w:p w14:paraId="7A62E37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14.1148</w:t>
            </w:r>
          </w:p>
        </w:tc>
        <w:tc>
          <w:tcPr>
            <w:tcW w:w="1672" w:type="pct"/>
            <w:noWrap/>
            <w:vAlign w:val="center"/>
          </w:tcPr>
          <w:p w14:paraId="3EBCEDC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4.6836</w:t>
            </w:r>
          </w:p>
        </w:tc>
      </w:tr>
      <w:tr w:rsidR="00C02929" w14:paraId="26CB5051" w14:textId="77777777">
        <w:trPr>
          <w:trHeight w:val="397"/>
        </w:trPr>
        <w:tc>
          <w:tcPr>
            <w:tcW w:w="395" w:type="pct"/>
            <w:noWrap/>
            <w:vAlign w:val="center"/>
          </w:tcPr>
          <w:p w14:paraId="7E50171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31</w:t>
            </w:r>
          </w:p>
        </w:tc>
        <w:tc>
          <w:tcPr>
            <w:tcW w:w="991" w:type="pct"/>
            <w:noWrap/>
            <w:vAlign w:val="center"/>
          </w:tcPr>
          <w:p w14:paraId="6193C1D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019425.SH</w:t>
            </w:r>
          </w:p>
        </w:tc>
        <w:tc>
          <w:tcPr>
            <w:tcW w:w="802" w:type="pct"/>
            <w:noWrap/>
            <w:vAlign w:val="center"/>
          </w:tcPr>
          <w:p w14:paraId="7C7F931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453AD89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24.3251</w:t>
            </w:r>
          </w:p>
        </w:tc>
        <w:tc>
          <w:tcPr>
            <w:tcW w:w="1672" w:type="pct"/>
            <w:noWrap/>
            <w:vAlign w:val="center"/>
          </w:tcPr>
          <w:p w14:paraId="7D93B67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4.3449</w:t>
            </w:r>
          </w:p>
        </w:tc>
      </w:tr>
      <w:tr w:rsidR="00C02929" w14:paraId="7D8973A4" w14:textId="77777777">
        <w:trPr>
          <w:trHeight w:val="397"/>
        </w:trPr>
        <w:tc>
          <w:tcPr>
            <w:tcW w:w="395" w:type="pct"/>
            <w:noWrap/>
            <w:vAlign w:val="center"/>
          </w:tcPr>
          <w:p w14:paraId="60D4F4B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32</w:t>
            </w:r>
          </w:p>
        </w:tc>
        <w:tc>
          <w:tcPr>
            <w:tcW w:w="991" w:type="pct"/>
            <w:noWrap/>
            <w:vAlign w:val="center"/>
          </w:tcPr>
          <w:p w14:paraId="64BBE5C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019427.SH</w:t>
            </w:r>
          </w:p>
        </w:tc>
        <w:tc>
          <w:tcPr>
            <w:tcW w:w="802" w:type="pct"/>
            <w:noWrap/>
            <w:vAlign w:val="center"/>
          </w:tcPr>
          <w:p w14:paraId="176B7F2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14</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27</w:t>
            </w:r>
          </w:p>
        </w:tc>
        <w:tc>
          <w:tcPr>
            <w:tcW w:w="1140" w:type="pct"/>
            <w:noWrap/>
            <w:vAlign w:val="center"/>
          </w:tcPr>
          <w:p w14:paraId="11F8DB6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44.4016</w:t>
            </w:r>
          </w:p>
        </w:tc>
        <w:tc>
          <w:tcPr>
            <w:tcW w:w="1672" w:type="pct"/>
            <w:noWrap/>
            <w:vAlign w:val="center"/>
          </w:tcPr>
          <w:p w14:paraId="13068E3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4.2631</w:t>
            </w:r>
          </w:p>
        </w:tc>
      </w:tr>
      <w:tr w:rsidR="00C02929" w14:paraId="5974317C" w14:textId="77777777">
        <w:trPr>
          <w:trHeight w:val="397"/>
        </w:trPr>
        <w:tc>
          <w:tcPr>
            <w:tcW w:w="395" w:type="pct"/>
            <w:noWrap/>
            <w:vAlign w:val="center"/>
          </w:tcPr>
          <w:p w14:paraId="1D26613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33</w:t>
            </w:r>
          </w:p>
        </w:tc>
        <w:tc>
          <w:tcPr>
            <w:tcW w:w="991" w:type="pct"/>
            <w:noWrap/>
            <w:vAlign w:val="center"/>
          </w:tcPr>
          <w:p w14:paraId="646CB14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019508.SH</w:t>
            </w:r>
          </w:p>
        </w:tc>
        <w:tc>
          <w:tcPr>
            <w:tcW w:w="802" w:type="pct"/>
            <w:noWrap/>
            <w:vAlign w:val="center"/>
          </w:tcPr>
          <w:p w14:paraId="38D9EE6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1B9A9CD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14.8247</w:t>
            </w:r>
          </w:p>
        </w:tc>
        <w:tc>
          <w:tcPr>
            <w:tcW w:w="1672" w:type="pct"/>
            <w:noWrap/>
            <w:vAlign w:val="center"/>
          </w:tcPr>
          <w:p w14:paraId="157F8DE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3.3843</w:t>
            </w:r>
          </w:p>
        </w:tc>
      </w:tr>
      <w:tr w:rsidR="00C02929" w14:paraId="51C8748C" w14:textId="77777777">
        <w:trPr>
          <w:trHeight w:val="397"/>
        </w:trPr>
        <w:tc>
          <w:tcPr>
            <w:tcW w:w="395" w:type="pct"/>
            <w:noWrap/>
            <w:vAlign w:val="center"/>
          </w:tcPr>
          <w:p w14:paraId="599B35F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34</w:t>
            </w:r>
          </w:p>
        </w:tc>
        <w:tc>
          <w:tcPr>
            <w:tcW w:w="991" w:type="pct"/>
            <w:noWrap/>
            <w:vAlign w:val="center"/>
          </w:tcPr>
          <w:p w14:paraId="32722F5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019510.SH</w:t>
            </w:r>
          </w:p>
        </w:tc>
        <w:tc>
          <w:tcPr>
            <w:tcW w:w="802" w:type="pct"/>
            <w:noWrap/>
            <w:vAlign w:val="center"/>
          </w:tcPr>
          <w:p w14:paraId="618F7BB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588AFF0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44.9014</w:t>
            </w:r>
          </w:p>
        </w:tc>
        <w:tc>
          <w:tcPr>
            <w:tcW w:w="1672" w:type="pct"/>
            <w:noWrap/>
            <w:vAlign w:val="center"/>
          </w:tcPr>
          <w:p w14:paraId="676611D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3.5113</w:t>
            </w:r>
          </w:p>
        </w:tc>
      </w:tr>
      <w:tr w:rsidR="00C02929" w14:paraId="32144C19" w14:textId="77777777">
        <w:trPr>
          <w:trHeight w:val="397"/>
        </w:trPr>
        <w:tc>
          <w:tcPr>
            <w:tcW w:w="395" w:type="pct"/>
            <w:noWrap/>
            <w:vAlign w:val="center"/>
          </w:tcPr>
          <w:p w14:paraId="122C053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35</w:t>
            </w:r>
          </w:p>
        </w:tc>
        <w:tc>
          <w:tcPr>
            <w:tcW w:w="991" w:type="pct"/>
            <w:noWrap/>
            <w:vAlign w:val="center"/>
          </w:tcPr>
          <w:p w14:paraId="3DD0C7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019517.SH</w:t>
            </w:r>
          </w:p>
        </w:tc>
        <w:tc>
          <w:tcPr>
            <w:tcW w:w="802" w:type="pct"/>
            <w:noWrap/>
            <w:vAlign w:val="center"/>
          </w:tcPr>
          <w:p w14:paraId="0D730C2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w:t>
            </w:r>
          </w:p>
        </w:tc>
        <w:tc>
          <w:tcPr>
            <w:tcW w:w="1140" w:type="pct"/>
            <w:noWrap/>
            <w:vAlign w:val="center"/>
          </w:tcPr>
          <w:p w14:paraId="11A640F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25.0738</w:t>
            </w:r>
          </w:p>
        </w:tc>
        <w:tc>
          <w:tcPr>
            <w:tcW w:w="1672" w:type="pct"/>
            <w:noWrap/>
            <w:vAlign w:val="center"/>
          </w:tcPr>
          <w:p w14:paraId="3216DC7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3.6089</w:t>
            </w:r>
          </w:p>
        </w:tc>
      </w:tr>
      <w:tr w:rsidR="00C02929" w14:paraId="76C28A13" w14:textId="77777777">
        <w:trPr>
          <w:trHeight w:val="397"/>
        </w:trPr>
        <w:tc>
          <w:tcPr>
            <w:tcW w:w="395" w:type="pct"/>
            <w:noWrap/>
            <w:vAlign w:val="center"/>
          </w:tcPr>
          <w:p w14:paraId="4FB81B8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36</w:t>
            </w:r>
          </w:p>
        </w:tc>
        <w:tc>
          <w:tcPr>
            <w:tcW w:w="991" w:type="pct"/>
            <w:noWrap/>
            <w:vAlign w:val="center"/>
          </w:tcPr>
          <w:p w14:paraId="65049F3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019521.SH</w:t>
            </w:r>
          </w:p>
        </w:tc>
        <w:tc>
          <w:tcPr>
            <w:tcW w:w="802" w:type="pct"/>
            <w:noWrap/>
            <w:vAlign w:val="center"/>
          </w:tcPr>
          <w:p w14:paraId="7D5E1D3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21</w:t>
            </w:r>
          </w:p>
        </w:tc>
        <w:tc>
          <w:tcPr>
            <w:tcW w:w="1140" w:type="pct"/>
            <w:noWrap/>
            <w:vAlign w:val="center"/>
          </w:tcPr>
          <w:p w14:paraId="1E946F7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15.2295</w:t>
            </w:r>
          </w:p>
        </w:tc>
        <w:tc>
          <w:tcPr>
            <w:tcW w:w="1672" w:type="pct"/>
            <w:noWrap/>
            <w:vAlign w:val="center"/>
          </w:tcPr>
          <w:p w14:paraId="3F85455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3.3405</w:t>
            </w:r>
          </w:p>
        </w:tc>
      </w:tr>
      <w:tr w:rsidR="00C02929" w14:paraId="5A1A5332" w14:textId="77777777">
        <w:trPr>
          <w:trHeight w:val="397"/>
        </w:trPr>
        <w:tc>
          <w:tcPr>
            <w:tcW w:w="395" w:type="pct"/>
            <w:noWrap/>
            <w:vAlign w:val="center"/>
          </w:tcPr>
          <w:p w14:paraId="2037E8D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37</w:t>
            </w:r>
          </w:p>
        </w:tc>
        <w:tc>
          <w:tcPr>
            <w:tcW w:w="991" w:type="pct"/>
            <w:noWrap/>
            <w:vAlign w:val="center"/>
          </w:tcPr>
          <w:p w14:paraId="1BEBAC1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019525.SH</w:t>
            </w:r>
          </w:p>
        </w:tc>
        <w:tc>
          <w:tcPr>
            <w:tcW w:w="802" w:type="pct"/>
            <w:noWrap/>
            <w:vAlign w:val="center"/>
          </w:tcPr>
          <w:p w14:paraId="3B36969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383D338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25.3060</w:t>
            </w:r>
          </w:p>
        </w:tc>
        <w:tc>
          <w:tcPr>
            <w:tcW w:w="1672" w:type="pct"/>
            <w:noWrap/>
            <w:vAlign w:val="center"/>
          </w:tcPr>
          <w:p w14:paraId="1EEF36E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3.7740</w:t>
            </w:r>
          </w:p>
        </w:tc>
      </w:tr>
      <w:tr w:rsidR="00C02929" w14:paraId="4E4E46D8" w14:textId="77777777">
        <w:trPr>
          <w:trHeight w:val="397"/>
        </w:trPr>
        <w:tc>
          <w:tcPr>
            <w:tcW w:w="395" w:type="pct"/>
            <w:noWrap/>
            <w:vAlign w:val="center"/>
          </w:tcPr>
          <w:p w14:paraId="3EF69B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38</w:t>
            </w:r>
          </w:p>
        </w:tc>
        <w:tc>
          <w:tcPr>
            <w:tcW w:w="991" w:type="pct"/>
            <w:noWrap/>
            <w:vAlign w:val="center"/>
          </w:tcPr>
          <w:p w14:paraId="15A90A8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019528.SH</w:t>
            </w:r>
          </w:p>
        </w:tc>
        <w:tc>
          <w:tcPr>
            <w:tcW w:w="802" w:type="pct"/>
            <w:noWrap/>
            <w:vAlign w:val="center"/>
          </w:tcPr>
          <w:p w14:paraId="11061EA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15</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28</w:t>
            </w:r>
          </w:p>
        </w:tc>
        <w:tc>
          <w:tcPr>
            <w:tcW w:w="1140" w:type="pct"/>
            <w:noWrap/>
            <w:vAlign w:val="center"/>
          </w:tcPr>
          <w:p w14:paraId="32D2FAA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45.3989</w:t>
            </w:r>
          </w:p>
        </w:tc>
        <w:tc>
          <w:tcPr>
            <w:tcW w:w="1672" w:type="pct"/>
            <w:noWrap/>
            <w:vAlign w:val="center"/>
          </w:tcPr>
          <w:p w14:paraId="62E6E0E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3.6782</w:t>
            </w:r>
          </w:p>
        </w:tc>
      </w:tr>
      <w:tr w:rsidR="00C02929" w14:paraId="39DCEF58" w14:textId="77777777">
        <w:trPr>
          <w:trHeight w:val="397"/>
        </w:trPr>
        <w:tc>
          <w:tcPr>
            <w:tcW w:w="395" w:type="pct"/>
            <w:noWrap/>
            <w:vAlign w:val="center"/>
          </w:tcPr>
          <w:p w14:paraId="2C00B94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39</w:t>
            </w:r>
          </w:p>
        </w:tc>
        <w:tc>
          <w:tcPr>
            <w:tcW w:w="991" w:type="pct"/>
            <w:noWrap/>
            <w:vAlign w:val="center"/>
          </w:tcPr>
          <w:p w14:paraId="32D035A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019536.SH</w:t>
            </w:r>
          </w:p>
        </w:tc>
        <w:tc>
          <w:tcPr>
            <w:tcW w:w="802" w:type="pct"/>
            <w:noWrap/>
            <w:vAlign w:val="center"/>
          </w:tcPr>
          <w:p w14:paraId="78A71A3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3DA6767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25.8192</w:t>
            </w:r>
          </w:p>
        </w:tc>
        <w:tc>
          <w:tcPr>
            <w:tcW w:w="1672" w:type="pct"/>
            <w:noWrap/>
            <w:vAlign w:val="center"/>
          </w:tcPr>
          <w:p w14:paraId="361AB6A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3.6612</w:t>
            </w:r>
          </w:p>
        </w:tc>
      </w:tr>
      <w:tr w:rsidR="00C02929" w14:paraId="1314B45F" w14:textId="77777777">
        <w:trPr>
          <w:trHeight w:val="397"/>
        </w:trPr>
        <w:tc>
          <w:tcPr>
            <w:tcW w:w="395" w:type="pct"/>
            <w:noWrap/>
            <w:vAlign w:val="center"/>
          </w:tcPr>
          <w:p w14:paraId="6BD6C6E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40</w:t>
            </w:r>
          </w:p>
        </w:tc>
        <w:tc>
          <w:tcPr>
            <w:tcW w:w="991" w:type="pct"/>
            <w:noWrap/>
            <w:vAlign w:val="center"/>
          </w:tcPr>
          <w:p w14:paraId="299A68A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019541.SH</w:t>
            </w:r>
          </w:p>
        </w:tc>
        <w:tc>
          <w:tcPr>
            <w:tcW w:w="802" w:type="pct"/>
            <w:noWrap/>
            <w:vAlign w:val="center"/>
          </w:tcPr>
          <w:p w14:paraId="23ACF67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w:t>
            </w:r>
          </w:p>
        </w:tc>
        <w:tc>
          <w:tcPr>
            <w:tcW w:w="1140" w:type="pct"/>
            <w:noWrap/>
            <w:vAlign w:val="center"/>
          </w:tcPr>
          <w:p w14:paraId="3D78882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45.8959</w:t>
            </w:r>
          </w:p>
        </w:tc>
        <w:tc>
          <w:tcPr>
            <w:tcW w:w="1672" w:type="pct"/>
            <w:noWrap/>
            <w:vAlign w:val="center"/>
          </w:tcPr>
          <w:p w14:paraId="540D08B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3.6798</w:t>
            </w:r>
          </w:p>
        </w:tc>
      </w:tr>
      <w:tr w:rsidR="00C02929" w14:paraId="7A7D1EDC" w14:textId="77777777">
        <w:trPr>
          <w:trHeight w:val="397"/>
        </w:trPr>
        <w:tc>
          <w:tcPr>
            <w:tcW w:w="395" w:type="pct"/>
            <w:noWrap/>
            <w:vAlign w:val="center"/>
          </w:tcPr>
          <w:p w14:paraId="1C584A1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41</w:t>
            </w:r>
          </w:p>
        </w:tc>
        <w:tc>
          <w:tcPr>
            <w:tcW w:w="991" w:type="pct"/>
            <w:noWrap/>
            <w:vAlign w:val="center"/>
          </w:tcPr>
          <w:p w14:paraId="021F73A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019547.SH</w:t>
            </w:r>
          </w:p>
        </w:tc>
        <w:tc>
          <w:tcPr>
            <w:tcW w:w="802" w:type="pct"/>
            <w:noWrap/>
            <w:vAlign w:val="center"/>
          </w:tcPr>
          <w:p w14:paraId="0BA4ADF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w:t>
            </w:r>
          </w:p>
        </w:tc>
        <w:tc>
          <w:tcPr>
            <w:tcW w:w="1140" w:type="pct"/>
            <w:noWrap/>
            <w:vAlign w:val="center"/>
          </w:tcPr>
          <w:p w14:paraId="47B22CC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26.1448</w:t>
            </w:r>
          </w:p>
        </w:tc>
        <w:tc>
          <w:tcPr>
            <w:tcW w:w="1672" w:type="pct"/>
            <w:noWrap/>
            <w:vAlign w:val="center"/>
          </w:tcPr>
          <w:p w14:paraId="196CB58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3.6556</w:t>
            </w:r>
          </w:p>
        </w:tc>
      </w:tr>
      <w:tr w:rsidR="00C02929" w14:paraId="0F28A1C3" w14:textId="77777777">
        <w:trPr>
          <w:trHeight w:val="397"/>
        </w:trPr>
        <w:tc>
          <w:tcPr>
            <w:tcW w:w="395" w:type="pct"/>
            <w:noWrap/>
            <w:vAlign w:val="center"/>
          </w:tcPr>
          <w:p w14:paraId="2D15D2D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42</w:t>
            </w:r>
          </w:p>
        </w:tc>
        <w:tc>
          <w:tcPr>
            <w:tcW w:w="991" w:type="pct"/>
            <w:noWrap/>
            <w:vAlign w:val="center"/>
          </w:tcPr>
          <w:p w14:paraId="394536D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019554.SH</w:t>
            </w:r>
          </w:p>
        </w:tc>
        <w:tc>
          <w:tcPr>
            <w:tcW w:w="802" w:type="pct"/>
            <w:noWrap/>
            <w:vAlign w:val="center"/>
          </w:tcPr>
          <w:p w14:paraId="2F551E8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16</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26</w:t>
            </w:r>
          </w:p>
        </w:tc>
        <w:tc>
          <w:tcPr>
            <w:tcW w:w="1140" w:type="pct"/>
            <w:noWrap/>
            <w:vAlign w:val="center"/>
          </w:tcPr>
          <w:p w14:paraId="6F80439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46.3934</w:t>
            </w:r>
          </w:p>
        </w:tc>
        <w:tc>
          <w:tcPr>
            <w:tcW w:w="1672" w:type="pct"/>
            <w:noWrap/>
            <w:vAlign w:val="center"/>
          </w:tcPr>
          <w:p w14:paraId="26AE7E1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3.6761</w:t>
            </w:r>
          </w:p>
        </w:tc>
      </w:tr>
      <w:tr w:rsidR="00C02929" w14:paraId="30D076F1" w14:textId="77777777">
        <w:trPr>
          <w:trHeight w:val="397"/>
        </w:trPr>
        <w:tc>
          <w:tcPr>
            <w:tcW w:w="395" w:type="pct"/>
            <w:noWrap/>
            <w:vAlign w:val="center"/>
          </w:tcPr>
          <w:p w14:paraId="24D2620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43</w:t>
            </w:r>
          </w:p>
        </w:tc>
        <w:tc>
          <w:tcPr>
            <w:tcW w:w="991" w:type="pct"/>
            <w:noWrap/>
            <w:vAlign w:val="center"/>
          </w:tcPr>
          <w:p w14:paraId="360846A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019559.SH</w:t>
            </w:r>
          </w:p>
        </w:tc>
        <w:tc>
          <w:tcPr>
            <w:tcW w:w="802" w:type="pct"/>
            <w:noWrap/>
            <w:vAlign w:val="center"/>
          </w:tcPr>
          <w:p w14:paraId="768AEB1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05</w:t>
            </w:r>
          </w:p>
        </w:tc>
        <w:tc>
          <w:tcPr>
            <w:tcW w:w="1140" w:type="pct"/>
            <w:noWrap/>
            <w:vAlign w:val="center"/>
          </w:tcPr>
          <w:p w14:paraId="4A692E8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26.6421</w:t>
            </w:r>
          </w:p>
        </w:tc>
        <w:tc>
          <w:tcPr>
            <w:tcW w:w="1672" w:type="pct"/>
            <w:noWrap/>
            <w:vAlign w:val="center"/>
          </w:tcPr>
          <w:p w14:paraId="402A461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3.9204</w:t>
            </w:r>
          </w:p>
        </w:tc>
      </w:tr>
      <w:tr w:rsidR="00C02929" w14:paraId="6645686B" w14:textId="77777777">
        <w:trPr>
          <w:trHeight w:val="397"/>
        </w:trPr>
        <w:tc>
          <w:tcPr>
            <w:tcW w:w="395" w:type="pct"/>
            <w:noWrap/>
            <w:vAlign w:val="center"/>
          </w:tcPr>
          <w:p w14:paraId="486FBC1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44</w:t>
            </w:r>
          </w:p>
        </w:tc>
        <w:tc>
          <w:tcPr>
            <w:tcW w:w="991" w:type="pct"/>
            <w:noWrap/>
            <w:vAlign w:val="center"/>
          </w:tcPr>
          <w:p w14:paraId="018E9AB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019565.SH</w:t>
            </w:r>
          </w:p>
        </w:tc>
        <w:tc>
          <w:tcPr>
            <w:tcW w:w="802" w:type="pct"/>
            <w:noWrap/>
            <w:vAlign w:val="center"/>
          </w:tcPr>
          <w:p w14:paraId="56D21D5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w:t>
            </w:r>
          </w:p>
        </w:tc>
        <w:tc>
          <w:tcPr>
            <w:tcW w:w="1140" w:type="pct"/>
            <w:noWrap/>
            <w:vAlign w:val="center"/>
          </w:tcPr>
          <w:p w14:paraId="55BCA20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46.8932</w:t>
            </w:r>
          </w:p>
        </w:tc>
        <w:tc>
          <w:tcPr>
            <w:tcW w:w="1672" w:type="pct"/>
            <w:noWrap/>
            <w:vAlign w:val="center"/>
          </w:tcPr>
          <w:p w14:paraId="40A0721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4.1207</w:t>
            </w:r>
          </w:p>
        </w:tc>
      </w:tr>
      <w:tr w:rsidR="00C02929" w14:paraId="3E8432AC" w14:textId="77777777">
        <w:trPr>
          <w:trHeight w:val="397"/>
        </w:trPr>
        <w:tc>
          <w:tcPr>
            <w:tcW w:w="395" w:type="pct"/>
            <w:noWrap/>
            <w:vAlign w:val="center"/>
          </w:tcPr>
          <w:p w14:paraId="0FC3B41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45</w:t>
            </w:r>
          </w:p>
        </w:tc>
        <w:tc>
          <w:tcPr>
            <w:tcW w:w="991" w:type="pct"/>
            <w:noWrap/>
            <w:vAlign w:val="center"/>
          </w:tcPr>
          <w:p w14:paraId="61E0299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019569.SH</w:t>
            </w:r>
          </w:p>
        </w:tc>
        <w:tc>
          <w:tcPr>
            <w:tcW w:w="802" w:type="pct"/>
            <w:noWrap/>
            <w:vAlign w:val="center"/>
          </w:tcPr>
          <w:p w14:paraId="6FA9A8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w:t>
            </w:r>
          </w:p>
        </w:tc>
        <w:tc>
          <w:tcPr>
            <w:tcW w:w="1140" w:type="pct"/>
            <w:noWrap/>
            <w:vAlign w:val="center"/>
          </w:tcPr>
          <w:p w14:paraId="5AA2EA8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27.0656</w:t>
            </w:r>
          </w:p>
        </w:tc>
        <w:tc>
          <w:tcPr>
            <w:tcW w:w="1672" w:type="pct"/>
            <w:noWrap/>
            <w:vAlign w:val="center"/>
          </w:tcPr>
          <w:p w14:paraId="370B107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3.6501</w:t>
            </w:r>
          </w:p>
        </w:tc>
      </w:tr>
      <w:tr w:rsidR="00C02929" w14:paraId="7226E3A4" w14:textId="77777777">
        <w:trPr>
          <w:trHeight w:val="397"/>
        </w:trPr>
        <w:tc>
          <w:tcPr>
            <w:tcW w:w="395" w:type="pct"/>
            <w:noWrap/>
            <w:vAlign w:val="center"/>
          </w:tcPr>
          <w:p w14:paraId="7098D13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46</w:t>
            </w:r>
          </w:p>
        </w:tc>
        <w:tc>
          <w:tcPr>
            <w:tcW w:w="991" w:type="pct"/>
            <w:noWrap/>
            <w:vAlign w:val="center"/>
          </w:tcPr>
          <w:p w14:paraId="319F17E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019577.SH</w:t>
            </w:r>
          </w:p>
        </w:tc>
        <w:tc>
          <w:tcPr>
            <w:tcW w:w="802" w:type="pct"/>
            <w:noWrap/>
            <w:vAlign w:val="center"/>
          </w:tcPr>
          <w:p w14:paraId="3F65BD2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22</w:t>
            </w:r>
          </w:p>
        </w:tc>
        <w:tc>
          <w:tcPr>
            <w:tcW w:w="1140" w:type="pct"/>
            <w:noWrap/>
            <w:vAlign w:val="center"/>
          </w:tcPr>
          <w:p w14:paraId="3D15999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27.3142</w:t>
            </w:r>
          </w:p>
        </w:tc>
        <w:tc>
          <w:tcPr>
            <w:tcW w:w="1672" w:type="pct"/>
            <w:noWrap/>
            <w:vAlign w:val="center"/>
          </w:tcPr>
          <w:p w14:paraId="00B31B3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3.9769</w:t>
            </w:r>
          </w:p>
        </w:tc>
      </w:tr>
      <w:tr w:rsidR="00C02929" w14:paraId="7A5F42AD" w14:textId="77777777">
        <w:trPr>
          <w:trHeight w:val="397"/>
        </w:trPr>
        <w:tc>
          <w:tcPr>
            <w:tcW w:w="395" w:type="pct"/>
            <w:noWrap/>
            <w:vAlign w:val="center"/>
          </w:tcPr>
          <w:p w14:paraId="58F7F74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47</w:t>
            </w:r>
          </w:p>
        </w:tc>
        <w:tc>
          <w:tcPr>
            <w:tcW w:w="991" w:type="pct"/>
            <w:noWrap/>
            <w:vAlign w:val="center"/>
          </w:tcPr>
          <w:p w14:paraId="3BD7199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019581.SH</w:t>
            </w:r>
          </w:p>
        </w:tc>
        <w:tc>
          <w:tcPr>
            <w:tcW w:w="802" w:type="pct"/>
            <w:noWrap/>
            <w:vAlign w:val="center"/>
          </w:tcPr>
          <w:p w14:paraId="45FCAC4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17</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26</w:t>
            </w:r>
          </w:p>
        </w:tc>
        <w:tc>
          <w:tcPr>
            <w:tcW w:w="1140" w:type="pct"/>
            <w:noWrap/>
            <w:vAlign w:val="center"/>
          </w:tcPr>
          <w:p w14:paraId="096A59D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47.3907</w:t>
            </w:r>
          </w:p>
        </w:tc>
        <w:tc>
          <w:tcPr>
            <w:tcW w:w="1672" w:type="pct"/>
            <w:noWrap/>
            <w:vAlign w:val="center"/>
          </w:tcPr>
          <w:p w14:paraId="5005677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4.4167</w:t>
            </w:r>
          </w:p>
        </w:tc>
      </w:tr>
      <w:tr w:rsidR="00C02929" w14:paraId="5D9407B8" w14:textId="77777777">
        <w:trPr>
          <w:trHeight w:val="397"/>
        </w:trPr>
        <w:tc>
          <w:tcPr>
            <w:tcW w:w="395" w:type="pct"/>
            <w:noWrap/>
            <w:vAlign w:val="center"/>
          </w:tcPr>
          <w:p w14:paraId="338DF01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48</w:t>
            </w:r>
          </w:p>
        </w:tc>
        <w:tc>
          <w:tcPr>
            <w:tcW w:w="991" w:type="pct"/>
            <w:noWrap/>
            <w:vAlign w:val="center"/>
          </w:tcPr>
          <w:p w14:paraId="67417FB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019588.SH</w:t>
            </w:r>
          </w:p>
        </w:tc>
        <w:tc>
          <w:tcPr>
            <w:tcW w:w="802" w:type="pct"/>
            <w:noWrap/>
            <w:vAlign w:val="center"/>
          </w:tcPr>
          <w:p w14:paraId="56CE9BD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4F3DCF6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27.7178</w:t>
            </w:r>
          </w:p>
        </w:tc>
        <w:tc>
          <w:tcPr>
            <w:tcW w:w="1672" w:type="pct"/>
            <w:noWrap/>
            <w:vAlign w:val="center"/>
          </w:tcPr>
          <w:p w14:paraId="1149F6F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4.2629</w:t>
            </w:r>
          </w:p>
        </w:tc>
      </w:tr>
      <w:tr w:rsidR="00C02929" w14:paraId="5678EE7D" w14:textId="77777777">
        <w:trPr>
          <w:trHeight w:val="397"/>
        </w:trPr>
        <w:tc>
          <w:tcPr>
            <w:tcW w:w="395" w:type="pct"/>
            <w:noWrap/>
            <w:vAlign w:val="center"/>
          </w:tcPr>
          <w:p w14:paraId="12F8FB3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49</w:t>
            </w:r>
          </w:p>
        </w:tc>
        <w:tc>
          <w:tcPr>
            <w:tcW w:w="991" w:type="pct"/>
            <w:noWrap/>
            <w:vAlign w:val="center"/>
          </w:tcPr>
          <w:p w14:paraId="74C9E02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019594.SH</w:t>
            </w:r>
          </w:p>
        </w:tc>
        <w:tc>
          <w:tcPr>
            <w:tcW w:w="802" w:type="pct"/>
            <w:noWrap/>
            <w:vAlign w:val="center"/>
          </w:tcPr>
          <w:p w14:paraId="7FA9A92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w:t>
            </w:r>
          </w:p>
        </w:tc>
        <w:tc>
          <w:tcPr>
            <w:tcW w:w="1140" w:type="pct"/>
            <w:noWrap/>
            <w:vAlign w:val="center"/>
          </w:tcPr>
          <w:p w14:paraId="2ACA838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47.8904</w:t>
            </w:r>
          </w:p>
        </w:tc>
        <w:tc>
          <w:tcPr>
            <w:tcW w:w="1672" w:type="pct"/>
            <w:noWrap/>
            <w:vAlign w:val="center"/>
          </w:tcPr>
          <w:p w14:paraId="362577F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4.1717</w:t>
            </w:r>
          </w:p>
        </w:tc>
      </w:tr>
      <w:tr w:rsidR="00C02929" w14:paraId="71C9077A" w14:textId="77777777">
        <w:trPr>
          <w:trHeight w:val="397"/>
        </w:trPr>
        <w:tc>
          <w:tcPr>
            <w:tcW w:w="395" w:type="pct"/>
            <w:noWrap/>
            <w:vAlign w:val="center"/>
          </w:tcPr>
          <w:p w14:paraId="7862197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50</w:t>
            </w:r>
          </w:p>
        </w:tc>
        <w:tc>
          <w:tcPr>
            <w:tcW w:w="991" w:type="pct"/>
            <w:noWrap/>
            <w:vAlign w:val="center"/>
          </w:tcPr>
          <w:p w14:paraId="66788F5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019599.SH</w:t>
            </w:r>
          </w:p>
        </w:tc>
        <w:tc>
          <w:tcPr>
            <w:tcW w:w="802" w:type="pct"/>
            <w:noWrap/>
            <w:vAlign w:val="center"/>
          </w:tcPr>
          <w:p w14:paraId="3A20395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w:t>
            </w:r>
          </w:p>
        </w:tc>
        <w:tc>
          <w:tcPr>
            <w:tcW w:w="1140" w:type="pct"/>
            <w:noWrap/>
            <w:vAlign w:val="center"/>
          </w:tcPr>
          <w:p w14:paraId="0144FA6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28.0628</w:t>
            </w:r>
          </w:p>
        </w:tc>
        <w:tc>
          <w:tcPr>
            <w:tcW w:w="1672" w:type="pct"/>
            <w:noWrap/>
            <w:vAlign w:val="center"/>
          </w:tcPr>
          <w:p w14:paraId="4E46160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3.4426</w:t>
            </w:r>
          </w:p>
        </w:tc>
      </w:tr>
      <w:tr w:rsidR="00C02929" w14:paraId="0FD80A92" w14:textId="77777777">
        <w:trPr>
          <w:trHeight w:val="397"/>
        </w:trPr>
        <w:tc>
          <w:tcPr>
            <w:tcW w:w="395" w:type="pct"/>
            <w:noWrap/>
            <w:vAlign w:val="center"/>
          </w:tcPr>
          <w:p w14:paraId="4830CA4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51</w:t>
            </w:r>
          </w:p>
        </w:tc>
        <w:tc>
          <w:tcPr>
            <w:tcW w:w="991" w:type="pct"/>
            <w:noWrap/>
            <w:vAlign w:val="center"/>
          </w:tcPr>
          <w:p w14:paraId="12CDFD4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019606.SH</w:t>
            </w:r>
          </w:p>
        </w:tc>
        <w:tc>
          <w:tcPr>
            <w:tcW w:w="802" w:type="pct"/>
            <w:noWrap/>
            <w:vAlign w:val="center"/>
          </w:tcPr>
          <w:p w14:paraId="0379AE8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24</w:t>
            </w:r>
          </w:p>
        </w:tc>
        <w:tc>
          <w:tcPr>
            <w:tcW w:w="1140" w:type="pct"/>
            <w:noWrap/>
            <w:vAlign w:val="center"/>
          </w:tcPr>
          <w:p w14:paraId="6E29844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28.3115</w:t>
            </w:r>
          </w:p>
        </w:tc>
        <w:tc>
          <w:tcPr>
            <w:tcW w:w="1672" w:type="pct"/>
            <w:noWrap/>
            <w:vAlign w:val="center"/>
          </w:tcPr>
          <w:p w14:paraId="49C46EB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3.5815</w:t>
            </w:r>
          </w:p>
        </w:tc>
      </w:tr>
      <w:tr w:rsidR="00C02929" w14:paraId="4B4DDFC9" w14:textId="77777777">
        <w:trPr>
          <w:trHeight w:val="397"/>
        </w:trPr>
        <w:tc>
          <w:tcPr>
            <w:tcW w:w="395" w:type="pct"/>
            <w:noWrap/>
            <w:vAlign w:val="center"/>
          </w:tcPr>
          <w:p w14:paraId="6E1A3D5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52</w:t>
            </w:r>
          </w:p>
        </w:tc>
        <w:tc>
          <w:tcPr>
            <w:tcW w:w="991" w:type="pct"/>
            <w:noWrap/>
            <w:vAlign w:val="center"/>
          </w:tcPr>
          <w:p w14:paraId="7FAFCBD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019607.SH</w:t>
            </w:r>
          </w:p>
        </w:tc>
        <w:tc>
          <w:tcPr>
            <w:tcW w:w="802" w:type="pct"/>
            <w:noWrap/>
            <w:vAlign w:val="center"/>
          </w:tcPr>
          <w:p w14:paraId="162C72A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4236CE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48.3880</w:t>
            </w:r>
          </w:p>
        </w:tc>
        <w:tc>
          <w:tcPr>
            <w:tcW w:w="1672" w:type="pct"/>
            <w:noWrap/>
            <w:vAlign w:val="center"/>
          </w:tcPr>
          <w:p w14:paraId="4B9FC4C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3.8557</w:t>
            </w:r>
          </w:p>
        </w:tc>
      </w:tr>
      <w:tr w:rsidR="00C02929" w14:paraId="76AB9A92" w14:textId="77777777">
        <w:trPr>
          <w:trHeight w:val="397"/>
        </w:trPr>
        <w:tc>
          <w:tcPr>
            <w:tcW w:w="395" w:type="pct"/>
            <w:noWrap/>
            <w:vAlign w:val="center"/>
          </w:tcPr>
          <w:p w14:paraId="058F10C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53</w:t>
            </w:r>
          </w:p>
        </w:tc>
        <w:tc>
          <w:tcPr>
            <w:tcW w:w="991" w:type="pct"/>
            <w:noWrap/>
            <w:vAlign w:val="center"/>
          </w:tcPr>
          <w:p w14:paraId="5C82F48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019618.SH</w:t>
            </w:r>
          </w:p>
        </w:tc>
        <w:tc>
          <w:tcPr>
            <w:tcW w:w="802" w:type="pct"/>
            <w:noWrap/>
            <w:vAlign w:val="center"/>
          </w:tcPr>
          <w:p w14:paraId="26EB201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w:t>
            </w:r>
          </w:p>
        </w:tc>
        <w:tc>
          <w:tcPr>
            <w:tcW w:w="1140" w:type="pct"/>
            <w:noWrap/>
            <w:vAlign w:val="center"/>
          </w:tcPr>
          <w:p w14:paraId="253B6F7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48.9836</w:t>
            </w:r>
          </w:p>
        </w:tc>
        <w:tc>
          <w:tcPr>
            <w:tcW w:w="1672" w:type="pct"/>
            <w:noWrap/>
            <w:vAlign w:val="center"/>
          </w:tcPr>
          <w:p w14:paraId="7430294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3.7022</w:t>
            </w:r>
          </w:p>
        </w:tc>
      </w:tr>
      <w:tr w:rsidR="00C02929" w14:paraId="459147F1" w14:textId="77777777">
        <w:trPr>
          <w:trHeight w:val="397"/>
        </w:trPr>
        <w:tc>
          <w:tcPr>
            <w:tcW w:w="395" w:type="pct"/>
            <w:noWrap/>
            <w:vAlign w:val="center"/>
          </w:tcPr>
          <w:p w14:paraId="3055CBE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54</w:t>
            </w:r>
          </w:p>
        </w:tc>
        <w:tc>
          <w:tcPr>
            <w:tcW w:w="991" w:type="pct"/>
            <w:noWrap/>
            <w:vAlign w:val="center"/>
          </w:tcPr>
          <w:p w14:paraId="667C0FF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019620.SH</w:t>
            </w:r>
          </w:p>
        </w:tc>
        <w:tc>
          <w:tcPr>
            <w:tcW w:w="802" w:type="pct"/>
            <w:noWrap/>
            <w:vAlign w:val="center"/>
          </w:tcPr>
          <w:p w14:paraId="407C852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19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w:t>
            </w:r>
          </w:p>
        </w:tc>
        <w:tc>
          <w:tcPr>
            <w:tcW w:w="1140" w:type="pct"/>
            <w:noWrap/>
            <w:vAlign w:val="center"/>
          </w:tcPr>
          <w:p w14:paraId="040C81D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29.0601</w:t>
            </w:r>
          </w:p>
        </w:tc>
        <w:tc>
          <w:tcPr>
            <w:tcW w:w="1672" w:type="pct"/>
            <w:noWrap/>
            <w:vAlign w:val="center"/>
          </w:tcPr>
          <w:p w14:paraId="6EDD945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3.1834</w:t>
            </w:r>
          </w:p>
        </w:tc>
      </w:tr>
      <w:tr w:rsidR="00C02929" w14:paraId="75401034" w14:textId="77777777">
        <w:trPr>
          <w:trHeight w:val="397"/>
        </w:trPr>
        <w:tc>
          <w:tcPr>
            <w:tcW w:w="395" w:type="pct"/>
            <w:noWrap/>
            <w:vAlign w:val="center"/>
          </w:tcPr>
          <w:p w14:paraId="7181BD2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55</w:t>
            </w:r>
          </w:p>
        </w:tc>
        <w:tc>
          <w:tcPr>
            <w:tcW w:w="991" w:type="pct"/>
            <w:noWrap/>
            <w:vAlign w:val="center"/>
          </w:tcPr>
          <w:p w14:paraId="1942110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019630.SH</w:t>
            </w:r>
          </w:p>
        </w:tc>
        <w:tc>
          <w:tcPr>
            <w:tcW w:w="802" w:type="pct"/>
            <w:noWrap/>
            <w:vAlign w:val="center"/>
          </w:tcPr>
          <w:p w14:paraId="16950D0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20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04</w:t>
            </w:r>
          </w:p>
        </w:tc>
        <w:tc>
          <w:tcPr>
            <w:tcW w:w="1140" w:type="pct"/>
            <w:noWrap/>
            <w:vAlign w:val="center"/>
          </w:tcPr>
          <w:p w14:paraId="6F22395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29.7096</w:t>
            </w:r>
          </w:p>
        </w:tc>
        <w:tc>
          <w:tcPr>
            <w:tcW w:w="1672" w:type="pct"/>
            <w:noWrap/>
            <w:vAlign w:val="center"/>
          </w:tcPr>
          <w:p w14:paraId="0EFF5A8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3.5125</w:t>
            </w:r>
          </w:p>
        </w:tc>
      </w:tr>
      <w:tr w:rsidR="00C02929" w14:paraId="048A1BC1" w14:textId="77777777">
        <w:trPr>
          <w:trHeight w:val="397"/>
        </w:trPr>
        <w:tc>
          <w:tcPr>
            <w:tcW w:w="395" w:type="pct"/>
            <w:noWrap/>
            <w:vAlign w:val="center"/>
          </w:tcPr>
          <w:p w14:paraId="35BA991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56</w:t>
            </w:r>
          </w:p>
        </w:tc>
        <w:tc>
          <w:tcPr>
            <w:tcW w:w="991" w:type="pct"/>
            <w:noWrap/>
            <w:vAlign w:val="center"/>
          </w:tcPr>
          <w:p w14:paraId="528F1CE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019633.SH</w:t>
            </w:r>
          </w:p>
        </w:tc>
        <w:tc>
          <w:tcPr>
            <w:tcW w:w="802" w:type="pct"/>
            <w:noWrap/>
            <w:vAlign w:val="center"/>
          </w:tcPr>
          <w:p w14:paraId="5753DFA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20</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07</w:t>
            </w:r>
          </w:p>
        </w:tc>
        <w:tc>
          <w:tcPr>
            <w:tcW w:w="1140" w:type="pct"/>
            <w:noWrap/>
            <w:vAlign w:val="center"/>
          </w:tcPr>
          <w:p w14:paraId="47B88D9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49.9014</w:t>
            </w:r>
          </w:p>
        </w:tc>
        <w:tc>
          <w:tcPr>
            <w:tcW w:w="1672" w:type="pct"/>
            <w:noWrap/>
            <w:vAlign w:val="center"/>
          </w:tcPr>
          <w:p w14:paraId="0E1CDE5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3.7641</w:t>
            </w:r>
          </w:p>
        </w:tc>
      </w:tr>
      <w:tr w:rsidR="00C02929" w14:paraId="0E991221" w14:textId="77777777">
        <w:trPr>
          <w:trHeight w:val="397"/>
        </w:trPr>
        <w:tc>
          <w:tcPr>
            <w:tcW w:w="395" w:type="pct"/>
            <w:noWrap/>
            <w:vAlign w:val="center"/>
          </w:tcPr>
          <w:p w14:paraId="4157696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57</w:t>
            </w:r>
          </w:p>
        </w:tc>
        <w:tc>
          <w:tcPr>
            <w:tcW w:w="991" w:type="pct"/>
            <w:noWrap/>
            <w:vAlign w:val="center"/>
          </w:tcPr>
          <w:p w14:paraId="5174117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019806.SH</w:t>
            </w:r>
          </w:p>
        </w:tc>
        <w:tc>
          <w:tcPr>
            <w:tcW w:w="802" w:type="pct"/>
            <w:noWrap/>
            <w:vAlign w:val="center"/>
          </w:tcPr>
          <w:p w14:paraId="6CCE51F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06</w:t>
            </w:r>
          </w:p>
        </w:tc>
        <w:tc>
          <w:tcPr>
            <w:tcW w:w="1140" w:type="pct"/>
            <w:noWrap/>
            <w:vAlign w:val="center"/>
          </w:tcPr>
          <w:p w14:paraId="422BBE8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17.8548</w:t>
            </w:r>
          </w:p>
        </w:tc>
        <w:tc>
          <w:tcPr>
            <w:tcW w:w="1672" w:type="pct"/>
            <w:noWrap/>
            <w:vAlign w:val="center"/>
          </w:tcPr>
          <w:p w14:paraId="233A4C9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4.5487</w:t>
            </w:r>
          </w:p>
        </w:tc>
      </w:tr>
      <w:tr w:rsidR="00C02929" w14:paraId="3808600B" w14:textId="77777777">
        <w:trPr>
          <w:trHeight w:val="397"/>
        </w:trPr>
        <w:tc>
          <w:tcPr>
            <w:tcW w:w="395" w:type="pct"/>
            <w:noWrap/>
            <w:vAlign w:val="center"/>
          </w:tcPr>
          <w:p w14:paraId="2159243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58</w:t>
            </w:r>
          </w:p>
        </w:tc>
        <w:tc>
          <w:tcPr>
            <w:tcW w:w="991" w:type="pct"/>
            <w:noWrap/>
            <w:vAlign w:val="center"/>
          </w:tcPr>
          <w:p w14:paraId="73CF8D4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019820.SH</w:t>
            </w:r>
          </w:p>
        </w:tc>
        <w:tc>
          <w:tcPr>
            <w:tcW w:w="802" w:type="pct"/>
            <w:noWrap/>
            <w:vAlign w:val="center"/>
          </w:tcPr>
          <w:p w14:paraId="7C6CA0B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08</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w:t>
            </w:r>
          </w:p>
        </w:tc>
        <w:tc>
          <w:tcPr>
            <w:tcW w:w="1140" w:type="pct"/>
            <w:noWrap/>
            <w:vAlign w:val="center"/>
          </w:tcPr>
          <w:p w14:paraId="6E5E229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18.3142</w:t>
            </w:r>
          </w:p>
        </w:tc>
        <w:tc>
          <w:tcPr>
            <w:tcW w:w="1672" w:type="pct"/>
            <w:noWrap/>
            <w:vAlign w:val="center"/>
          </w:tcPr>
          <w:p w14:paraId="2C619E7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3.9469</w:t>
            </w:r>
          </w:p>
        </w:tc>
      </w:tr>
      <w:tr w:rsidR="00C02929" w14:paraId="3C5941D6" w14:textId="77777777">
        <w:trPr>
          <w:trHeight w:val="397"/>
        </w:trPr>
        <w:tc>
          <w:tcPr>
            <w:tcW w:w="395" w:type="pct"/>
            <w:noWrap/>
            <w:vAlign w:val="center"/>
          </w:tcPr>
          <w:p w14:paraId="34595DA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59</w:t>
            </w:r>
          </w:p>
        </w:tc>
        <w:tc>
          <w:tcPr>
            <w:tcW w:w="991" w:type="pct"/>
            <w:noWrap/>
            <w:vAlign w:val="center"/>
          </w:tcPr>
          <w:p w14:paraId="636B0A2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019905.SH</w:t>
            </w:r>
          </w:p>
        </w:tc>
        <w:tc>
          <w:tcPr>
            <w:tcW w:w="802" w:type="pct"/>
            <w:noWrap/>
            <w:vAlign w:val="center"/>
          </w:tcPr>
          <w:p w14:paraId="1C71CB1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05</w:t>
            </w:r>
          </w:p>
        </w:tc>
        <w:tc>
          <w:tcPr>
            <w:tcW w:w="1140" w:type="pct"/>
            <w:noWrap/>
            <w:vAlign w:val="center"/>
          </w:tcPr>
          <w:p w14:paraId="548834E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18.7753</w:t>
            </w:r>
          </w:p>
        </w:tc>
        <w:tc>
          <w:tcPr>
            <w:tcW w:w="1672" w:type="pct"/>
            <w:noWrap/>
            <w:vAlign w:val="center"/>
          </w:tcPr>
          <w:p w14:paraId="086240B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4.0590</w:t>
            </w:r>
          </w:p>
        </w:tc>
      </w:tr>
      <w:tr w:rsidR="00C02929" w14:paraId="7E37B913" w14:textId="77777777">
        <w:trPr>
          <w:trHeight w:val="397"/>
        </w:trPr>
        <w:tc>
          <w:tcPr>
            <w:tcW w:w="395" w:type="pct"/>
            <w:noWrap/>
            <w:vAlign w:val="center"/>
          </w:tcPr>
          <w:p w14:paraId="473F7FA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60</w:t>
            </w:r>
          </w:p>
        </w:tc>
        <w:tc>
          <w:tcPr>
            <w:tcW w:w="991" w:type="pct"/>
            <w:noWrap/>
            <w:vAlign w:val="center"/>
          </w:tcPr>
          <w:p w14:paraId="6A117D3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019925.SH</w:t>
            </w:r>
          </w:p>
        </w:tc>
        <w:tc>
          <w:tcPr>
            <w:tcW w:w="802" w:type="pct"/>
            <w:noWrap/>
            <w:vAlign w:val="center"/>
          </w:tcPr>
          <w:p w14:paraId="3BFC91E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25</w:t>
            </w:r>
          </w:p>
        </w:tc>
        <w:tc>
          <w:tcPr>
            <w:tcW w:w="1140" w:type="pct"/>
            <w:noWrap/>
            <w:vAlign w:val="center"/>
          </w:tcPr>
          <w:p w14:paraId="6375066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19.2923</w:t>
            </w:r>
          </w:p>
        </w:tc>
        <w:tc>
          <w:tcPr>
            <w:tcW w:w="1672" w:type="pct"/>
            <w:noWrap/>
            <w:vAlign w:val="center"/>
          </w:tcPr>
          <w:p w14:paraId="1B82A66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4.6227</w:t>
            </w:r>
          </w:p>
        </w:tc>
      </w:tr>
      <w:tr w:rsidR="00C02929" w14:paraId="422071DE" w14:textId="77777777">
        <w:trPr>
          <w:trHeight w:val="397"/>
        </w:trPr>
        <w:tc>
          <w:tcPr>
            <w:tcW w:w="395" w:type="pct"/>
            <w:noWrap/>
            <w:vAlign w:val="center"/>
          </w:tcPr>
          <w:p w14:paraId="3AC41C6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61</w:t>
            </w:r>
          </w:p>
        </w:tc>
        <w:tc>
          <w:tcPr>
            <w:tcW w:w="991" w:type="pct"/>
            <w:noWrap/>
            <w:vAlign w:val="center"/>
          </w:tcPr>
          <w:p w14:paraId="1082FAE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019930.SH</w:t>
            </w:r>
          </w:p>
        </w:tc>
        <w:tc>
          <w:tcPr>
            <w:tcW w:w="802" w:type="pct"/>
            <w:noWrap/>
            <w:vAlign w:val="center"/>
          </w:tcPr>
          <w:p w14:paraId="0BE14FE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09</w:t>
            </w: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30</w:t>
            </w:r>
          </w:p>
        </w:tc>
        <w:tc>
          <w:tcPr>
            <w:tcW w:w="1140" w:type="pct"/>
            <w:noWrap/>
            <w:vAlign w:val="center"/>
          </w:tcPr>
          <w:p w14:paraId="5DC444A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39.4180</w:t>
            </w:r>
          </w:p>
        </w:tc>
        <w:tc>
          <w:tcPr>
            <w:tcW w:w="1672" w:type="pct"/>
            <w:noWrap/>
            <w:vAlign w:val="center"/>
          </w:tcPr>
          <w:p w14:paraId="4D89FFA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4.3453</w:t>
            </w:r>
          </w:p>
        </w:tc>
      </w:tr>
      <w:tr w:rsidR="00C02929" w14:paraId="75C39C23" w14:textId="77777777">
        <w:trPr>
          <w:trHeight w:val="397"/>
        </w:trPr>
        <w:tc>
          <w:tcPr>
            <w:tcW w:w="395" w:type="pct"/>
            <w:noWrap/>
            <w:vAlign w:val="center"/>
          </w:tcPr>
          <w:p w14:paraId="71BD3C3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62</w:t>
            </w:r>
          </w:p>
        </w:tc>
        <w:tc>
          <w:tcPr>
            <w:tcW w:w="991" w:type="pct"/>
            <w:noWrap/>
            <w:vAlign w:val="center"/>
          </w:tcPr>
          <w:p w14:paraId="03BB2F3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100706.SZ</w:t>
            </w:r>
          </w:p>
        </w:tc>
        <w:tc>
          <w:tcPr>
            <w:tcW w:w="802" w:type="pct"/>
            <w:noWrap/>
            <w:vAlign w:val="center"/>
          </w:tcPr>
          <w:p w14:paraId="3F1038B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0706</w:t>
            </w:r>
          </w:p>
        </w:tc>
        <w:tc>
          <w:tcPr>
            <w:tcW w:w="1140" w:type="pct"/>
            <w:noWrap/>
            <w:vAlign w:val="center"/>
          </w:tcPr>
          <w:p w14:paraId="6C5C7A2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16.8795</w:t>
            </w:r>
          </w:p>
        </w:tc>
        <w:tc>
          <w:tcPr>
            <w:tcW w:w="1672" w:type="pct"/>
            <w:noWrap/>
            <w:vAlign w:val="center"/>
          </w:tcPr>
          <w:p w14:paraId="32C61FE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4.3138</w:t>
            </w:r>
          </w:p>
        </w:tc>
      </w:tr>
      <w:tr w:rsidR="00C02929" w14:paraId="35051EA1" w14:textId="77777777">
        <w:trPr>
          <w:trHeight w:val="397"/>
        </w:trPr>
        <w:tc>
          <w:tcPr>
            <w:tcW w:w="395" w:type="pct"/>
            <w:noWrap/>
            <w:vAlign w:val="center"/>
          </w:tcPr>
          <w:p w14:paraId="6C49F12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63</w:t>
            </w:r>
          </w:p>
        </w:tc>
        <w:tc>
          <w:tcPr>
            <w:tcW w:w="991" w:type="pct"/>
            <w:noWrap/>
            <w:vAlign w:val="center"/>
          </w:tcPr>
          <w:p w14:paraId="6BB4A07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100806.SZ</w:t>
            </w:r>
          </w:p>
        </w:tc>
        <w:tc>
          <w:tcPr>
            <w:tcW w:w="802" w:type="pct"/>
            <w:noWrap/>
            <w:vAlign w:val="center"/>
          </w:tcPr>
          <w:p w14:paraId="0B7C932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0806</w:t>
            </w:r>
          </w:p>
        </w:tc>
        <w:tc>
          <w:tcPr>
            <w:tcW w:w="1140" w:type="pct"/>
            <w:noWrap/>
            <w:vAlign w:val="center"/>
          </w:tcPr>
          <w:p w14:paraId="45251EB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17.8548</w:t>
            </w:r>
          </w:p>
        </w:tc>
        <w:tc>
          <w:tcPr>
            <w:tcW w:w="1672" w:type="pct"/>
            <w:noWrap/>
            <w:vAlign w:val="center"/>
          </w:tcPr>
          <w:p w14:paraId="3C19635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4.5487</w:t>
            </w:r>
          </w:p>
        </w:tc>
      </w:tr>
      <w:tr w:rsidR="00C02929" w14:paraId="23C609F0" w14:textId="77777777">
        <w:trPr>
          <w:trHeight w:val="397"/>
        </w:trPr>
        <w:tc>
          <w:tcPr>
            <w:tcW w:w="395" w:type="pct"/>
            <w:noWrap/>
            <w:vAlign w:val="center"/>
          </w:tcPr>
          <w:p w14:paraId="2074E36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64</w:t>
            </w:r>
          </w:p>
        </w:tc>
        <w:tc>
          <w:tcPr>
            <w:tcW w:w="991" w:type="pct"/>
            <w:noWrap/>
            <w:vAlign w:val="center"/>
          </w:tcPr>
          <w:p w14:paraId="3F44A2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100820.SZ</w:t>
            </w:r>
          </w:p>
        </w:tc>
        <w:tc>
          <w:tcPr>
            <w:tcW w:w="802" w:type="pct"/>
            <w:noWrap/>
            <w:vAlign w:val="center"/>
          </w:tcPr>
          <w:p w14:paraId="4729A85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0820</w:t>
            </w:r>
          </w:p>
        </w:tc>
        <w:tc>
          <w:tcPr>
            <w:tcW w:w="1140" w:type="pct"/>
            <w:noWrap/>
            <w:vAlign w:val="center"/>
          </w:tcPr>
          <w:p w14:paraId="242C158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18.3142</w:t>
            </w:r>
          </w:p>
        </w:tc>
        <w:tc>
          <w:tcPr>
            <w:tcW w:w="1672" w:type="pct"/>
            <w:noWrap/>
            <w:vAlign w:val="center"/>
          </w:tcPr>
          <w:p w14:paraId="4A43BD6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3.9469</w:t>
            </w:r>
          </w:p>
        </w:tc>
      </w:tr>
      <w:tr w:rsidR="00C02929" w14:paraId="6430D1B3" w14:textId="77777777">
        <w:trPr>
          <w:trHeight w:val="397"/>
        </w:trPr>
        <w:tc>
          <w:tcPr>
            <w:tcW w:w="395" w:type="pct"/>
            <w:noWrap/>
            <w:vAlign w:val="center"/>
          </w:tcPr>
          <w:p w14:paraId="7F77F6C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65</w:t>
            </w:r>
          </w:p>
        </w:tc>
        <w:tc>
          <w:tcPr>
            <w:tcW w:w="991" w:type="pct"/>
            <w:noWrap/>
            <w:vAlign w:val="center"/>
          </w:tcPr>
          <w:p w14:paraId="3843322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100905.SZ</w:t>
            </w:r>
          </w:p>
        </w:tc>
        <w:tc>
          <w:tcPr>
            <w:tcW w:w="802" w:type="pct"/>
            <w:noWrap/>
            <w:vAlign w:val="center"/>
          </w:tcPr>
          <w:p w14:paraId="04E7870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0905</w:t>
            </w:r>
          </w:p>
        </w:tc>
        <w:tc>
          <w:tcPr>
            <w:tcW w:w="1140" w:type="pct"/>
            <w:noWrap/>
            <w:vAlign w:val="center"/>
          </w:tcPr>
          <w:p w14:paraId="41345D0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18.7753</w:t>
            </w:r>
          </w:p>
        </w:tc>
        <w:tc>
          <w:tcPr>
            <w:tcW w:w="1672" w:type="pct"/>
            <w:noWrap/>
            <w:vAlign w:val="center"/>
          </w:tcPr>
          <w:p w14:paraId="10E2B46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4.0590</w:t>
            </w:r>
          </w:p>
        </w:tc>
      </w:tr>
      <w:tr w:rsidR="00C02929" w14:paraId="4DE82E89" w14:textId="77777777">
        <w:trPr>
          <w:trHeight w:val="397"/>
        </w:trPr>
        <w:tc>
          <w:tcPr>
            <w:tcW w:w="395" w:type="pct"/>
            <w:noWrap/>
            <w:vAlign w:val="center"/>
          </w:tcPr>
          <w:p w14:paraId="3FE9B5E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66</w:t>
            </w:r>
          </w:p>
        </w:tc>
        <w:tc>
          <w:tcPr>
            <w:tcW w:w="991" w:type="pct"/>
            <w:noWrap/>
            <w:vAlign w:val="center"/>
          </w:tcPr>
          <w:p w14:paraId="03F3BAF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100925.SZ</w:t>
            </w:r>
          </w:p>
        </w:tc>
        <w:tc>
          <w:tcPr>
            <w:tcW w:w="802" w:type="pct"/>
            <w:noWrap/>
            <w:vAlign w:val="center"/>
          </w:tcPr>
          <w:p w14:paraId="3857F54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0925</w:t>
            </w:r>
          </w:p>
        </w:tc>
        <w:tc>
          <w:tcPr>
            <w:tcW w:w="1140" w:type="pct"/>
            <w:noWrap/>
            <w:vAlign w:val="center"/>
          </w:tcPr>
          <w:p w14:paraId="2169D8C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19.2923</w:t>
            </w:r>
          </w:p>
        </w:tc>
        <w:tc>
          <w:tcPr>
            <w:tcW w:w="1672" w:type="pct"/>
            <w:noWrap/>
            <w:vAlign w:val="center"/>
          </w:tcPr>
          <w:p w14:paraId="74ADE2F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4.2223</w:t>
            </w:r>
          </w:p>
        </w:tc>
      </w:tr>
      <w:tr w:rsidR="00C02929" w14:paraId="1519F719" w14:textId="77777777">
        <w:trPr>
          <w:trHeight w:val="397"/>
        </w:trPr>
        <w:tc>
          <w:tcPr>
            <w:tcW w:w="395" w:type="pct"/>
            <w:noWrap/>
            <w:vAlign w:val="center"/>
          </w:tcPr>
          <w:p w14:paraId="5F4E28B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67</w:t>
            </w:r>
          </w:p>
        </w:tc>
        <w:tc>
          <w:tcPr>
            <w:tcW w:w="991" w:type="pct"/>
            <w:noWrap/>
            <w:vAlign w:val="center"/>
          </w:tcPr>
          <w:p w14:paraId="547BEFD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100930.SZ</w:t>
            </w:r>
          </w:p>
        </w:tc>
        <w:tc>
          <w:tcPr>
            <w:tcW w:w="802" w:type="pct"/>
            <w:noWrap/>
            <w:vAlign w:val="center"/>
          </w:tcPr>
          <w:p w14:paraId="31AD916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0930</w:t>
            </w:r>
          </w:p>
        </w:tc>
        <w:tc>
          <w:tcPr>
            <w:tcW w:w="1140" w:type="pct"/>
            <w:noWrap/>
            <w:vAlign w:val="center"/>
          </w:tcPr>
          <w:p w14:paraId="6AB0FFE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39.4180</w:t>
            </w:r>
          </w:p>
        </w:tc>
        <w:tc>
          <w:tcPr>
            <w:tcW w:w="1672" w:type="pct"/>
            <w:noWrap/>
            <w:vAlign w:val="center"/>
          </w:tcPr>
          <w:p w14:paraId="23552931"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4.3453</w:t>
            </w:r>
          </w:p>
        </w:tc>
      </w:tr>
      <w:tr w:rsidR="00C02929" w14:paraId="77D87D4E" w14:textId="77777777">
        <w:trPr>
          <w:trHeight w:val="397"/>
        </w:trPr>
        <w:tc>
          <w:tcPr>
            <w:tcW w:w="395" w:type="pct"/>
            <w:noWrap/>
            <w:vAlign w:val="center"/>
          </w:tcPr>
          <w:p w14:paraId="202939B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68</w:t>
            </w:r>
          </w:p>
        </w:tc>
        <w:tc>
          <w:tcPr>
            <w:tcW w:w="991" w:type="pct"/>
            <w:noWrap/>
            <w:vAlign w:val="center"/>
          </w:tcPr>
          <w:p w14:paraId="689743A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101003.SZ</w:t>
            </w:r>
          </w:p>
        </w:tc>
        <w:tc>
          <w:tcPr>
            <w:tcW w:w="802" w:type="pct"/>
            <w:noWrap/>
            <w:vAlign w:val="center"/>
          </w:tcPr>
          <w:p w14:paraId="0E0BE77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1003</w:t>
            </w:r>
          </w:p>
        </w:tc>
        <w:tc>
          <w:tcPr>
            <w:tcW w:w="1140" w:type="pct"/>
            <w:noWrap/>
            <w:vAlign w:val="center"/>
          </w:tcPr>
          <w:p w14:paraId="79BA983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19.6685</w:t>
            </w:r>
          </w:p>
        </w:tc>
        <w:tc>
          <w:tcPr>
            <w:tcW w:w="1672" w:type="pct"/>
            <w:noWrap/>
            <w:vAlign w:val="center"/>
          </w:tcPr>
          <w:p w14:paraId="066F533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4.1196</w:t>
            </w:r>
          </w:p>
        </w:tc>
      </w:tr>
      <w:tr w:rsidR="00C02929" w14:paraId="07B2AB72" w14:textId="77777777">
        <w:trPr>
          <w:trHeight w:val="397"/>
        </w:trPr>
        <w:tc>
          <w:tcPr>
            <w:tcW w:w="395" w:type="pct"/>
            <w:noWrap/>
            <w:vAlign w:val="center"/>
          </w:tcPr>
          <w:p w14:paraId="474C24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69</w:t>
            </w:r>
          </w:p>
        </w:tc>
        <w:tc>
          <w:tcPr>
            <w:tcW w:w="991" w:type="pct"/>
            <w:noWrap/>
            <w:vAlign w:val="center"/>
          </w:tcPr>
          <w:p w14:paraId="4F11E29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101014.SZ</w:t>
            </w:r>
          </w:p>
        </w:tc>
        <w:tc>
          <w:tcPr>
            <w:tcW w:w="802" w:type="pct"/>
            <w:noWrap/>
            <w:vAlign w:val="center"/>
          </w:tcPr>
          <w:p w14:paraId="7C2DCEC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1014</w:t>
            </w:r>
          </w:p>
        </w:tc>
        <w:tc>
          <w:tcPr>
            <w:tcW w:w="1140" w:type="pct"/>
            <w:noWrap/>
            <w:vAlign w:val="center"/>
          </w:tcPr>
          <w:p w14:paraId="0463B7E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39.8986</w:t>
            </w:r>
          </w:p>
        </w:tc>
        <w:tc>
          <w:tcPr>
            <w:tcW w:w="1672" w:type="pct"/>
            <w:noWrap/>
            <w:vAlign w:val="center"/>
          </w:tcPr>
          <w:p w14:paraId="00924D7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4.0190</w:t>
            </w:r>
          </w:p>
        </w:tc>
      </w:tr>
      <w:tr w:rsidR="00C02929" w14:paraId="1BEB2433" w14:textId="77777777">
        <w:trPr>
          <w:trHeight w:val="397"/>
        </w:trPr>
        <w:tc>
          <w:tcPr>
            <w:tcW w:w="395" w:type="pct"/>
            <w:noWrap/>
            <w:vAlign w:val="center"/>
          </w:tcPr>
          <w:p w14:paraId="6C67E66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70</w:t>
            </w:r>
          </w:p>
        </w:tc>
        <w:tc>
          <w:tcPr>
            <w:tcW w:w="991" w:type="pct"/>
            <w:noWrap/>
            <w:vAlign w:val="center"/>
          </w:tcPr>
          <w:p w14:paraId="68FE759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101018.SZ</w:t>
            </w:r>
          </w:p>
        </w:tc>
        <w:tc>
          <w:tcPr>
            <w:tcW w:w="802" w:type="pct"/>
            <w:noWrap/>
            <w:vAlign w:val="center"/>
          </w:tcPr>
          <w:p w14:paraId="04F1E94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1018</w:t>
            </w:r>
          </w:p>
        </w:tc>
        <w:tc>
          <w:tcPr>
            <w:tcW w:w="1140" w:type="pct"/>
            <w:noWrap/>
            <w:vAlign w:val="center"/>
          </w:tcPr>
          <w:p w14:paraId="4F8E8D2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19.9753</w:t>
            </w:r>
          </w:p>
        </w:tc>
        <w:tc>
          <w:tcPr>
            <w:tcW w:w="1672" w:type="pct"/>
            <w:noWrap/>
            <w:vAlign w:val="center"/>
          </w:tcPr>
          <w:p w14:paraId="2AC9D48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4.0697</w:t>
            </w:r>
          </w:p>
        </w:tc>
      </w:tr>
      <w:tr w:rsidR="00C02929" w14:paraId="08A76DA5" w14:textId="77777777">
        <w:trPr>
          <w:trHeight w:val="397"/>
        </w:trPr>
        <w:tc>
          <w:tcPr>
            <w:tcW w:w="395" w:type="pct"/>
            <w:noWrap/>
            <w:vAlign w:val="center"/>
          </w:tcPr>
          <w:p w14:paraId="26D8743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71</w:t>
            </w:r>
          </w:p>
        </w:tc>
        <w:tc>
          <w:tcPr>
            <w:tcW w:w="991" w:type="pct"/>
            <w:noWrap/>
            <w:vAlign w:val="center"/>
          </w:tcPr>
          <w:p w14:paraId="58F065C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101023.SZ</w:t>
            </w:r>
          </w:p>
        </w:tc>
        <w:tc>
          <w:tcPr>
            <w:tcW w:w="802" w:type="pct"/>
            <w:noWrap/>
            <w:vAlign w:val="center"/>
          </w:tcPr>
          <w:p w14:paraId="197E96A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1023</w:t>
            </w:r>
          </w:p>
        </w:tc>
        <w:tc>
          <w:tcPr>
            <w:tcW w:w="1140" w:type="pct"/>
            <w:noWrap/>
            <w:vAlign w:val="center"/>
          </w:tcPr>
          <w:p w14:paraId="286595E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20.0792</w:t>
            </w:r>
          </w:p>
        </w:tc>
        <w:tc>
          <w:tcPr>
            <w:tcW w:w="1672" w:type="pct"/>
            <w:noWrap/>
            <w:vAlign w:val="center"/>
          </w:tcPr>
          <w:p w14:paraId="5C356D1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3.9993</w:t>
            </w:r>
          </w:p>
        </w:tc>
      </w:tr>
      <w:tr w:rsidR="00C02929" w14:paraId="0BECE379" w14:textId="77777777">
        <w:trPr>
          <w:trHeight w:val="397"/>
        </w:trPr>
        <w:tc>
          <w:tcPr>
            <w:tcW w:w="395" w:type="pct"/>
            <w:noWrap/>
            <w:vAlign w:val="center"/>
          </w:tcPr>
          <w:p w14:paraId="1A25F55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72</w:t>
            </w:r>
          </w:p>
        </w:tc>
        <w:tc>
          <w:tcPr>
            <w:tcW w:w="991" w:type="pct"/>
            <w:noWrap/>
            <w:vAlign w:val="center"/>
          </w:tcPr>
          <w:p w14:paraId="3D41A60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101026.SZ</w:t>
            </w:r>
          </w:p>
        </w:tc>
        <w:tc>
          <w:tcPr>
            <w:tcW w:w="802" w:type="pct"/>
            <w:noWrap/>
            <w:vAlign w:val="center"/>
          </w:tcPr>
          <w:p w14:paraId="1A8B46D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1026</w:t>
            </w:r>
          </w:p>
        </w:tc>
        <w:tc>
          <w:tcPr>
            <w:tcW w:w="1140" w:type="pct"/>
            <w:noWrap/>
            <w:vAlign w:val="center"/>
          </w:tcPr>
          <w:p w14:paraId="6C28857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20.1284</w:t>
            </w:r>
          </w:p>
        </w:tc>
        <w:tc>
          <w:tcPr>
            <w:tcW w:w="1672" w:type="pct"/>
            <w:noWrap/>
            <w:vAlign w:val="center"/>
          </w:tcPr>
          <w:p w14:paraId="6994C8E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3.9992</w:t>
            </w:r>
          </w:p>
        </w:tc>
      </w:tr>
      <w:tr w:rsidR="00C02929" w14:paraId="17353582" w14:textId="77777777">
        <w:trPr>
          <w:trHeight w:val="397"/>
        </w:trPr>
        <w:tc>
          <w:tcPr>
            <w:tcW w:w="395" w:type="pct"/>
            <w:noWrap/>
            <w:vAlign w:val="center"/>
          </w:tcPr>
          <w:p w14:paraId="19DF555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73</w:t>
            </w:r>
          </w:p>
        </w:tc>
        <w:tc>
          <w:tcPr>
            <w:tcW w:w="991" w:type="pct"/>
            <w:noWrap/>
            <w:vAlign w:val="center"/>
          </w:tcPr>
          <w:p w14:paraId="27DA209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101029.SZ</w:t>
            </w:r>
          </w:p>
        </w:tc>
        <w:tc>
          <w:tcPr>
            <w:tcW w:w="802" w:type="pct"/>
            <w:noWrap/>
            <w:vAlign w:val="center"/>
          </w:tcPr>
          <w:p w14:paraId="7621BC0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1029</w:t>
            </w:r>
          </w:p>
        </w:tc>
        <w:tc>
          <w:tcPr>
            <w:tcW w:w="1140" w:type="pct"/>
            <w:noWrap/>
            <w:vAlign w:val="center"/>
          </w:tcPr>
          <w:p w14:paraId="0736B9E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10.1749</w:t>
            </w:r>
          </w:p>
        </w:tc>
        <w:tc>
          <w:tcPr>
            <w:tcW w:w="1672" w:type="pct"/>
            <w:noWrap/>
            <w:vAlign w:val="center"/>
          </w:tcPr>
          <w:p w14:paraId="59867B4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3.8534</w:t>
            </w:r>
          </w:p>
        </w:tc>
      </w:tr>
      <w:tr w:rsidR="00C02929" w14:paraId="2FE825D0" w14:textId="77777777">
        <w:trPr>
          <w:trHeight w:val="397"/>
        </w:trPr>
        <w:tc>
          <w:tcPr>
            <w:tcW w:w="395" w:type="pct"/>
            <w:noWrap/>
            <w:vAlign w:val="center"/>
          </w:tcPr>
          <w:p w14:paraId="6F526B5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74</w:t>
            </w:r>
          </w:p>
        </w:tc>
        <w:tc>
          <w:tcPr>
            <w:tcW w:w="991" w:type="pct"/>
            <w:noWrap/>
            <w:vAlign w:val="center"/>
          </w:tcPr>
          <w:p w14:paraId="47ED659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101037.SZ</w:t>
            </w:r>
          </w:p>
        </w:tc>
        <w:tc>
          <w:tcPr>
            <w:tcW w:w="802" w:type="pct"/>
            <w:noWrap/>
            <w:vAlign w:val="center"/>
          </w:tcPr>
          <w:p w14:paraId="795E278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1037</w:t>
            </w:r>
          </w:p>
        </w:tc>
        <w:tc>
          <w:tcPr>
            <w:tcW w:w="1140" w:type="pct"/>
            <w:noWrap/>
            <w:vAlign w:val="center"/>
          </w:tcPr>
          <w:p w14:paraId="2C1FDE5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40.3852</w:t>
            </w:r>
          </w:p>
        </w:tc>
        <w:tc>
          <w:tcPr>
            <w:tcW w:w="1672" w:type="pct"/>
            <w:noWrap/>
            <w:vAlign w:val="center"/>
          </w:tcPr>
          <w:p w14:paraId="5DA2216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4.4473</w:t>
            </w:r>
          </w:p>
        </w:tc>
      </w:tr>
      <w:tr w:rsidR="00C02929" w14:paraId="7CC881CF" w14:textId="77777777">
        <w:trPr>
          <w:trHeight w:val="397"/>
        </w:trPr>
        <w:tc>
          <w:tcPr>
            <w:tcW w:w="395" w:type="pct"/>
            <w:noWrap/>
            <w:vAlign w:val="center"/>
          </w:tcPr>
          <w:p w14:paraId="77FF7BA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75</w:t>
            </w:r>
          </w:p>
        </w:tc>
        <w:tc>
          <w:tcPr>
            <w:tcW w:w="991" w:type="pct"/>
            <w:noWrap/>
            <w:vAlign w:val="center"/>
          </w:tcPr>
          <w:p w14:paraId="1F37560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101040.SZ</w:t>
            </w:r>
          </w:p>
        </w:tc>
        <w:tc>
          <w:tcPr>
            <w:tcW w:w="802" w:type="pct"/>
            <w:noWrap/>
            <w:vAlign w:val="center"/>
          </w:tcPr>
          <w:p w14:paraId="28EC831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1040</w:t>
            </w:r>
          </w:p>
        </w:tc>
        <w:tc>
          <w:tcPr>
            <w:tcW w:w="1140" w:type="pct"/>
            <w:noWrap/>
            <w:vAlign w:val="center"/>
          </w:tcPr>
          <w:p w14:paraId="146DF1C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20.4426</w:t>
            </w:r>
          </w:p>
        </w:tc>
        <w:tc>
          <w:tcPr>
            <w:tcW w:w="1672" w:type="pct"/>
            <w:noWrap/>
            <w:vAlign w:val="center"/>
          </w:tcPr>
          <w:p w14:paraId="58E24D9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4.2736</w:t>
            </w:r>
          </w:p>
        </w:tc>
      </w:tr>
      <w:tr w:rsidR="00C02929" w14:paraId="1E9EB8D2" w14:textId="77777777">
        <w:trPr>
          <w:trHeight w:val="397"/>
        </w:trPr>
        <w:tc>
          <w:tcPr>
            <w:tcW w:w="395" w:type="pct"/>
            <w:noWrap/>
            <w:vAlign w:val="center"/>
          </w:tcPr>
          <w:p w14:paraId="3328D31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76</w:t>
            </w:r>
          </w:p>
        </w:tc>
        <w:tc>
          <w:tcPr>
            <w:tcW w:w="991" w:type="pct"/>
            <w:noWrap/>
            <w:vAlign w:val="center"/>
          </w:tcPr>
          <w:p w14:paraId="4037F58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101105.SZ</w:t>
            </w:r>
          </w:p>
        </w:tc>
        <w:tc>
          <w:tcPr>
            <w:tcW w:w="802" w:type="pct"/>
            <w:noWrap/>
            <w:vAlign w:val="center"/>
          </w:tcPr>
          <w:p w14:paraId="3DD3D8E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1105</w:t>
            </w:r>
          </w:p>
        </w:tc>
        <w:tc>
          <w:tcPr>
            <w:tcW w:w="1140" w:type="pct"/>
            <w:noWrap/>
            <w:vAlign w:val="center"/>
          </w:tcPr>
          <w:p w14:paraId="0335A02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20.6530</w:t>
            </w:r>
          </w:p>
        </w:tc>
        <w:tc>
          <w:tcPr>
            <w:tcW w:w="1672" w:type="pct"/>
            <w:noWrap/>
            <w:vAlign w:val="center"/>
          </w:tcPr>
          <w:p w14:paraId="3B4D46B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4.3563</w:t>
            </w:r>
          </w:p>
        </w:tc>
      </w:tr>
      <w:tr w:rsidR="00C02929" w14:paraId="4DEE89CC" w14:textId="77777777">
        <w:trPr>
          <w:trHeight w:val="397"/>
        </w:trPr>
        <w:tc>
          <w:tcPr>
            <w:tcW w:w="395" w:type="pct"/>
            <w:noWrap/>
            <w:vAlign w:val="center"/>
          </w:tcPr>
          <w:p w14:paraId="4A250EB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77</w:t>
            </w:r>
          </w:p>
        </w:tc>
        <w:tc>
          <w:tcPr>
            <w:tcW w:w="991" w:type="pct"/>
            <w:noWrap/>
            <w:vAlign w:val="center"/>
          </w:tcPr>
          <w:p w14:paraId="0AB1F4F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101110.SZ</w:t>
            </w:r>
          </w:p>
        </w:tc>
        <w:tc>
          <w:tcPr>
            <w:tcW w:w="802" w:type="pct"/>
            <w:noWrap/>
            <w:vAlign w:val="center"/>
          </w:tcPr>
          <w:p w14:paraId="681099C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1110</w:t>
            </w:r>
          </w:p>
        </w:tc>
        <w:tc>
          <w:tcPr>
            <w:tcW w:w="1140" w:type="pct"/>
            <w:noWrap/>
            <w:vAlign w:val="center"/>
          </w:tcPr>
          <w:p w14:paraId="5FE92C0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10.8274</w:t>
            </w:r>
          </w:p>
        </w:tc>
        <w:tc>
          <w:tcPr>
            <w:tcW w:w="1672" w:type="pct"/>
            <w:noWrap/>
            <w:vAlign w:val="center"/>
          </w:tcPr>
          <w:p w14:paraId="0F4B119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4.1909</w:t>
            </w:r>
          </w:p>
        </w:tc>
      </w:tr>
      <w:tr w:rsidR="00C02929" w14:paraId="40CAF4E4" w14:textId="77777777">
        <w:trPr>
          <w:trHeight w:val="397"/>
        </w:trPr>
        <w:tc>
          <w:tcPr>
            <w:tcW w:w="395" w:type="pct"/>
            <w:noWrap/>
            <w:vAlign w:val="center"/>
          </w:tcPr>
          <w:p w14:paraId="53293CF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78</w:t>
            </w:r>
          </w:p>
        </w:tc>
        <w:tc>
          <w:tcPr>
            <w:tcW w:w="991" w:type="pct"/>
            <w:noWrap/>
            <w:vAlign w:val="center"/>
          </w:tcPr>
          <w:p w14:paraId="7013974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101112.SZ</w:t>
            </w:r>
          </w:p>
        </w:tc>
        <w:tc>
          <w:tcPr>
            <w:tcW w:w="802" w:type="pct"/>
            <w:noWrap/>
            <w:vAlign w:val="center"/>
          </w:tcPr>
          <w:p w14:paraId="3A9E912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1112</w:t>
            </w:r>
          </w:p>
        </w:tc>
        <w:tc>
          <w:tcPr>
            <w:tcW w:w="1140" w:type="pct"/>
            <w:noWrap/>
            <w:vAlign w:val="center"/>
          </w:tcPr>
          <w:p w14:paraId="703428D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40.9041</w:t>
            </w:r>
          </w:p>
        </w:tc>
        <w:tc>
          <w:tcPr>
            <w:tcW w:w="1672" w:type="pct"/>
            <w:noWrap/>
            <w:vAlign w:val="center"/>
          </w:tcPr>
          <w:p w14:paraId="1C1084F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4.5292</w:t>
            </w:r>
          </w:p>
        </w:tc>
      </w:tr>
      <w:tr w:rsidR="00C02929" w14:paraId="7DD257E6" w14:textId="77777777">
        <w:trPr>
          <w:trHeight w:val="397"/>
        </w:trPr>
        <w:tc>
          <w:tcPr>
            <w:tcW w:w="395" w:type="pct"/>
            <w:noWrap/>
            <w:vAlign w:val="center"/>
          </w:tcPr>
          <w:p w14:paraId="4521A8E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79</w:t>
            </w:r>
          </w:p>
        </w:tc>
        <w:tc>
          <w:tcPr>
            <w:tcW w:w="991" w:type="pct"/>
            <w:noWrap/>
            <w:vAlign w:val="center"/>
          </w:tcPr>
          <w:p w14:paraId="3759196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101116.SZ</w:t>
            </w:r>
          </w:p>
        </w:tc>
        <w:tc>
          <w:tcPr>
            <w:tcW w:w="802" w:type="pct"/>
            <w:noWrap/>
            <w:vAlign w:val="center"/>
          </w:tcPr>
          <w:p w14:paraId="703077C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1116</w:t>
            </w:r>
          </w:p>
        </w:tc>
        <w:tc>
          <w:tcPr>
            <w:tcW w:w="1140" w:type="pct"/>
            <w:noWrap/>
            <w:vAlign w:val="center"/>
          </w:tcPr>
          <w:p w14:paraId="0E710F8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20.9808</w:t>
            </w:r>
          </w:p>
        </w:tc>
        <w:tc>
          <w:tcPr>
            <w:tcW w:w="1672" w:type="pct"/>
            <w:noWrap/>
            <w:vAlign w:val="center"/>
          </w:tcPr>
          <w:p w14:paraId="226E557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4.5496</w:t>
            </w:r>
          </w:p>
        </w:tc>
      </w:tr>
      <w:tr w:rsidR="00C02929" w14:paraId="33844D2E" w14:textId="77777777">
        <w:trPr>
          <w:trHeight w:val="397"/>
        </w:trPr>
        <w:tc>
          <w:tcPr>
            <w:tcW w:w="395" w:type="pct"/>
            <w:noWrap/>
            <w:vAlign w:val="center"/>
          </w:tcPr>
          <w:p w14:paraId="09831B4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80</w:t>
            </w:r>
          </w:p>
        </w:tc>
        <w:tc>
          <w:tcPr>
            <w:tcW w:w="991" w:type="pct"/>
            <w:noWrap/>
            <w:vAlign w:val="center"/>
          </w:tcPr>
          <w:p w14:paraId="05BB1F7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101123.SZ</w:t>
            </w:r>
          </w:p>
        </w:tc>
        <w:tc>
          <w:tcPr>
            <w:tcW w:w="802" w:type="pct"/>
            <w:noWrap/>
            <w:vAlign w:val="center"/>
          </w:tcPr>
          <w:p w14:paraId="76B3889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1123</w:t>
            </w:r>
          </w:p>
        </w:tc>
        <w:tc>
          <w:tcPr>
            <w:tcW w:w="1140" w:type="pct"/>
            <w:noWrap/>
            <w:vAlign w:val="center"/>
          </w:tcPr>
          <w:p w14:paraId="608C4A6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41.3634</w:t>
            </w:r>
          </w:p>
        </w:tc>
        <w:tc>
          <w:tcPr>
            <w:tcW w:w="1672" w:type="pct"/>
            <w:noWrap/>
            <w:vAlign w:val="center"/>
          </w:tcPr>
          <w:p w14:paraId="010EE56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4.3757</w:t>
            </w:r>
          </w:p>
        </w:tc>
      </w:tr>
      <w:tr w:rsidR="00C02929" w14:paraId="35D4409F" w14:textId="77777777">
        <w:trPr>
          <w:trHeight w:val="397"/>
        </w:trPr>
        <w:tc>
          <w:tcPr>
            <w:tcW w:w="395" w:type="pct"/>
            <w:noWrap/>
            <w:vAlign w:val="center"/>
          </w:tcPr>
          <w:p w14:paraId="7591BB9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81</w:t>
            </w:r>
          </w:p>
        </w:tc>
        <w:tc>
          <w:tcPr>
            <w:tcW w:w="991" w:type="pct"/>
            <w:noWrap/>
            <w:vAlign w:val="center"/>
          </w:tcPr>
          <w:p w14:paraId="72D6B26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101206.SZ</w:t>
            </w:r>
          </w:p>
        </w:tc>
        <w:tc>
          <w:tcPr>
            <w:tcW w:w="802" w:type="pct"/>
            <w:noWrap/>
            <w:vAlign w:val="center"/>
          </w:tcPr>
          <w:p w14:paraId="318755D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1206</w:t>
            </w:r>
          </w:p>
        </w:tc>
        <w:tc>
          <w:tcPr>
            <w:tcW w:w="1140" w:type="pct"/>
            <w:noWrap/>
            <w:vAlign w:val="center"/>
          </w:tcPr>
          <w:p w14:paraId="2FF5D28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11.8137</w:t>
            </w:r>
          </w:p>
        </w:tc>
        <w:tc>
          <w:tcPr>
            <w:tcW w:w="1672" w:type="pct"/>
            <w:noWrap/>
            <w:vAlign w:val="center"/>
          </w:tcPr>
          <w:p w14:paraId="049A7DA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4.0687</w:t>
            </w:r>
          </w:p>
        </w:tc>
      </w:tr>
      <w:tr w:rsidR="00C02929" w14:paraId="030C5358" w14:textId="77777777">
        <w:trPr>
          <w:trHeight w:val="397"/>
        </w:trPr>
        <w:tc>
          <w:tcPr>
            <w:tcW w:w="395" w:type="pct"/>
            <w:noWrap/>
            <w:vAlign w:val="center"/>
          </w:tcPr>
          <w:p w14:paraId="2ABFE76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82</w:t>
            </w:r>
          </w:p>
        </w:tc>
        <w:tc>
          <w:tcPr>
            <w:tcW w:w="991" w:type="pct"/>
            <w:noWrap/>
            <w:vAlign w:val="center"/>
          </w:tcPr>
          <w:p w14:paraId="1F1C695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101208.SZ</w:t>
            </w:r>
          </w:p>
        </w:tc>
        <w:tc>
          <w:tcPr>
            <w:tcW w:w="802" w:type="pct"/>
            <w:noWrap/>
            <w:vAlign w:val="center"/>
          </w:tcPr>
          <w:p w14:paraId="200277D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1208</w:t>
            </w:r>
          </w:p>
        </w:tc>
        <w:tc>
          <w:tcPr>
            <w:tcW w:w="1140" w:type="pct"/>
            <w:noWrap/>
            <w:vAlign w:val="center"/>
          </w:tcPr>
          <w:p w14:paraId="19BD2EC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41.8795</w:t>
            </w:r>
          </w:p>
        </w:tc>
        <w:tc>
          <w:tcPr>
            <w:tcW w:w="1672" w:type="pct"/>
            <w:noWrap/>
            <w:vAlign w:val="center"/>
          </w:tcPr>
          <w:p w14:paraId="09B86BC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4.2941</w:t>
            </w:r>
          </w:p>
        </w:tc>
      </w:tr>
      <w:tr w:rsidR="00C02929" w14:paraId="5CFF17CA" w14:textId="77777777">
        <w:trPr>
          <w:trHeight w:val="397"/>
        </w:trPr>
        <w:tc>
          <w:tcPr>
            <w:tcW w:w="395" w:type="pct"/>
            <w:noWrap/>
            <w:vAlign w:val="center"/>
          </w:tcPr>
          <w:p w14:paraId="0AE60F7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83</w:t>
            </w:r>
          </w:p>
        </w:tc>
        <w:tc>
          <w:tcPr>
            <w:tcW w:w="991" w:type="pct"/>
            <w:noWrap/>
            <w:vAlign w:val="center"/>
          </w:tcPr>
          <w:p w14:paraId="36EC206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101212.SZ</w:t>
            </w:r>
          </w:p>
        </w:tc>
        <w:tc>
          <w:tcPr>
            <w:tcW w:w="802" w:type="pct"/>
            <w:noWrap/>
            <w:vAlign w:val="center"/>
          </w:tcPr>
          <w:p w14:paraId="1BA4B80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1212</w:t>
            </w:r>
          </w:p>
        </w:tc>
        <w:tc>
          <w:tcPr>
            <w:tcW w:w="1140" w:type="pct"/>
            <w:noWrap/>
            <w:vAlign w:val="center"/>
          </w:tcPr>
          <w:p w14:paraId="193599B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21.9945</w:t>
            </w:r>
          </w:p>
        </w:tc>
        <w:tc>
          <w:tcPr>
            <w:tcW w:w="1672" w:type="pct"/>
            <w:noWrap/>
            <w:vAlign w:val="center"/>
          </w:tcPr>
          <w:p w14:paraId="38562CB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4.1106</w:t>
            </w:r>
          </w:p>
        </w:tc>
      </w:tr>
      <w:tr w:rsidR="00C02929" w14:paraId="6512A5C4" w14:textId="77777777">
        <w:trPr>
          <w:trHeight w:val="397"/>
        </w:trPr>
        <w:tc>
          <w:tcPr>
            <w:tcW w:w="395" w:type="pct"/>
            <w:noWrap/>
            <w:vAlign w:val="center"/>
          </w:tcPr>
          <w:p w14:paraId="4140850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84</w:t>
            </w:r>
          </w:p>
        </w:tc>
        <w:tc>
          <w:tcPr>
            <w:tcW w:w="991" w:type="pct"/>
            <w:noWrap/>
            <w:vAlign w:val="center"/>
          </w:tcPr>
          <w:p w14:paraId="633B9BC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101213.SZ</w:t>
            </w:r>
          </w:p>
        </w:tc>
        <w:tc>
          <w:tcPr>
            <w:tcW w:w="802" w:type="pct"/>
            <w:noWrap/>
            <w:vAlign w:val="center"/>
          </w:tcPr>
          <w:p w14:paraId="00D328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1213</w:t>
            </w:r>
          </w:p>
        </w:tc>
        <w:tc>
          <w:tcPr>
            <w:tcW w:w="1140" w:type="pct"/>
            <w:noWrap/>
            <w:vAlign w:val="center"/>
          </w:tcPr>
          <w:p w14:paraId="3FD443E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22.0902</w:t>
            </w:r>
          </w:p>
        </w:tc>
        <w:tc>
          <w:tcPr>
            <w:tcW w:w="1672" w:type="pct"/>
            <w:noWrap/>
            <w:vAlign w:val="center"/>
          </w:tcPr>
          <w:p w14:paraId="4D3E2B5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4.1625</w:t>
            </w:r>
          </w:p>
        </w:tc>
      </w:tr>
      <w:tr w:rsidR="00C02929" w14:paraId="2CE89DC8" w14:textId="77777777">
        <w:trPr>
          <w:trHeight w:val="397"/>
        </w:trPr>
        <w:tc>
          <w:tcPr>
            <w:tcW w:w="395" w:type="pct"/>
            <w:noWrap/>
            <w:vAlign w:val="center"/>
          </w:tcPr>
          <w:p w14:paraId="176E2A4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85</w:t>
            </w:r>
          </w:p>
        </w:tc>
        <w:tc>
          <w:tcPr>
            <w:tcW w:w="991" w:type="pct"/>
            <w:noWrap/>
            <w:vAlign w:val="center"/>
          </w:tcPr>
          <w:p w14:paraId="7858594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101218.SZ</w:t>
            </w:r>
          </w:p>
        </w:tc>
        <w:tc>
          <w:tcPr>
            <w:tcW w:w="802" w:type="pct"/>
            <w:noWrap/>
            <w:vAlign w:val="center"/>
          </w:tcPr>
          <w:p w14:paraId="7065EC2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1218</w:t>
            </w:r>
          </w:p>
        </w:tc>
        <w:tc>
          <w:tcPr>
            <w:tcW w:w="1140" w:type="pct"/>
            <w:noWrap/>
            <w:vAlign w:val="center"/>
          </w:tcPr>
          <w:p w14:paraId="1122966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12.2432</w:t>
            </w:r>
          </w:p>
        </w:tc>
        <w:tc>
          <w:tcPr>
            <w:tcW w:w="1672" w:type="pct"/>
            <w:noWrap/>
            <w:vAlign w:val="center"/>
          </w:tcPr>
          <w:p w14:paraId="76F194D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4.1394</w:t>
            </w:r>
          </w:p>
        </w:tc>
      </w:tr>
      <w:tr w:rsidR="00C02929" w14:paraId="31DEF8ED" w14:textId="77777777">
        <w:trPr>
          <w:trHeight w:val="397"/>
        </w:trPr>
        <w:tc>
          <w:tcPr>
            <w:tcW w:w="395" w:type="pct"/>
            <w:noWrap/>
            <w:vAlign w:val="center"/>
          </w:tcPr>
          <w:p w14:paraId="72F9BDD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86</w:t>
            </w:r>
          </w:p>
        </w:tc>
        <w:tc>
          <w:tcPr>
            <w:tcW w:w="991" w:type="pct"/>
            <w:noWrap/>
            <w:vAlign w:val="center"/>
          </w:tcPr>
          <w:p w14:paraId="71F41C0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101220.SZ</w:t>
            </w:r>
          </w:p>
        </w:tc>
        <w:tc>
          <w:tcPr>
            <w:tcW w:w="802" w:type="pct"/>
            <w:noWrap/>
            <w:vAlign w:val="center"/>
          </w:tcPr>
          <w:p w14:paraId="3CE3DA0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1220</w:t>
            </w:r>
          </w:p>
        </w:tc>
        <w:tc>
          <w:tcPr>
            <w:tcW w:w="1140" w:type="pct"/>
            <w:noWrap/>
            <w:vAlign w:val="center"/>
          </w:tcPr>
          <w:p w14:paraId="0C306C9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42.3770</w:t>
            </w:r>
          </w:p>
        </w:tc>
        <w:tc>
          <w:tcPr>
            <w:tcW w:w="1672" w:type="pct"/>
            <w:noWrap/>
            <w:vAlign w:val="center"/>
          </w:tcPr>
          <w:p w14:paraId="38C327E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4.3962</w:t>
            </w:r>
          </w:p>
        </w:tc>
      </w:tr>
      <w:tr w:rsidR="00C02929" w14:paraId="595C9299" w14:textId="77777777">
        <w:trPr>
          <w:trHeight w:val="397"/>
        </w:trPr>
        <w:tc>
          <w:tcPr>
            <w:tcW w:w="395" w:type="pct"/>
            <w:noWrap/>
            <w:vAlign w:val="center"/>
          </w:tcPr>
          <w:p w14:paraId="5200696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87</w:t>
            </w:r>
          </w:p>
        </w:tc>
        <w:tc>
          <w:tcPr>
            <w:tcW w:w="991" w:type="pct"/>
            <w:noWrap/>
            <w:vAlign w:val="center"/>
          </w:tcPr>
          <w:p w14:paraId="74D93F7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101309.SZ</w:t>
            </w:r>
          </w:p>
        </w:tc>
        <w:tc>
          <w:tcPr>
            <w:tcW w:w="802" w:type="pct"/>
            <w:noWrap/>
            <w:vAlign w:val="center"/>
          </w:tcPr>
          <w:p w14:paraId="4D64429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1309</w:t>
            </w:r>
          </w:p>
        </w:tc>
        <w:tc>
          <w:tcPr>
            <w:tcW w:w="1140" w:type="pct"/>
            <w:noWrap/>
            <w:vAlign w:val="center"/>
          </w:tcPr>
          <w:p w14:paraId="1A5AB79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12.8110</w:t>
            </w:r>
          </w:p>
        </w:tc>
        <w:tc>
          <w:tcPr>
            <w:tcW w:w="1672" w:type="pct"/>
            <w:noWrap/>
            <w:vAlign w:val="center"/>
          </w:tcPr>
          <w:p w14:paraId="254168C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4.0280</w:t>
            </w:r>
          </w:p>
        </w:tc>
      </w:tr>
      <w:tr w:rsidR="00C02929" w14:paraId="17FDAEA7" w14:textId="77777777">
        <w:trPr>
          <w:trHeight w:val="397"/>
        </w:trPr>
        <w:tc>
          <w:tcPr>
            <w:tcW w:w="395" w:type="pct"/>
            <w:noWrap/>
            <w:vAlign w:val="center"/>
          </w:tcPr>
          <w:p w14:paraId="4F70D34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88</w:t>
            </w:r>
          </w:p>
        </w:tc>
        <w:tc>
          <w:tcPr>
            <w:tcW w:w="991" w:type="pct"/>
            <w:noWrap/>
            <w:vAlign w:val="center"/>
          </w:tcPr>
          <w:p w14:paraId="3666CAA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101310.SZ</w:t>
            </w:r>
          </w:p>
        </w:tc>
        <w:tc>
          <w:tcPr>
            <w:tcW w:w="802" w:type="pct"/>
            <w:noWrap/>
            <w:vAlign w:val="center"/>
          </w:tcPr>
          <w:p w14:paraId="207A0DF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1310</w:t>
            </w:r>
          </w:p>
        </w:tc>
        <w:tc>
          <w:tcPr>
            <w:tcW w:w="1140" w:type="pct"/>
            <w:noWrap/>
            <w:vAlign w:val="center"/>
          </w:tcPr>
          <w:p w14:paraId="057587C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42.8877</w:t>
            </w:r>
          </w:p>
        </w:tc>
        <w:tc>
          <w:tcPr>
            <w:tcW w:w="1672" w:type="pct"/>
            <w:noWrap/>
            <w:vAlign w:val="center"/>
          </w:tcPr>
          <w:p w14:paraId="08E6C41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4.2839</w:t>
            </w:r>
          </w:p>
        </w:tc>
      </w:tr>
      <w:tr w:rsidR="00C02929" w14:paraId="0744DD19" w14:textId="77777777">
        <w:trPr>
          <w:trHeight w:val="397"/>
        </w:trPr>
        <w:tc>
          <w:tcPr>
            <w:tcW w:w="395" w:type="pct"/>
            <w:noWrap/>
            <w:vAlign w:val="center"/>
          </w:tcPr>
          <w:p w14:paraId="7A21FFA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89</w:t>
            </w:r>
          </w:p>
        </w:tc>
        <w:tc>
          <w:tcPr>
            <w:tcW w:w="991" w:type="pct"/>
            <w:noWrap/>
            <w:vAlign w:val="center"/>
          </w:tcPr>
          <w:p w14:paraId="0559925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101316.SZ</w:t>
            </w:r>
          </w:p>
        </w:tc>
        <w:tc>
          <w:tcPr>
            <w:tcW w:w="802" w:type="pct"/>
            <w:noWrap/>
            <w:vAlign w:val="center"/>
          </w:tcPr>
          <w:p w14:paraId="58500A5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1316</w:t>
            </w:r>
          </w:p>
        </w:tc>
        <w:tc>
          <w:tcPr>
            <w:tcW w:w="1140" w:type="pct"/>
            <w:noWrap/>
            <w:vAlign w:val="center"/>
          </w:tcPr>
          <w:p w14:paraId="11AA8E2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13.1175</w:t>
            </w:r>
          </w:p>
        </w:tc>
        <w:tc>
          <w:tcPr>
            <w:tcW w:w="1672" w:type="pct"/>
            <w:noWrap/>
            <w:vAlign w:val="center"/>
          </w:tcPr>
          <w:p w14:paraId="571CCF2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4.3667</w:t>
            </w:r>
          </w:p>
        </w:tc>
      </w:tr>
      <w:tr w:rsidR="00C02929" w14:paraId="7EF144EB" w14:textId="77777777">
        <w:trPr>
          <w:trHeight w:val="397"/>
        </w:trPr>
        <w:tc>
          <w:tcPr>
            <w:tcW w:w="395" w:type="pct"/>
            <w:noWrap/>
            <w:vAlign w:val="center"/>
          </w:tcPr>
          <w:p w14:paraId="77E2C33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90</w:t>
            </w:r>
          </w:p>
        </w:tc>
        <w:tc>
          <w:tcPr>
            <w:tcW w:w="991" w:type="pct"/>
            <w:noWrap/>
            <w:vAlign w:val="center"/>
          </w:tcPr>
          <w:p w14:paraId="5167616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101319.SZ</w:t>
            </w:r>
          </w:p>
        </w:tc>
        <w:tc>
          <w:tcPr>
            <w:tcW w:w="802" w:type="pct"/>
            <w:noWrap/>
            <w:vAlign w:val="center"/>
          </w:tcPr>
          <w:p w14:paraId="0611940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1319</w:t>
            </w:r>
          </w:p>
        </w:tc>
        <w:tc>
          <w:tcPr>
            <w:tcW w:w="1140" w:type="pct"/>
            <w:noWrap/>
            <w:vAlign w:val="center"/>
          </w:tcPr>
          <w:p w14:paraId="6B67921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23.2131</w:t>
            </w:r>
          </w:p>
        </w:tc>
        <w:tc>
          <w:tcPr>
            <w:tcW w:w="1672" w:type="pct"/>
            <w:noWrap/>
            <w:vAlign w:val="center"/>
          </w:tcPr>
          <w:p w14:paraId="7F5BC71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4.8144</w:t>
            </w:r>
          </w:p>
        </w:tc>
      </w:tr>
      <w:tr w:rsidR="00C02929" w14:paraId="29445CD0" w14:textId="77777777">
        <w:trPr>
          <w:trHeight w:val="397"/>
        </w:trPr>
        <w:tc>
          <w:tcPr>
            <w:tcW w:w="395" w:type="pct"/>
            <w:noWrap/>
            <w:vAlign w:val="center"/>
          </w:tcPr>
          <w:p w14:paraId="08EDF8E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91</w:t>
            </w:r>
          </w:p>
        </w:tc>
        <w:tc>
          <w:tcPr>
            <w:tcW w:w="991" w:type="pct"/>
            <w:noWrap/>
            <w:vAlign w:val="center"/>
          </w:tcPr>
          <w:p w14:paraId="2C72E12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101324.SZ</w:t>
            </w:r>
          </w:p>
        </w:tc>
        <w:tc>
          <w:tcPr>
            <w:tcW w:w="802" w:type="pct"/>
            <w:noWrap/>
            <w:vAlign w:val="center"/>
          </w:tcPr>
          <w:p w14:paraId="4E338AB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1324</w:t>
            </w:r>
          </w:p>
        </w:tc>
        <w:tc>
          <w:tcPr>
            <w:tcW w:w="1140" w:type="pct"/>
            <w:noWrap/>
            <w:vAlign w:val="center"/>
          </w:tcPr>
          <w:p w14:paraId="2A5CDB7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43.3852</w:t>
            </w:r>
          </w:p>
        </w:tc>
        <w:tc>
          <w:tcPr>
            <w:tcW w:w="1672" w:type="pct"/>
            <w:noWrap/>
            <w:vAlign w:val="center"/>
          </w:tcPr>
          <w:p w14:paraId="475BD69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5.3790</w:t>
            </w:r>
          </w:p>
        </w:tc>
      </w:tr>
      <w:tr w:rsidR="00C02929" w14:paraId="2CD0C84B" w14:textId="77777777">
        <w:trPr>
          <w:trHeight w:val="397"/>
        </w:trPr>
        <w:tc>
          <w:tcPr>
            <w:tcW w:w="395" w:type="pct"/>
            <w:noWrap/>
            <w:vAlign w:val="center"/>
          </w:tcPr>
          <w:p w14:paraId="3EA9580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92</w:t>
            </w:r>
          </w:p>
        </w:tc>
        <w:tc>
          <w:tcPr>
            <w:tcW w:w="991" w:type="pct"/>
            <w:noWrap/>
            <w:vAlign w:val="center"/>
          </w:tcPr>
          <w:p w14:paraId="01A1D9E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101325.SZ</w:t>
            </w:r>
          </w:p>
        </w:tc>
        <w:tc>
          <w:tcPr>
            <w:tcW w:w="802" w:type="pct"/>
            <w:noWrap/>
            <w:vAlign w:val="center"/>
          </w:tcPr>
          <w:p w14:paraId="393268D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1325</w:t>
            </w:r>
          </w:p>
        </w:tc>
        <w:tc>
          <w:tcPr>
            <w:tcW w:w="1140" w:type="pct"/>
            <w:noWrap/>
            <w:vAlign w:val="center"/>
          </w:tcPr>
          <w:p w14:paraId="5DEBB5E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23.4426</w:t>
            </w:r>
          </w:p>
        </w:tc>
        <w:tc>
          <w:tcPr>
            <w:tcW w:w="1672" w:type="pct"/>
            <w:noWrap/>
            <w:vAlign w:val="center"/>
          </w:tcPr>
          <w:p w14:paraId="36AD2E2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5.1124</w:t>
            </w:r>
          </w:p>
        </w:tc>
      </w:tr>
      <w:tr w:rsidR="00C02929" w14:paraId="50E156EB" w14:textId="77777777">
        <w:trPr>
          <w:trHeight w:val="397"/>
        </w:trPr>
        <w:tc>
          <w:tcPr>
            <w:tcW w:w="395" w:type="pct"/>
            <w:noWrap/>
            <w:vAlign w:val="center"/>
          </w:tcPr>
          <w:p w14:paraId="60A0A03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93</w:t>
            </w:r>
          </w:p>
        </w:tc>
        <w:tc>
          <w:tcPr>
            <w:tcW w:w="991" w:type="pct"/>
            <w:noWrap/>
            <w:vAlign w:val="center"/>
          </w:tcPr>
          <w:p w14:paraId="0D2F35F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101409.SZ</w:t>
            </w:r>
          </w:p>
        </w:tc>
        <w:tc>
          <w:tcPr>
            <w:tcW w:w="802" w:type="pct"/>
            <w:noWrap/>
            <w:vAlign w:val="center"/>
          </w:tcPr>
          <w:p w14:paraId="6735683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1409</w:t>
            </w:r>
          </w:p>
        </w:tc>
        <w:tc>
          <w:tcPr>
            <w:tcW w:w="1140" w:type="pct"/>
            <w:noWrap/>
            <w:vAlign w:val="center"/>
          </w:tcPr>
          <w:p w14:paraId="06EB137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13.8274</w:t>
            </w:r>
          </w:p>
        </w:tc>
        <w:tc>
          <w:tcPr>
            <w:tcW w:w="1672" w:type="pct"/>
            <w:noWrap/>
            <w:vAlign w:val="center"/>
          </w:tcPr>
          <w:p w14:paraId="03578DA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4.8246</w:t>
            </w:r>
          </w:p>
        </w:tc>
      </w:tr>
      <w:tr w:rsidR="00C02929" w14:paraId="05A9D4D2" w14:textId="77777777">
        <w:trPr>
          <w:trHeight w:val="397"/>
        </w:trPr>
        <w:tc>
          <w:tcPr>
            <w:tcW w:w="395" w:type="pct"/>
            <w:noWrap/>
            <w:vAlign w:val="center"/>
          </w:tcPr>
          <w:p w14:paraId="6FD051C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94</w:t>
            </w:r>
          </w:p>
        </w:tc>
        <w:tc>
          <w:tcPr>
            <w:tcW w:w="991" w:type="pct"/>
            <w:noWrap/>
            <w:vAlign w:val="center"/>
          </w:tcPr>
          <w:p w14:paraId="25DD57E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101410.SZ</w:t>
            </w:r>
          </w:p>
        </w:tc>
        <w:tc>
          <w:tcPr>
            <w:tcW w:w="802" w:type="pct"/>
            <w:noWrap/>
            <w:vAlign w:val="center"/>
          </w:tcPr>
          <w:p w14:paraId="3781AC8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1410</w:t>
            </w:r>
          </w:p>
        </w:tc>
        <w:tc>
          <w:tcPr>
            <w:tcW w:w="1140" w:type="pct"/>
            <w:noWrap/>
            <w:vAlign w:val="center"/>
          </w:tcPr>
          <w:p w14:paraId="04C59E8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43.9041</w:t>
            </w:r>
          </w:p>
        </w:tc>
        <w:tc>
          <w:tcPr>
            <w:tcW w:w="1672" w:type="pct"/>
            <w:noWrap/>
            <w:vAlign w:val="center"/>
          </w:tcPr>
          <w:p w14:paraId="2C604E5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4.7234</w:t>
            </w:r>
          </w:p>
        </w:tc>
      </w:tr>
      <w:tr w:rsidR="00C02929" w14:paraId="067D34F2" w14:textId="77777777">
        <w:trPr>
          <w:trHeight w:val="397"/>
        </w:trPr>
        <w:tc>
          <w:tcPr>
            <w:tcW w:w="395" w:type="pct"/>
            <w:noWrap/>
            <w:vAlign w:val="center"/>
          </w:tcPr>
          <w:p w14:paraId="5F5629C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95</w:t>
            </w:r>
          </w:p>
        </w:tc>
        <w:tc>
          <w:tcPr>
            <w:tcW w:w="991" w:type="pct"/>
            <w:noWrap/>
            <w:vAlign w:val="center"/>
          </w:tcPr>
          <w:p w14:paraId="078D4E3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101416.SZ</w:t>
            </w:r>
          </w:p>
        </w:tc>
        <w:tc>
          <w:tcPr>
            <w:tcW w:w="802" w:type="pct"/>
            <w:noWrap/>
            <w:vAlign w:val="center"/>
          </w:tcPr>
          <w:p w14:paraId="52FEAA8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1416</w:t>
            </w:r>
          </w:p>
        </w:tc>
        <w:tc>
          <w:tcPr>
            <w:tcW w:w="1140" w:type="pct"/>
            <w:noWrap/>
            <w:vAlign w:val="center"/>
          </w:tcPr>
          <w:p w14:paraId="0EE03A3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24.0656</w:t>
            </w:r>
          </w:p>
        </w:tc>
        <w:tc>
          <w:tcPr>
            <w:tcW w:w="1672" w:type="pct"/>
            <w:noWrap/>
            <w:vAlign w:val="center"/>
          </w:tcPr>
          <w:p w14:paraId="4B25DC3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4.8168</w:t>
            </w:r>
          </w:p>
        </w:tc>
      </w:tr>
      <w:tr w:rsidR="00C02929" w14:paraId="12899D4D" w14:textId="77777777">
        <w:trPr>
          <w:trHeight w:val="397"/>
        </w:trPr>
        <w:tc>
          <w:tcPr>
            <w:tcW w:w="395" w:type="pct"/>
            <w:noWrap/>
            <w:vAlign w:val="center"/>
          </w:tcPr>
          <w:p w14:paraId="0C64E60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96</w:t>
            </w:r>
          </w:p>
        </w:tc>
        <w:tc>
          <w:tcPr>
            <w:tcW w:w="991" w:type="pct"/>
            <w:noWrap/>
            <w:vAlign w:val="center"/>
          </w:tcPr>
          <w:p w14:paraId="15D98AA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101417.SZ</w:t>
            </w:r>
          </w:p>
        </w:tc>
        <w:tc>
          <w:tcPr>
            <w:tcW w:w="802" w:type="pct"/>
            <w:noWrap/>
            <w:vAlign w:val="center"/>
          </w:tcPr>
          <w:p w14:paraId="55A85ED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1417</w:t>
            </w:r>
          </w:p>
        </w:tc>
        <w:tc>
          <w:tcPr>
            <w:tcW w:w="1140" w:type="pct"/>
            <w:noWrap/>
            <w:vAlign w:val="center"/>
          </w:tcPr>
          <w:p w14:paraId="374C215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14.1148</w:t>
            </w:r>
          </w:p>
        </w:tc>
        <w:tc>
          <w:tcPr>
            <w:tcW w:w="1672" w:type="pct"/>
            <w:noWrap/>
            <w:vAlign w:val="center"/>
          </w:tcPr>
          <w:p w14:paraId="7EA81DB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4.6836</w:t>
            </w:r>
          </w:p>
        </w:tc>
      </w:tr>
      <w:tr w:rsidR="00C02929" w14:paraId="5F0F4FDB" w14:textId="77777777">
        <w:trPr>
          <w:trHeight w:val="397"/>
        </w:trPr>
        <w:tc>
          <w:tcPr>
            <w:tcW w:w="395" w:type="pct"/>
            <w:noWrap/>
            <w:vAlign w:val="center"/>
          </w:tcPr>
          <w:p w14:paraId="44644AF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97</w:t>
            </w:r>
          </w:p>
        </w:tc>
        <w:tc>
          <w:tcPr>
            <w:tcW w:w="991" w:type="pct"/>
            <w:noWrap/>
            <w:vAlign w:val="center"/>
          </w:tcPr>
          <w:p w14:paraId="569BF3B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101425.SZ</w:t>
            </w:r>
          </w:p>
        </w:tc>
        <w:tc>
          <w:tcPr>
            <w:tcW w:w="802" w:type="pct"/>
            <w:noWrap/>
            <w:vAlign w:val="center"/>
          </w:tcPr>
          <w:p w14:paraId="37E0959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1425</w:t>
            </w:r>
          </w:p>
        </w:tc>
        <w:tc>
          <w:tcPr>
            <w:tcW w:w="1140" w:type="pct"/>
            <w:noWrap/>
            <w:vAlign w:val="center"/>
          </w:tcPr>
          <w:p w14:paraId="3DD8400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24.3251</w:t>
            </w:r>
          </w:p>
        </w:tc>
        <w:tc>
          <w:tcPr>
            <w:tcW w:w="1672" w:type="pct"/>
            <w:noWrap/>
            <w:vAlign w:val="center"/>
          </w:tcPr>
          <w:p w14:paraId="2C1C91B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3.2395</w:t>
            </w:r>
          </w:p>
        </w:tc>
      </w:tr>
      <w:tr w:rsidR="00C02929" w14:paraId="20B06A16" w14:textId="77777777">
        <w:trPr>
          <w:trHeight w:val="397"/>
        </w:trPr>
        <w:tc>
          <w:tcPr>
            <w:tcW w:w="395" w:type="pct"/>
            <w:noWrap/>
            <w:vAlign w:val="center"/>
          </w:tcPr>
          <w:p w14:paraId="697762B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98</w:t>
            </w:r>
          </w:p>
        </w:tc>
        <w:tc>
          <w:tcPr>
            <w:tcW w:w="991" w:type="pct"/>
            <w:noWrap/>
            <w:vAlign w:val="center"/>
          </w:tcPr>
          <w:p w14:paraId="2413F93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101427.SZ</w:t>
            </w:r>
          </w:p>
        </w:tc>
        <w:tc>
          <w:tcPr>
            <w:tcW w:w="802" w:type="pct"/>
            <w:noWrap/>
            <w:vAlign w:val="center"/>
          </w:tcPr>
          <w:p w14:paraId="2D4CF69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1427</w:t>
            </w:r>
          </w:p>
        </w:tc>
        <w:tc>
          <w:tcPr>
            <w:tcW w:w="1140" w:type="pct"/>
            <w:noWrap/>
            <w:vAlign w:val="center"/>
          </w:tcPr>
          <w:p w14:paraId="7C9DEF5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44.4016</w:t>
            </w:r>
          </w:p>
        </w:tc>
        <w:tc>
          <w:tcPr>
            <w:tcW w:w="1672" w:type="pct"/>
            <w:noWrap/>
            <w:vAlign w:val="center"/>
          </w:tcPr>
          <w:p w14:paraId="51F4355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4.2840</w:t>
            </w:r>
          </w:p>
        </w:tc>
      </w:tr>
      <w:tr w:rsidR="00C02929" w14:paraId="700A56A5" w14:textId="77777777">
        <w:trPr>
          <w:trHeight w:val="397"/>
        </w:trPr>
        <w:tc>
          <w:tcPr>
            <w:tcW w:w="395" w:type="pct"/>
            <w:noWrap/>
            <w:vAlign w:val="center"/>
          </w:tcPr>
          <w:p w14:paraId="2AE2890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99</w:t>
            </w:r>
          </w:p>
        </w:tc>
        <w:tc>
          <w:tcPr>
            <w:tcW w:w="991" w:type="pct"/>
            <w:noWrap/>
            <w:vAlign w:val="center"/>
          </w:tcPr>
          <w:p w14:paraId="4FAFFD3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101508.SZ</w:t>
            </w:r>
          </w:p>
        </w:tc>
        <w:tc>
          <w:tcPr>
            <w:tcW w:w="802" w:type="pct"/>
            <w:noWrap/>
            <w:vAlign w:val="center"/>
          </w:tcPr>
          <w:p w14:paraId="2D91930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1508</w:t>
            </w:r>
          </w:p>
        </w:tc>
        <w:tc>
          <w:tcPr>
            <w:tcW w:w="1140" w:type="pct"/>
            <w:noWrap/>
            <w:vAlign w:val="center"/>
          </w:tcPr>
          <w:p w14:paraId="44C3276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14.8247</w:t>
            </w:r>
          </w:p>
        </w:tc>
        <w:tc>
          <w:tcPr>
            <w:tcW w:w="1672" w:type="pct"/>
            <w:noWrap/>
            <w:vAlign w:val="center"/>
          </w:tcPr>
          <w:p w14:paraId="0DCC41F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4.1302</w:t>
            </w:r>
          </w:p>
        </w:tc>
      </w:tr>
      <w:tr w:rsidR="00C02929" w14:paraId="5FD7F57A" w14:textId="77777777">
        <w:trPr>
          <w:trHeight w:val="397"/>
        </w:trPr>
        <w:tc>
          <w:tcPr>
            <w:tcW w:w="395" w:type="pct"/>
            <w:noWrap/>
            <w:vAlign w:val="center"/>
          </w:tcPr>
          <w:p w14:paraId="57AAFC9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100</w:t>
            </w:r>
          </w:p>
        </w:tc>
        <w:tc>
          <w:tcPr>
            <w:tcW w:w="991" w:type="pct"/>
            <w:noWrap/>
            <w:vAlign w:val="center"/>
          </w:tcPr>
          <w:p w14:paraId="55A80DA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101510.SZ</w:t>
            </w:r>
          </w:p>
        </w:tc>
        <w:tc>
          <w:tcPr>
            <w:tcW w:w="802" w:type="pct"/>
            <w:noWrap/>
            <w:vAlign w:val="center"/>
          </w:tcPr>
          <w:p w14:paraId="2B1FDA3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1510</w:t>
            </w:r>
          </w:p>
        </w:tc>
        <w:tc>
          <w:tcPr>
            <w:tcW w:w="1140" w:type="pct"/>
            <w:noWrap/>
            <w:vAlign w:val="center"/>
          </w:tcPr>
          <w:p w14:paraId="00034C1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44.9014</w:t>
            </w:r>
          </w:p>
        </w:tc>
        <w:tc>
          <w:tcPr>
            <w:tcW w:w="1672" w:type="pct"/>
            <w:noWrap/>
            <w:vAlign w:val="center"/>
          </w:tcPr>
          <w:p w14:paraId="198A0B1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3.7481</w:t>
            </w:r>
          </w:p>
        </w:tc>
      </w:tr>
      <w:tr w:rsidR="00C02929" w14:paraId="5A4DF35A" w14:textId="77777777">
        <w:trPr>
          <w:trHeight w:val="397"/>
        </w:trPr>
        <w:tc>
          <w:tcPr>
            <w:tcW w:w="395" w:type="pct"/>
            <w:noWrap/>
            <w:vAlign w:val="center"/>
          </w:tcPr>
          <w:p w14:paraId="7AF1309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w:t>
            </w:r>
          </w:p>
        </w:tc>
        <w:tc>
          <w:tcPr>
            <w:tcW w:w="991" w:type="pct"/>
            <w:noWrap/>
            <w:vAlign w:val="center"/>
          </w:tcPr>
          <w:p w14:paraId="11E2A66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101517.SZ</w:t>
            </w:r>
          </w:p>
        </w:tc>
        <w:tc>
          <w:tcPr>
            <w:tcW w:w="802" w:type="pct"/>
            <w:noWrap/>
            <w:vAlign w:val="center"/>
          </w:tcPr>
          <w:p w14:paraId="3F161C6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1517</w:t>
            </w:r>
          </w:p>
        </w:tc>
        <w:tc>
          <w:tcPr>
            <w:tcW w:w="1140" w:type="pct"/>
            <w:noWrap/>
            <w:vAlign w:val="center"/>
          </w:tcPr>
          <w:p w14:paraId="4E4B64B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25.0738</w:t>
            </w:r>
          </w:p>
        </w:tc>
        <w:tc>
          <w:tcPr>
            <w:tcW w:w="1672" w:type="pct"/>
            <w:noWrap/>
            <w:vAlign w:val="center"/>
          </w:tcPr>
          <w:p w14:paraId="3D64AD0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3.9789</w:t>
            </w:r>
          </w:p>
        </w:tc>
      </w:tr>
      <w:tr w:rsidR="00C02929" w14:paraId="57CE14A2" w14:textId="77777777">
        <w:trPr>
          <w:trHeight w:val="397"/>
        </w:trPr>
        <w:tc>
          <w:tcPr>
            <w:tcW w:w="395" w:type="pct"/>
            <w:noWrap/>
            <w:vAlign w:val="center"/>
          </w:tcPr>
          <w:p w14:paraId="7B7DA46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102</w:t>
            </w:r>
          </w:p>
        </w:tc>
        <w:tc>
          <w:tcPr>
            <w:tcW w:w="991" w:type="pct"/>
            <w:noWrap/>
            <w:vAlign w:val="center"/>
          </w:tcPr>
          <w:p w14:paraId="1E19D68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101521.SZ</w:t>
            </w:r>
          </w:p>
        </w:tc>
        <w:tc>
          <w:tcPr>
            <w:tcW w:w="802" w:type="pct"/>
            <w:noWrap/>
            <w:vAlign w:val="center"/>
          </w:tcPr>
          <w:p w14:paraId="6048708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1521</w:t>
            </w:r>
          </w:p>
        </w:tc>
        <w:tc>
          <w:tcPr>
            <w:tcW w:w="1140" w:type="pct"/>
            <w:noWrap/>
            <w:vAlign w:val="center"/>
          </w:tcPr>
          <w:p w14:paraId="5611E9A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15.2295</w:t>
            </w:r>
          </w:p>
        </w:tc>
        <w:tc>
          <w:tcPr>
            <w:tcW w:w="1672" w:type="pct"/>
            <w:noWrap/>
            <w:vAlign w:val="center"/>
          </w:tcPr>
          <w:p w14:paraId="083E444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3.7729</w:t>
            </w:r>
          </w:p>
        </w:tc>
      </w:tr>
      <w:tr w:rsidR="00C02929" w14:paraId="065B6F2F" w14:textId="77777777">
        <w:trPr>
          <w:trHeight w:val="397"/>
        </w:trPr>
        <w:tc>
          <w:tcPr>
            <w:tcW w:w="395" w:type="pct"/>
            <w:noWrap/>
            <w:vAlign w:val="center"/>
          </w:tcPr>
          <w:p w14:paraId="17FA779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103</w:t>
            </w:r>
          </w:p>
        </w:tc>
        <w:tc>
          <w:tcPr>
            <w:tcW w:w="991" w:type="pct"/>
            <w:noWrap/>
            <w:vAlign w:val="center"/>
          </w:tcPr>
          <w:p w14:paraId="7ECA0B6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101525.SZ</w:t>
            </w:r>
          </w:p>
        </w:tc>
        <w:tc>
          <w:tcPr>
            <w:tcW w:w="802" w:type="pct"/>
            <w:noWrap/>
            <w:vAlign w:val="center"/>
          </w:tcPr>
          <w:p w14:paraId="2823854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1525</w:t>
            </w:r>
          </w:p>
        </w:tc>
        <w:tc>
          <w:tcPr>
            <w:tcW w:w="1140" w:type="pct"/>
            <w:noWrap/>
            <w:vAlign w:val="center"/>
          </w:tcPr>
          <w:p w14:paraId="75BD6E3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25.3060</w:t>
            </w:r>
          </w:p>
        </w:tc>
        <w:tc>
          <w:tcPr>
            <w:tcW w:w="1672" w:type="pct"/>
            <w:noWrap/>
            <w:vAlign w:val="center"/>
          </w:tcPr>
          <w:p w14:paraId="7F3A9B0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3.7740</w:t>
            </w:r>
          </w:p>
        </w:tc>
      </w:tr>
      <w:tr w:rsidR="00C02929" w14:paraId="406248FF" w14:textId="77777777">
        <w:trPr>
          <w:trHeight w:val="397"/>
        </w:trPr>
        <w:tc>
          <w:tcPr>
            <w:tcW w:w="395" w:type="pct"/>
            <w:noWrap/>
            <w:vAlign w:val="center"/>
          </w:tcPr>
          <w:p w14:paraId="7CC524B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104</w:t>
            </w:r>
          </w:p>
        </w:tc>
        <w:tc>
          <w:tcPr>
            <w:tcW w:w="991" w:type="pct"/>
            <w:noWrap/>
            <w:vAlign w:val="center"/>
          </w:tcPr>
          <w:p w14:paraId="321EFEC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101528.SZ</w:t>
            </w:r>
          </w:p>
        </w:tc>
        <w:tc>
          <w:tcPr>
            <w:tcW w:w="802" w:type="pct"/>
            <w:noWrap/>
            <w:vAlign w:val="center"/>
          </w:tcPr>
          <w:p w14:paraId="6A2151B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1528</w:t>
            </w:r>
          </w:p>
        </w:tc>
        <w:tc>
          <w:tcPr>
            <w:tcW w:w="1140" w:type="pct"/>
            <w:noWrap/>
            <w:vAlign w:val="center"/>
          </w:tcPr>
          <w:p w14:paraId="1B49AF0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45.3989</w:t>
            </w:r>
          </w:p>
        </w:tc>
        <w:tc>
          <w:tcPr>
            <w:tcW w:w="1672" w:type="pct"/>
            <w:noWrap/>
            <w:vAlign w:val="center"/>
          </w:tcPr>
          <w:p w14:paraId="74CB900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3.6960</w:t>
            </w:r>
          </w:p>
        </w:tc>
      </w:tr>
      <w:tr w:rsidR="00C02929" w14:paraId="5E7DEDE6" w14:textId="77777777">
        <w:trPr>
          <w:trHeight w:val="397"/>
        </w:trPr>
        <w:tc>
          <w:tcPr>
            <w:tcW w:w="395" w:type="pct"/>
            <w:noWrap/>
            <w:vAlign w:val="center"/>
          </w:tcPr>
          <w:p w14:paraId="1597254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105</w:t>
            </w:r>
          </w:p>
        </w:tc>
        <w:tc>
          <w:tcPr>
            <w:tcW w:w="991" w:type="pct"/>
            <w:noWrap/>
            <w:vAlign w:val="center"/>
          </w:tcPr>
          <w:p w14:paraId="627E931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101608.SZ</w:t>
            </w:r>
          </w:p>
        </w:tc>
        <w:tc>
          <w:tcPr>
            <w:tcW w:w="802" w:type="pct"/>
            <w:noWrap/>
            <w:vAlign w:val="center"/>
          </w:tcPr>
          <w:p w14:paraId="2CDE12A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1608</w:t>
            </w:r>
          </w:p>
        </w:tc>
        <w:tc>
          <w:tcPr>
            <w:tcW w:w="1140" w:type="pct"/>
            <w:noWrap/>
            <w:vAlign w:val="center"/>
          </w:tcPr>
          <w:p w14:paraId="5E7E721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25.8192</w:t>
            </w:r>
          </w:p>
        </w:tc>
        <w:tc>
          <w:tcPr>
            <w:tcW w:w="1672" w:type="pct"/>
            <w:noWrap/>
            <w:vAlign w:val="center"/>
          </w:tcPr>
          <w:p w14:paraId="33EB21D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3.5501</w:t>
            </w:r>
          </w:p>
        </w:tc>
      </w:tr>
      <w:tr w:rsidR="00C02929" w14:paraId="68FB55E9" w14:textId="77777777">
        <w:trPr>
          <w:trHeight w:val="397"/>
        </w:trPr>
        <w:tc>
          <w:tcPr>
            <w:tcW w:w="395" w:type="pct"/>
            <w:noWrap/>
            <w:vAlign w:val="center"/>
          </w:tcPr>
          <w:p w14:paraId="201C849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106</w:t>
            </w:r>
          </w:p>
        </w:tc>
        <w:tc>
          <w:tcPr>
            <w:tcW w:w="991" w:type="pct"/>
            <w:noWrap/>
            <w:vAlign w:val="center"/>
          </w:tcPr>
          <w:p w14:paraId="0118891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101613.SZ</w:t>
            </w:r>
          </w:p>
        </w:tc>
        <w:tc>
          <w:tcPr>
            <w:tcW w:w="802" w:type="pct"/>
            <w:noWrap/>
            <w:vAlign w:val="center"/>
          </w:tcPr>
          <w:p w14:paraId="25506CE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1613</w:t>
            </w:r>
          </w:p>
        </w:tc>
        <w:tc>
          <w:tcPr>
            <w:tcW w:w="1140" w:type="pct"/>
            <w:noWrap/>
            <w:vAlign w:val="center"/>
          </w:tcPr>
          <w:p w14:paraId="196EDE8B"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45.8959</w:t>
            </w:r>
          </w:p>
        </w:tc>
        <w:tc>
          <w:tcPr>
            <w:tcW w:w="1672" w:type="pct"/>
            <w:noWrap/>
            <w:vAlign w:val="center"/>
          </w:tcPr>
          <w:p w14:paraId="4D5C4CC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3.6563</w:t>
            </w:r>
          </w:p>
        </w:tc>
      </w:tr>
      <w:tr w:rsidR="00C02929" w14:paraId="223BF205" w14:textId="77777777">
        <w:trPr>
          <w:trHeight w:val="397"/>
        </w:trPr>
        <w:tc>
          <w:tcPr>
            <w:tcW w:w="395" w:type="pct"/>
            <w:noWrap/>
            <w:vAlign w:val="center"/>
          </w:tcPr>
          <w:p w14:paraId="0D1BB05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107</w:t>
            </w:r>
          </w:p>
        </w:tc>
        <w:tc>
          <w:tcPr>
            <w:tcW w:w="991" w:type="pct"/>
            <w:noWrap/>
            <w:vAlign w:val="center"/>
          </w:tcPr>
          <w:p w14:paraId="7A4924F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101619.SZ</w:t>
            </w:r>
          </w:p>
        </w:tc>
        <w:tc>
          <w:tcPr>
            <w:tcW w:w="802" w:type="pct"/>
            <w:noWrap/>
            <w:vAlign w:val="center"/>
          </w:tcPr>
          <w:p w14:paraId="631C016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1619</w:t>
            </w:r>
          </w:p>
        </w:tc>
        <w:tc>
          <w:tcPr>
            <w:tcW w:w="1140" w:type="pct"/>
            <w:noWrap/>
            <w:vAlign w:val="center"/>
          </w:tcPr>
          <w:p w14:paraId="446DC49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26.1448</w:t>
            </w:r>
          </w:p>
        </w:tc>
        <w:tc>
          <w:tcPr>
            <w:tcW w:w="1672" w:type="pct"/>
            <w:noWrap/>
            <w:vAlign w:val="center"/>
          </w:tcPr>
          <w:p w14:paraId="421B092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3.3553</w:t>
            </w:r>
          </w:p>
        </w:tc>
      </w:tr>
      <w:tr w:rsidR="00C02929" w14:paraId="7D279D12" w14:textId="77777777">
        <w:trPr>
          <w:trHeight w:val="397"/>
        </w:trPr>
        <w:tc>
          <w:tcPr>
            <w:tcW w:w="395" w:type="pct"/>
            <w:noWrap/>
            <w:vAlign w:val="center"/>
          </w:tcPr>
          <w:p w14:paraId="70C0682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108</w:t>
            </w:r>
          </w:p>
        </w:tc>
        <w:tc>
          <w:tcPr>
            <w:tcW w:w="991" w:type="pct"/>
            <w:noWrap/>
            <w:vAlign w:val="center"/>
          </w:tcPr>
          <w:p w14:paraId="2068A52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101626.SZ</w:t>
            </w:r>
          </w:p>
        </w:tc>
        <w:tc>
          <w:tcPr>
            <w:tcW w:w="802" w:type="pct"/>
            <w:noWrap/>
            <w:vAlign w:val="center"/>
          </w:tcPr>
          <w:p w14:paraId="699525F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1626</w:t>
            </w:r>
          </w:p>
        </w:tc>
        <w:tc>
          <w:tcPr>
            <w:tcW w:w="1140" w:type="pct"/>
            <w:noWrap/>
            <w:vAlign w:val="center"/>
          </w:tcPr>
          <w:p w14:paraId="19DEF35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46.3934</w:t>
            </w:r>
          </w:p>
        </w:tc>
        <w:tc>
          <w:tcPr>
            <w:tcW w:w="1672" w:type="pct"/>
            <w:noWrap/>
            <w:vAlign w:val="center"/>
          </w:tcPr>
          <w:p w14:paraId="192A0C5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3.5096</w:t>
            </w:r>
          </w:p>
        </w:tc>
      </w:tr>
      <w:tr w:rsidR="00C02929" w14:paraId="0217BD02" w14:textId="77777777">
        <w:trPr>
          <w:trHeight w:val="397"/>
        </w:trPr>
        <w:tc>
          <w:tcPr>
            <w:tcW w:w="395" w:type="pct"/>
            <w:noWrap/>
            <w:vAlign w:val="center"/>
          </w:tcPr>
          <w:p w14:paraId="73C1C255"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109</w:t>
            </w:r>
          </w:p>
        </w:tc>
        <w:tc>
          <w:tcPr>
            <w:tcW w:w="991" w:type="pct"/>
            <w:noWrap/>
            <w:vAlign w:val="center"/>
          </w:tcPr>
          <w:p w14:paraId="6B492E6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101705.SZ</w:t>
            </w:r>
          </w:p>
        </w:tc>
        <w:tc>
          <w:tcPr>
            <w:tcW w:w="802" w:type="pct"/>
            <w:noWrap/>
            <w:vAlign w:val="center"/>
          </w:tcPr>
          <w:p w14:paraId="7185816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1705</w:t>
            </w:r>
          </w:p>
        </w:tc>
        <w:tc>
          <w:tcPr>
            <w:tcW w:w="1140" w:type="pct"/>
            <w:noWrap/>
            <w:vAlign w:val="center"/>
          </w:tcPr>
          <w:p w14:paraId="29C131F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26.6421</w:t>
            </w:r>
          </w:p>
        </w:tc>
        <w:tc>
          <w:tcPr>
            <w:tcW w:w="1672" w:type="pct"/>
            <w:noWrap/>
            <w:vAlign w:val="center"/>
          </w:tcPr>
          <w:p w14:paraId="73A7A95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3.8055</w:t>
            </w:r>
          </w:p>
        </w:tc>
      </w:tr>
      <w:tr w:rsidR="00C02929" w14:paraId="5DC09025" w14:textId="77777777">
        <w:trPr>
          <w:trHeight w:val="397"/>
        </w:trPr>
        <w:tc>
          <w:tcPr>
            <w:tcW w:w="395" w:type="pct"/>
            <w:noWrap/>
            <w:vAlign w:val="center"/>
          </w:tcPr>
          <w:p w14:paraId="63BA9FE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110</w:t>
            </w:r>
          </w:p>
        </w:tc>
        <w:tc>
          <w:tcPr>
            <w:tcW w:w="991" w:type="pct"/>
            <w:noWrap/>
            <w:vAlign w:val="center"/>
          </w:tcPr>
          <w:p w14:paraId="0995919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101711.SZ</w:t>
            </w:r>
          </w:p>
        </w:tc>
        <w:tc>
          <w:tcPr>
            <w:tcW w:w="802" w:type="pct"/>
            <w:noWrap/>
            <w:vAlign w:val="center"/>
          </w:tcPr>
          <w:p w14:paraId="49FF974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1711</w:t>
            </w:r>
          </w:p>
        </w:tc>
        <w:tc>
          <w:tcPr>
            <w:tcW w:w="1140" w:type="pct"/>
            <w:noWrap/>
            <w:vAlign w:val="center"/>
          </w:tcPr>
          <w:p w14:paraId="6D5AC8C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46.8932</w:t>
            </w:r>
          </w:p>
        </w:tc>
        <w:tc>
          <w:tcPr>
            <w:tcW w:w="1672" w:type="pct"/>
            <w:noWrap/>
            <w:vAlign w:val="center"/>
          </w:tcPr>
          <w:p w14:paraId="4ED508D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4.1207</w:t>
            </w:r>
          </w:p>
        </w:tc>
      </w:tr>
      <w:tr w:rsidR="00C02929" w14:paraId="730636C8" w14:textId="77777777">
        <w:trPr>
          <w:trHeight w:val="397"/>
        </w:trPr>
        <w:tc>
          <w:tcPr>
            <w:tcW w:w="395" w:type="pct"/>
            <w:noWrap/>
            <w:vAlign w:val="center"/>
          </w:tcPr>
          <w:p w14:paraId="3F66C13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111</w:t>
            </w:r>
          </w:p>
        </w:tc>
        <w:tc>
          <w:tcPr>
            <w:tcW w:w="991" w:type="pct"/>
            <w:noWrap/>
            <w:vAlign w:val="center"/>
          </w:tcPr>
          <w:p w14:paraId="640E684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101715.SZ</w:t>
            </w:r>
          </w:p>
        </w:tc>
        <w:tc>
          <w:tcPr>
            <w:tcW w:w="802" w:type="pct"/>
            <w:noWrap/>
            <w:vAlign w:val="center"/>
          </w:tcPr>
          <w:p w14:paraId="17C2CF0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1715</w:t>
            </w:r>
          </w:p>
        </w:tc>
        <w:tc>
          <w:tcPr>
            <w:tcW w:w="1140" w:type="pct"/>
            <w:noWrap/>
            <w:vAlign w:val="center"/>
          </w:tcPr>
          <w:p w14:paraId="278CD64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27.0656</w:t>
            </w:r>
          </w:p>
        </w:tc>
        <w:tc>
          <w:tcPr>
            <w:tcW w:w="1672" w:type="pct"/>
            <w:noWrap/>
            <w:vAlign w:val="center"/>
          </w:tcPr>
          <w:p w14:paraId="61040A2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4.0912</w:t>
            </w:r>
          </w:p>
        </w:tc>
      </w:tr>
      <w:tr w:rsidR="00C02929" w14:paraId="47202034" w14:textId="77777777">
        <w:trPr>
          <w:trHeight w:val="397"/>
        </w:trPr>
        <w:tc>
          <w:tcPr>
            <w:tcW w:w="395" w:type="pct"/>
            <w:noWrap/>
            <w:vAlign w:val="center"/>
          </w:tcPr>
          <w:p w14:paraId="507094D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112</w:t>
            </w:r>
          </w:p>
        </w:tc>
        <w:tc>
          <w:tcPr>
            <w:tcW w:w="991" w:type="pct"/>
            <w:noWrap/>
            <w:vAlign w:val="center"/>
          </w:tcPr>
          <w:p w14:paraId="0A0AAB1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101722.SZ</w:t>
            </w:r>
          </w:p>
        </w:tc>
        <w:tc>
          <w:tcPr>
            <w:tcW w:w="802" w:type="pct"/>
            <w:noWrap/>
            <w:vAlign w:val="center"/>
          </w:tcPr>
          <w:p w14:paraId="5652408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1722</w:t>
            </w:r>
          </w:p>
        </w:tc>
        <w:tc>
          <w:tcPr>
            <w:tcW w:w="1140" w:type="pct"/>
            <w:noWrap/>
            <w:vAlign w:val="center"/>
          </w:tcPr>
          <w:p w14:paraId="2C83986D"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27.3142</w:t>
            </w:r>
          </w:p>
        </w:tc>
        <w:tc>
          <w:tcPr>
            <w:tcW w:w="1672" w:type="pct"/>
            <w:noWrap/>
            <w:vAlign w:val="center"/>
          </w:tcPr>
          <w:p w14:paraId="4F7B455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4.3246</w:t>
            </w:r>
          </w:p>
        </w:tc>
      </w:tr>
      <w:tr w:rsidR="00C02929" w14:paraId="331EE195" w14:textId="77777777">
        <w:trPr>
          <w:trHeight w:val="397"/>
        </w:trPr>
        <w:tc>
          <w:tcPr>
            <w:tcW w:w="395" w:type="pct"/>
            <w:noWrap/>
            <w:vAlign w:val="center"/>
          </w:tcPr>
          <w:p w14:paraId="36803F8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113</w:t>
            </w:r>
          </w:p>
        </w:tc>
        <w:tc>
          <w:tcPr>
            <w:tcW w:w="991" w:type="pct"/>
            <w:noWrap/>
            <w:vAlign w:val="center"/>
          </w:tcPr>
          <w:p w14:paraId="71133487"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101726.SZ</w:t>
            </w:r>
          </w:p>
        </w:tc>
        <w:tc>
          <w:tcPr>
            <w:tcW w:w="802" w:type="pct"/>
            <w:noWrap/>
            <w:vAlign w:val="center"/>
          </w:tcPr>
          <w:p w14:paraId="08D3083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1726</w:t>
            </w:r>
          </w:p>
        </w:tc>
        <w:tc>
          <w:tcPr>
            <w:tcW w:w="1140" w:type="pct"/>
            <w:noWrap/>
            <w:vAlign w:val="center"/>
          </w:tcPr>
          <w:p w14:paraId="22F00D44"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47.3907</w:t>
            </w:r>
          </w:p>
        </w:tc>
        <w:tc>
          <w:tcPr>
            <w:tcW w:w="1672" w:type="pct"/>
            <w:noWrap/>
            <w:vAlign w:val="center"/>
          </w:tcPr>
          <w:p w14:paraId="6E399BE7"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4.4167</w:t>
            </w:r>
          </w:p>
        </w:tc>
      </w:tr>
      <w:tr w:rsidR="00C02929" w14:paraId="5BCD756F" w14:textId="77777777">
        <w:trPr>
          <w:trHeight w:val="397"/>
        </w:trPr>
        <w:tc>
          <w:tcPr>
            <w:tcW w:w="395" w:type="pct"/>
            <w:noWrap/>
            <w:vAlign w:val="center"/>
          </w:tcPr>
          <w:p w14:paraId="42C0E3E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114</w:t>
            </w:r>
          </w:p>
        </w:tc>
        <w:tc>
          <w:tcPr>
            <w:tcW w:w="991" w:type="pct"/>
            <w:noWrap/>
            <w:vAlign w:val="center"/>
          </w:tcPr>
          <w:p w14:paraId="7CF4C9E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101806.SZ</w:t>
            </w:r>
          </w:p>
        </w:tc>
        <w:tc>
          <w:tcPr>
            <w:tcW w:w="802" w:type="pct"/>
            <w:noWrap/>
            <w:vAlign w:val="center"/>
          </w:tcPr>
          <w:p w14:paraId="55F33FD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1806</w:t>
            </w:r>
          </w:p>
        </w:tc>
        <w:tc>
          <w:tcPr>
            <w:tcW w:w="1140" w:type="pct"/>
            <w:noWrap/>
            <w:vAlign w:val="center"/>
          </w:tcPr>
          <w:p w14:paraId="6FE61F75"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27.7178</w:t>
            </w:r>
          </w:p>
        </w:tc>
        <w:tc>
          <w:tcPr>
            <w:tcW w:w="1672" w:type="pct"/>
            <w:noWrap/>
            <w:vAlign w:val="center"/>
          </w:tcPr>
          <w:p w14:paraId="6A51B65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4.2629</w:t>
            </w:r>
          </w:p>
        </w:tc>
      </w:tr>
      <w:tr w:rsidR="00C02929" w14:paraId="11050BAF" w14:textId="77777777">
        <w:trPr>
          <w:trHeight w:val="397"/>
        </w:trPr>
        <w:tc>
          <w:tcPr>
            <w:tcW w:w="395" w:type="pct"/>
            <w:noWrap/>
            <w:vAlign w:val="center"/>
          </w:tcPr>
          <w:p w14:paraId="741EFB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115</w:t>
            </w:r>
          </w:p>
        </w:tc>
        <w:tc>
          <w:tcPr>
            <w:tcW w:w="991" w:type="pct"/>
            <w:noWrap/>
            <w:vAlign w:val="center"/>
          </w:tcPr>
          <w:p w14:paraId="63B22820"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101812.SZ</w:t>
            </w:r>
          </w:p>
        </w:tc>
        <w:tc>
          <w:tcPr>
            <w:tcW w:w="802" w:type="pct"/>
            <w:noWrap/>
            <w:vAlign w:val="center"/>
          </w:tcPr>
          <w:p w14:paraId="44BA4CC9"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1812</w:t>
            </w:r>
          </w:p>
        </w:tc>
        <w:tc>
          <w:tcPr>
            <w:tcW w:w="1140" w:type="pct"/>
            <w:noWrap/>
            <w:vAlign w:val="center"/>
          </w:tcPr>
          <w:p w14:paraId="3A2089D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47.8904</w:t>
            </w:r>
          </w:p>
        </w:tc>
        <w:tc>
          <w:tcPr>
            <w:tcW w:w="1672" w:type="pct"/>
            <w:noWrap/>
            <w:vAlign w:val="center"/>
          </w:tcPr>
          <w:p w14:paraId="0D55009C"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4.1717</w:t>
            </w:r>
          </w:p>
        </w:tc>
      </w:tr>
      <w:tr w:rsidR="00C02929" w14:paraId="61460E80" w14:textId="77777777">
        <w:trPr>
          <w:trHeight w:val="397"/>
        </w:trPr>
        <w:tc>
          <w:tcPr>
            <w:tcW w:w="395" w:type="pct"/>
            <w:noWrap/>
            <w:vAlign w:val="center"/>
          </w:tcPr>
          <w:p w14:paraId="099DF618"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116</w:t>
            </w:r>
          </w:p>
        </w:tc>
        <w:tc>
          <w:tcPr>
            <w:tcW w:w="991" w:type="pct"/>
            <w:noWrap/>
            <w:vAlign w:val="center"/>
          </w:tcPr>
          <w:p w14:paraId="0BF6AF1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101817.SZ</w:t>
            </w:r>
          </w:p>
        </w:tc>
        <w:tc>
          <w:tcPr>
            <w:tcW w:w="802" w:type="pct"/>
            <w:noWrap/>
            <w:vAlign w:val="center"/>
          </w:tcPr>
          <w:p w14:paraId="11A6E96F"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1817</w:t>
            </w:r>
          </w:p>
        </w:tc>
        <w:tc>
          <w:tcPr>
            <w:tcW w:w="1140" w:type="pct"/>
            <w:noWrap/>
            <w:vAlign w:val="center"/>
          </w:tcPr>
          <w:p w14:paraId="4B55FB0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28.0628</w:t>
            </w:r>
          </w:p>
        </w:tc>
        <w:tc>
          <w:tcPr>
            <w:tcW w:w="1672" w:type="pct"/>
            <w:noWrap/>
            <w:vAlign w:val="center"/>
          </w:tcPr>
          <w:p w14:paraId="3C8BFBC2"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4.0096</w:t>
            </w:r>
          </w:p>
        </w:tc>
      </w:tr>
      <w:tr w:rsidR="00C02929" w14:paraId="281628D2" w14:textId="77777777">
        <w:trPr>
          <w:trHeight w:val="397"/>
        </w:trPr>
        <w:tc>
          <w:tcPr>
            <w:tcW w:w="395" w:type="pct"/>
            <w:noWrap/>
            <w:vAlign w:val="center"/>
          </w:tcPr>
          <w:p w14:paraId="57A73A3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117</w:t>
            </w:r>
          </w:p>
        </w:tc>
        <w:tc>
          <w:tcPr>
            <w:tcW w:w="991" w:type="pct"/>
            <w:noWrap/>
            <w:vAlign w:val="center"/>
          </w:tcPr>
          <w:p w14:paraId="4571112B"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101824.SZ</w:t>
            </w:r>
          </w:p>
        </w:tc>
        <w:tc>
          <w:tcPr>
            <w:tcW w:w="802" w:type="pct"/>
            <w:noWrap/>
            <w:vAlign w:val="center"/>
          </w:tcPr>
          <w:p w14:paraId="1DAC798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1824</w:t>
            </w:r>
          </w:p>
        </w:tc>
        <w:tc>
          <w:tcPr>
            <w:tcW w:w="1140" w:type="pct"/>
            <w:noWrap/>
            <w:vAlign w:val="center"/>
          </w:tcPr>
          <w:p w14:paraId="7CBE56B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28.3115</w:t>
            </w:r>
          </w:p>
        </w:tc>
        <w:tc>
          <w:tcPr>
            <w:tcW w:w="1672" w:type="pct"/>
            <w:noWrap/>
            <w:vAlign w:val="center"/>
          </w:tcPr>
          <w:p w14:paraId="2D1209FE"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4.1205</w:t>
            </w:r>
          </w:p>
        </w:tc>
      </w:tr>
      <w:tr w:rsidR="00C02929" w14:paraId="52D3754E" w14:textId="77777777">
        <w:trPr>
          <w:trHeight w:val="397"/>
        </w:trPr>
        <w:tc>
          <w:tcPr>
            <w:tcW w:w="395" w:type="pct"/>
            <w:noWrap/>
            <w:vAlign w:val="center"/>
          </w:tcPr>
          <w:p w14:paraId="7528C811"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118</w:t>
            </w:r>
          </w:p>
        </w:tc>
        <w:tc>
          <w:tcPr>
            <w:tcW w:w="991" w:type="pct"/>
            <w:noWrap/>
            <w:vAlign w:val="center"/>
          </w:tcPr>
          <w:p w14:paraId="389034D4"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101825.SZ</w:t>
            </w:r>
          </w:p>
        </w:tc>
        <w:tc>
          <w:tcPr>
            <w:tcW w:w="802" w:type="pct"/>
            <w:noWrap/>
            <w:vAlign w:val="center"/>
          </w:tcPr>
          <w:p w14:paraId="0F477E36"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1825</w:t>
            </w:r>
          </w:p>
        </w:tc>
        <w:tc>
          <w:tcPr>
            <w:tcW w:w="1140" w:type="pct"/>
            <w:noWrap/>
            <w:vAlign w:val="center"/>
          </w:tcPr>
          <w:p w14:paraId="44C1A54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48.3880</w:t>
            </w:r>
          </w:p>
        </w:tc>
        <w:tc>
          <w:tcPr>
            <w:tcW w:w="1672" w:type="pct"/>
            <w:noWrap/>
            <w:vAlign w:val="center"/>
          </w:tcPr>
          <w:p w14:paraId="53ED549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3.8557</w:t>
            </w:r>
          </w:p>
        </w:tc>
      </w:tr>
      <w:tr w:rsidR="00C02929" w14:paraId="712E7BF3" w14:textId="77777777">
        <w:trPr>
          <w:trHeight w:val="397"/>
        </w:trPr>
        <w:tc>
          <w:tcPr>
            <w:tcW w:w="395" w:type="pct"/>
            <w:noWrap/>
            <w:vAlign w:val="center"/>
          </w:tcPr>
          <w:p w14:paraId="1548179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119</w:t>
            </w:r>
          </w:p>
        </w:tc>
        <w:tc>
          <w:tcPr>
            <w:tcW w:w="991" w:type="pct"/>
            <w:noWrap/>
            <w:vAlign w:val="center"/>
          </w:tcPr>
          <w:p w14:paraId="09BEB98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101908.SZ</w:t>
            </w:r>
          </w:p>
        </w:tc>
        <w:tc>
          <w:tcPr>
            <w:tcW w:w="802" w:type="pct"/>
            <w:noWrap/>
            <w:vAlign w:val="center"/>
          </w:tcPr>
          <w:p w14:paraId="74E1360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1908</w:t>
            </w:r>
          </w:p>
        </w:tc>
        <w:tc>
          <w:tcPr>
            <w:tcW w:w="1140" w:type="pct"/>
            <w:noWrap/>
            <w:vAlign w:val="center"/>
          </w:tcPr>
          <w:p w14:paraId="7EE39D23"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48.9836</w:t>
            </w:r>
          </w:p>
        </w:tc>
        <w:tc>
          <w:tcPr>
            <w:tcW w:w="1672" w:type="pct"/>
            <w:noWrap/>
            <w:vAlign w:val="center"/>
          </w:tcPr>
          <w:p w14:paraId="7D1030D6"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4.0395</w:t>
            </w:r>
          </w:p>
        </w:tc>
      </w:tr>
      <w:tr w:rsidR="00C02929" w14:paraId="363766CC" w14:textId="77777777">
        <w:trPr>
          <w:trHeight w:val="397"/>
        </w:trPr>
        <w:tc>
          <w:tcPr>
            <w:tcW w:w="395" w:type="pct"/>
            <w:noWrap/>
            <w:vAlign w:val="center"/>
          </w:tcPr>
          <w:p w14:paraId="1F55FD02"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120</w:t>
            </w:r>
          </w:p>
        </w:tc>
        <w:tc>
          <w:tcPr>
            <w:tcW w:w="991" w:type="pct"/>
            <w:noWrap/>
            <w:vAlign w:val="center"/>
          </w:tcPr>
          <w:p w14:paraId="40D8069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101986.SZ</w:t>
            </w:r>
          </w:p>
        </w:tc>
        <w:tc>
          <w:tcPr>
            <w:tcW w:w="802" w:type="pct"/>
            <w:noWrap/>
            <w:vAlign w:val="center"/>
          </w:tcPr>
          <w:p w14:paraId="3A810ED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1910</w:t>
            </w:r>
          </w:p>
        </w:tc>
        <w:tc>
          <w:tcPr>
            <w:tcW w:w="1140" w:type="pct"/>
            <w:noWrap/>
            <w:vAlign w:val="center"/>
          </w:tcPr>
          <w:p w14:paraId="04242FD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29.0601</w:t>
            </w:r>
          </w:p>
        </w:tc>
        <w:tc>
          <w:tcPr>
            <w:tcW w:w="1672" w:type="pct"/>
            <w:noWrap/>
            <w:vAlign w:val="center"/>
          </w:tcPr>
          <w:p w14:paraId="7B4C3919"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3.8975</w:t>
            </w:r>
          </w:p>
        </w:tc>
      </w:tr>
      <w:tr w:rsidR="00C02929" w14:paraId="47BB445F" w14:textId="77777777">
        <w:trPr>
          <w:trHeight w:val="397"/>
        </w:trPr>
        <w:tc>
          <w:tcPr>
            <w:tcW w:w="395" w:type="pct"/>
            <w:noWrap/>
            <w:vAlign w:val="center"/>
          </w:tcPr>
          <w:p w14:paraId="066F7D8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121</w:t>
            </w:r>
          </w:p>
        </w:tc>
        <w:tc>
          <w:tcPr>
            <w:tcW w:w="991" w:type="pct"/>
            <w:noWrap/>
            <w:vAlign w:val="center"/>
          </w:tcPr>
          <w:p w14:paraId="7E302ABD"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102004.SZ</w:t>
            </w:r>
          </w:p>
        </w:tc>
        <w:tc>
          <w:tcPr>
            <w:tcW w:w="802" w:type="pct"/>
            <w:noWrap/>
            <w:vAlign w:val="center"/>
          </w:tcPr>
          <w:p w14:paraId="18E48E6C"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2004</w:t>
            </w:r>
          </w:p>
        </w:tc>
        <w:tc>
          <w:tcPr>
            <w:tcW w:w="1140" w:type="pct"/>
            <w:noWrap/>
            <w:vAlign w:val="center"/>
          </w:tcPr>
          <w:p w14:paraId="13387F28"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29.7096</w:t>
            </w:r>
          </w:p>
        </w:tc>
        <w:tc>
          <w:tcPr>
            <w:tcW w:w="1672" w:type="pct"/>
            <w:noWrap/>
            <w:vAlign w:val="center"/>
          </w:tcPr>
          <w:p w14:paraId="7972E4AA"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3.4176</w:t>
            </w:r>
          </w:p>
        </w:tc>
      </w:tr>
      <w:tr w:rsidR="00C02929" w14:paraId="29E254D0" w14:textId="77777777">
        <w:trPr>
          <w:trHeight w:val="397"/>
        </w:trPr>
        <w:tc>
          <w:tcPr>
            <w:tcW w:w="395" w:type="pct"/>
            <w:noWrap/>
            <w:vAlign w:val="center"/>
          </w:tcPr>
          <w:p w14:paraId="763AB8AA"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122</w:t>
            </w:r>
          </w:p>
        </w:tc>
        <w:tc>
          <w:tcPr>
            <w:tcW w:w="991" w:type="pct"/>
            <w:noWrap/>
            <w:vAlign w:val="center"/>
          </w:tcPr>
          <w:p w14:paraId="45CB4EE3"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color w:val="000000"/>
                <w:sz w:val="21"/>
                <w:szCs w:val="21"/>
              </w:rPr>
              <w:t>102007.SZ</w:t>
            </w:r>
          </w:p>
        </w:tc>
        <w:tc>
          <w:tcPr>
            <w:tcW w:w="802" w:type="pct"/>
            <w:noWrap/>
            <w:vAlign w:val="center"/>
          </w:tcPr>
          <w:p w14:paraId="239E417E" w14:textId="77777777" w:rsidR="00C02929" w:rsidRDefault="006116D1">
            <w:pPr>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国债</w:t>
            </w:r>
            <w:r>
              <w:rPr>
                <w:rFonts w:ascii="Times New Roman" w:hAnsi="Times New Roman" w:cs="Times New Roman" w:hint="eastAsia"/>
                <w:color w:val="000000"/>
                <w:sz w:val="21"/>
                <w:szCs w:val="21"/>
              </w:rPr>
              <w:t>2007</w:t>
            </w:r>
          </w:p>
        </w:tc>
        <w:tc>
          <w:tcPr>
            <w:tcW w:w="1140" w:type="pct"/>
            <w:noWrap/>
            <w:vAlign w:val="center"/>
          </w:tcPr>
          <w:p w14:paraId="09434F40"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49.9014</w:t>
            </w:r>
          </w:p>
        </w:tc>
        <w:tc>
          <w:tcPr>
            <w:tcW w:w="1672" w:type="pct"/>
            <w:noWrap/>
            <w:vAlign w:val="center"/>
          </w:tcPr>
          <w:p w14:paraId="764400DF" w14:textId="77777777" w:rsidR="00C02929" w:rsidRDefault="006116D1">
            <w:pPr>
              <w:jc w:val="right"/>
              <w:rPr>
                <w:rFonts w:ascii="Times New Roman" w:hAnsi="Times New Roman" w:cs="Times New Roman"/>
                <w:color w:val="000000"/>
                <w:sz w:val="21"/>
                <w:szCs w:val="21"/>
              </w:rPr>
            </w:pPr>
            <w:r>
              <w:rPr>
                <w:rFonts w:ascii="Times New Roman" w:hAnsi="Times New Roman" w:cs="Times New Roman"/>
                <w:color w:val="000000"/>
                <w:sz w:val="21"/>
                <w:szCs w:val="21"/>
              </w:rPr>
              <w:t>3.7641</w:t>
            </w:r>
          </w:p>
        </w:tc>
      </w:tr>
      <w:tr w:rsidR="00C02929" w14:paraId="238F9F33" w14:textId="77777777">
        <w:trPr>
          <w:trHeight w:val="397"/>
        </w:trPr>
        <w:tc>
          <w:tcPr>
            <w:tcW w:w="3328" w:type="pct"/>
            <w:gridSpan w:val="4"/>
            <w:noWrap/>
            <w:vAlign w:val="center"/>
          </w:tcPr>
          <w:p w14:paraId="6ADC7552"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lastRenderedPageBreak/>
              <w:t>平均到期收益率</w:t>
            </w:r>
          </w:p>
        </w:tc>
        <w:tc>
          <w:tcPr>
            <w:tcW w:w="1672" w:type="pct"/>
            <w:noWrap/>
            <w:vAlign w:val="center"/>
          </w:tcPr>
          <w:p w14:paraId="268DA8C0" w14:textId="2AAA93BE"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4.0</w:t>
            </w:r>
            <w:r w:rsidR="00613378">
              <w:rPr>
                <w:rFonts w:ascii="Times New Roman" w:hAnsi="Times New Roman" w:cs="Times New Roman"/>
                <w:b/>
                <w:bCs/>
                <w:sz w:val="21"/>
                <w:szCs w:val="21"/>
              </w:rPr>
              <w:t>591</w:t>
            </w:r>
          </w:p>
        </w:tc>
      </w:tr>
    </w:tbl>
    <w:p w14:paraId="57DB2C03"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评估机构以上述国债到期收益率的平均值</w:t>
      </w:r>
      <w:r>
        <w:rPr>
          <w:rFonts w:ascii="Times New Roman" w:hAnsi="Times New Roman" w:cs="Times New Roman" w:hint="eastAsia"/>
        </w:rPr>
        <w:t>4.06%</w:t>
      </w:r>
      <w:r>
        <w:rPr>
          <w:rFonts w:ascii="Times New Roman" w:hAnsi="Times New Roman" w:cs="Times New Roman" w:hint="eastAsia"/>
        </w:rPr>
        <w:t>作为本次评估的无风险收益率。</w:t>
      </w:r>
    </w:p>
    <w:p w14:paraId="0E3449AE" w14:textId="77777777" w:rsidR="00C02929" w:rsidRDefault="006116D1">
      <w:pPr>
        <w:spacing w:beforeLines="50" w:before="156" w:line="360" w:lineRule="auto"/>
        <w:ind w:firstLineChars="200" w:firstLine="480"/>
        <w:jc w:val="both"/>
        <w:rPr>
          <w:rFonts w:ascii="Times New Roman" w:hAnsi="Times New Roman" w:cs="Times New Roman"/>
        </w:rPr>
      </w:pPr>
      <w:r>
        <w:rPr>
          <w:rFonts w:hint="eastAsia"/>
        </w:rPr>
        <w:t>②</w:t>
      </w:r>
      <w:r>
        <w:rPr>
          <w:rFonts w:ascii="Times New Roman" w:hAnsi="Times New Roman" w:cs="Times New Roman" w:hint="eastAsia"/>
        </w:rPr>
        <w:t>确定股权风险收益率</w:t>
      </w:r>
    </w:p>
    <w:p w14:paraId="06FB62D8"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股权风险收益率是投资者投资股票市场所期望的超过无风险收益率的部分。正确地确定风险收益率一直是许多股票分析师和资产评估师的研究课题。例如：在美国，</w:t>
      </w:r>
      <w:r>
        <w:rPr>
          <w:rFonts w:ascii="Times New Roman" w:hAnsi="Times New Roman" w:cs="Times New Roman" w:hint="eastAsia"/>
        </w:rPr>
        <w:t>Ibbotson</w:t>
      </w:r>
      <w:r>
        <w:rPr>
          <w:rFonts w:ascii="Times New Roman" w:hAnsi="Times New Roman" w:cs="Times New Roman"/>
        </w:rPr>
        <w:t xml:space="preserve"> </w:t>
      </w:r>
      <w:r>
        <w:rPr>
          <w:rFonts w:ascii="Times New Roman" w:hAnsi="Times New Roman" w:cs="Times New Roman" w:hint="eastAsia"/>
        </w:rPr>
        <w:t>Associates</w:t>
      </w:r>
      <w:r>
        <w:rPr>
          <w:rFonts w:ascii="Times New Roman" w:hAnsi="Times New Roman" w:cs="Times New Roman" w:hint="eastAsia"/>
        </w:rPr>
        <w:t>的研究发现从</w:t>
      </w:r>
      <w:r>
        <w:rPr>
          <w:rFonts w:ascii="Times New Roman" w:hAnsi="Times New Roman" w:cs="Times New Roman" w:hint="eastAsia"/>
        </w:rPr>
        <w:t>1926</w:t>
      </w:r>
      <w:r>
        <w:rPr>
          <w:rFonts w:ascii="Times New Roman" w:hAnsi="Times New Roman" w:cs="Times New Roman" w:hint="eastAsia"/>
        </w:rPr>
        <w:t>年到</w:t>
      </w:r>
      <w:r>
        <w:rPr>
          <w:rFonts w:ascii="Times New Roman" w:hAnsi="Times New Roman" w:cs="Times New Roman" w:hint="eastAsia"/>
        </w:rPr>
        <w:t>1997</w:t>
      </w:r>
      <w:r>
        <w:rPr>
          <w:rFonts w:ascii="Times New Roman" w:hAnsi="Times New Roman" w:cs="Times New Roman" w:hint="eastAsia"/>
        </w:rPr>
        <w:t>年，股权投资年平均年复利回报率为</w:t>
      </w:r>
      <w:r>
        <w:rPr>
          <w:rFonts w:ascii="Times New Roman" w:hAnsi="Times New Roman" w:cs="Times New Roman" w:hint="eastAsia"/>
        </w:rPr>
        <w:t>11.0%</w:t>
      </w:r>
      <w:r>
        <w:rPr>
          <w:rFonts w:ascii="Times New Roman" w:hAnsi="Times New Roman" w:cs="Times New Roman" w:hint="eastAsia"/>
        </w:rPr>
        <w:t>，超过长期国债收益率（无风险收益率）约</w:t>
      </w:r>
      <w:r>
        <w:rPr>
          <w:rFonts w:ascii="Times New Roman" w:hAnsi="Times New Roman" w:cs="Times New Roman" w:hint="eastAsia"/>
        </w:rPr>
        <w:t>5.8%</w:t>
      </w:r>
      <w:r>
        <w:rPr>
          <w:rFonts w:ascii="Times New Roman" w:hAnsi="Times New Roman" w:cs="Times New Roman" w:hint="eastAsia"/>
        </w:rPr>
        <w:t>。这个超额收益率就被认为是股权投资风险超额收益率</w:t>
      </w:r>
      <w:r>
        <w:rPr>
          <w:rFonts w:ascii="Times New Roman" w:hAnsi="Times New Roman" w:cs="Times New Roman" w:hint="eastAsia"/>
        </w:rPr>
        <w:t>ERP</w:t>
      </w:r>
      <w:r>
        <w:rPr>
          <w:rFonts w:ascii="Times New Roman" w:hAnsi="Times New Roman" w:cs="Times New Roman" w:hint="eastAsia"/>
        </w:rPr>
        <w:t>（</w:t>
      </w:r>
      <w:r>
        <w:rPr>
          <w:rFonts w:ascii="Times New Roman" w:hAnsi="Times New Roman" w:cs="Times New Roman" w:hint="eastAsia"/>
        </w:rPr>
        <w:t>Equity</w:t>
      </w:r>
      <w:r>
        <w:rPr>
          <w:rFonts w:ascii="Times New Roman" w:hAnsi="Times New Roman" w:cs="Times New Roman"/>
        </w:rPr>
        <w:t xml:space="preserve"> Risk </w:t>
      </w:r>
      <w:r>
        <w:rPr>
          <w:rFonts w:ascii="Times New Roman" w:hAnsi="Times New Roman" w:cs="Times New Roman" w:hint="eastAsia"/>
        </w:rPr>
        <w:t>Premium</w:t>
      </w:r>
      <w:r>
        <w:rPr>
          <w:rFonts w:ascii="Times New Roman" w:hAnsi="Times New Roman" w:cs="Times New Roman" w:hint="eastAsia"/>
        </w:rPr>
        <w:t>）。</w:t>
      </w:r>
    </w:p>
    <w:p w14:paraId="750BA8A5"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借鉴美国相关部门估算</w:t>
      </w:r>
      <w:r>
        <w:rPr>
          <w:rFonts w:ascii="Times New Roman" w:hAnsi="Times New Roman" w:cs="Times New Roman" w:hint="eastAsia"/>
        </w:rPr>
        <w:t>ERP</w:t>
      </w:r>
      <w:r>
        <w:rPr>
          <w:rFonts w:ascii="Times New Roman" w:hAnsi="Times New Roman" w:cs="Times New Roman" w:hint="eastAsia"/>
        </w:rPr>
        <w:t>的思路，评估机构对中国股票市场相关数据进行了研究，按如下方式计算中国股市的股权风险收益率</w:t>
      </w:r>
      <w:r>
        <w:rPr>
          <w:rFonts w:ascii="Times New Roman" w:hAnsi="Times New Roman" w:cs="Times New Roman" w:hint="eastAsia"/>
        </w:rPr>
        <w:t>ERP</w:t>
      </w:r>
      <w:r>
        <w:rPr>
          <w:rFonts w:ascii="Times New Roman" w:hAnsi="Times New Roman" w:cs="Times New Roman" w:hint="eastAsia"/>
        </w:rPr>
        <w:t>：</w:t>
      </w:r>
    </w:p>
    <w:p w14:paraId="5B51BA46" w14:textId="77777777" w:rsidR="00C02929" w:rsidRDefault="006116D1">
      <w:pPr>
        <w:pStyle w:val="affffe"/>
        <w:numPr>
          <w:ilvl w:val="255"/>
          <w:numId w:val="0"/>
        </w:numPr>
        <w:tabs>
          <w:tab w:val="left" w:pos="361"/>
          <w:tab w:val="left" w:pos="900"/>
        </w:tabs>
        <w:adjustRightInd w:val="0"/>
        <w:spacing w:beforeLines="50" w:before="156" w:line="360" w:lineRule="auto"/>
        <w:ind w:leftChars="200" w:left="480"/>
        <w:rPr>
          <w:rFonts w:ascii="Times New Roman" w:eastAsia="宋体" w:hAnsi="Times New Roman" w:cs="Times New Roman"/>
          <w:sz w:val="24"/>
        </w:rPr>
      </w:pPr>
      <w:r>
        <w:rPr>
          <w:rFonts w:ascii="Times New Roman" w:eastAsia="宋体" w:hAnsi="Times New Roman" w:cs="Times New Roman" w:hint="eastAsia"/>
          <w:sz w:val="24"/>
        </w:rPr>
        <w:t>A</w:t>
      </w:r>
      <w:r>
        <w:rPr>
          <w:rFonts w:ascii="Times New Roman" w:eastAsia="宋体" w:hAnsi="Times New Roman" w:cs="Times New Roman" w:hint="eastAsia"/>
          <w:sz w:val="24"/>
        </w:rPr>
        <w:t>）确定衡量股市整体变化的指数</w:t>
      </w:r>
    </w:p>
    <w:p w14:paraId="696404D7" w14:textId="77777777" w:rsidR="00C02929" w:rsidRDefault="006116D1">
      <w:pPr>
        <w:pStyle w:val="affffe"/>
        <w:numPr>
          <w:ilvl w:val="255"/>
          <w:numId w:val="0"/>
        </w:numPr>
        <w:tabs>
          <w:tab w:val="left" w:pos="361"/>
          <w:tab w:val="left" w:pos="900"/>
        </w:tabs>
        <w:adjustRightInd w:val="0"/>
        <w:spacing w:beforeLines="50" w:before="156" w:line="360" w:lineRule="auto"/>
        <w:ind w:firstLine="480"/>
        <w:rPr>
          <w:rFonts w:ascii="Times New Roman" w:eastAsia="宋体" w:hAnsi="Times New Roman" w:cs="Times New Roman"/>
          <w:sz w:val="24"/>
        </w:rPr>
      </w:pPr>
      <w:r>
        <w:rPr>
          <w:rFonts w:ascii="Times New Roman" w:eastAsia="宋体" w:hAnsi="Times New Roman" w:cs="Times New Roman" w:hint="eastAsia"/>
          <w:sz w:val="24"/>
        </w:rPr>
        <w:t>估算股票市场的投资回报率首先需要确定一个衡量股市波动变化的指数。目前国内沪、深两市有许多指数，但是评估师选用的指数应该是能最好反映市场主流股票变化的指数，参照美国相关机构估算美国</w:t>
      </w:r>
      <w:r>
        <w:rPr>
          <w:rFonts w:ascii="Times New Roman" w:eastAsia="宋体" w:hAnsi="Times New Roman" w:cs="Times New Roman" w:hint="eastAsia"/>
          <w:sz w:val="24"/>
        </w:rPr>
        <w:t>ERP</w:t>
      </w:r>
      <w:r>
        <w:rPr>
          <w:rFonts w:ascii="Times New Roman" w:eastAsia="宋体" w:hAnsi="Times New Roman" w:cs="Times New Roman" w:hint="eastAsia"/>
          <w:sz w:val="24"/>
        </w:rPr>
        <w:t>时选用标准普尔</w:t>
      </w:r>
      <w:r>
        <w:rPr>
          <w:rFonts w:ascii="Times New Roman" w:eastAsia="宋体" w:hAnsi="Times New Roman" w:cs="Times New Roman" w:hint="eastAsia"/>
          <w:sz w:val="24"/>
        </w:rPr>
        <w:t>500</w:t>
      </w:r>
      <w:r>
        <w:rPr>
          <w:rFonts w:ascii="Times New Roman" w:eastAsia="宋体" w:hAnsi="Times New Roman" w:cs="Times New Roman" w:hint="eastAsia"/>
          <w:sz w:val="24"/>
        </w:rPr>
        <w:t>（</w:t>
      </w:r>
      <w:r>
        <w:rPr>
          <w:rFonts w:ascii="Times New Roman" w:eastAsia="宋体" w:hAnsi="Times New Roman" w:cs="Times New Roman" w:hint="eastAsia"/>
          <w:sz w:val="24"/>
        </w:rPr>
        <w:t>S&amp;P500</w:t>
      </w:r>
      <w:r>
        <w:rPr>
          <w:rFonts w:ascii="Times New Roman" w:eastAsia="宋体" w:hAnsi="Times New Roman" w:cs="Times New Roman" w:hint="eastAsia"/>
          <w:sz w:val="24"/>
        </w:rPr>
        <w:t>）指数的经验，评估师在估算中国市场</w:t>
      </w:r>
      <w:r>
        <w:rPr>
          <w:rFonts w:ascii="Times New Roman" w:eastAsia="宋体" w:hAnsi="Times New Roman" w:cs="Times New Roman" w:hint="eastAsia"/>
          <w:sz w:val="24"/>
        </w:rPr>
        <w:t>ERP</w:t>
      </w:r>
      <w:r>
        <w:rPr>
          <w:rFonts w:ascii="Times New Roman" w:eastAsia="宋体" w:hAnsi="Times New Roman" w:cs="Times New Roman" w:hint="eastAsia"/>
          <w:sz w:val="24"/>
        </w:rPr>
        <w:t>时选用了沪深</w:t>
      </w:r>
      <w:r>
        <w:rPr>
          <w:rFonts w:ascii="Times New Roman" w:eastAsia="宋体" w:hAnsi="Times New Roman" w:cs="Times New Roman" w:hint="eastAsia"/>
          <w:sz w:val="24"/>
        </w:rPr>
        <w:t>300</w:t>
      </w:r>
      <w:r>
        <w:rPr>
          <w:rFonts w:ascii="Times New Roman" w:eastAsia="宋体" w:hAnsi="Times New Roman" w:cs="Times New Roman" w:hint="eastAsia"/>
          <w:sz w:val="24"/>
        </w:rPr>
        <w:t>指数。沪深</w:t>
      </w:r>
      <w:r>
        <w:rPr>
          <w:rFonts w:ascii="Times New Roman" w:eastAsia="宋体" w:hAnsi="Times New Roman" w:cs="Times New Roman" w:hint="eastAsia"/>
          <w:sz w:val="24"/>
        </w:rPr>
        <w:t>300</w:t>
      </w:r>
      <w:r>
        <w:rPr>
          <w:rFonts w:ascii="Times New Roman" w:eastAsia="宋体" w:hAnsi="Times New Roman" w:cs="Times New Roman" w:hint="eastAsia"/>
          <w:sz w:val="24"/>
        </w:rPr>
        <w:t>指数是</w:t>
      </w:r>
      <w:r>
        <w:rPr>
          <w:rFonts w:ascii="Times New Roman" w:eastAsia="宋体" w:hAnsi="Times New Roman" w:cs="Times New Roman" w:hint="eastAsia"/>
          <w:sz w:val="24"/>
        </w:rPr>
        <w:t>2005</w:t>
      </w:r>
      <w:r>
        <w:rPr>
          <w:rFonts w:ascii="Times New Roman" w:eastAsia="宋体" w:hAnsi="Times New Roman" w:cs="Times New Roman" w:hint="eastAsia"/>
          <w:sz w:val="24"/>
        </w:rPr>
        <w:t>年</w:t>
      </w:r>
      <w:r>
        <w:rPr>
          <w:rFonts w:ascii="Times New Roman" w:eastAsia="宋体" w:hAnsi="Times New Roman" w:cs="Times New Roman" w:hint="eastAsia"/>
          <w:sz w:val="24"/>
        </w:rPr>
        <w:t>4</w:t>
      </w:r>
      <w:r>
        <w:rPr>
          <w:rFonts w:ascii="Times New Roman" w:eastAsia="宋体" w:hAnsi="Times New Roman" w:cs="Times New Roman" w:hint="eastAsia"/>
          <w:sz w:val="24"/>
        </w:rPr>
        <w:t>月</w:t>
      </w:r>
      <w:r>
        <w:rPr>
          <w:rFonts w:ascii="Times New Roman" w:eastAsia="宋体" w:hAnsi="Times New Roman" w:cs="Times New Roman" w:hint="eastAsia"/>
          <w:sz w:val="24"/>
        </w:rPr>
        <w:t>8</w:t>
      </w:r>
      <w:r>
        <w:rPr>
          <w:rFonts w:ascii="Times New Roman" w:eastAsia="宋体" w:hAnsi="Times New Roman" w:cs="Times New Roman" w:hint="eastAsia"/>
          <w:sz w:val="24"/>
        </w:rPr>
        <w:t>日沪深交易所联合发布的第一只跨市场指数，该指数由沪深</w:t>
      </w:r>
      <w:r>
        <w:rPr>
          <w:rFonts w:ascii="Times New Roman" w:eastAsia="宋体" w:hAnsi="Times New Roman" w:cs="Times New Roman" w:hint="eastAsia"/>
          <w:sz w:val="24"/>
        </w:rPr>
        <w:t>A</w:t>
      </w:r>
      <w:r>
        <w:rPr>
          <w:rFonts w:ascii="Times New Roman" w:eastAsia="宋体" w:hAnsi="Times New Roman" w:cs="Times New Roman" w:hint="eastAsia"/>
          <w:sz w:val="24"/>
        </w:rPr>
        <w:t>股中规模大、流动性好、最具代表性的</w:t>
      </w:r>
      <w:r>
        <w:rPr>
          <w:rFonts w:ascii="Times New Roman" w:eastAsia="宋体" w:hAnsi="Times New Roman" w:cs="Times New Roman" w:hint="eastAsia"/>
          <w:sz w:val="24"/>
        </w:rPr>
        <w:t>300</w:t>
      </w:r>
      <w:r>
        <w:rPr>
          <w:rFonts w:ascii="Times New Roman" w:eastAsia="宋体" w:hAnsi="Times New Roman" w:cs="Times New Roman" w:hint="eastAsia"/>
          <w:sz w:val="24"/>
        </w:rPr>
        <w:t>只股票组成，以综合反映沪深</w:t>
      </w:r>
      <w:r>
        <w:rPr>
          <w:rFonts w:ascii="Times New Roman" w:eastAsia="宋体" w:hAnsi="Times New Roman" w:cs="Times New Roman" w:hint="eastAsia"/>
          <w:sz w:val="24"/>
        </w:rPr>
        <w:t>A</w:t>
      </w:r>
      <w:r>
        <w:rPr>
          <w:rFonts w:ascii="Times New Roman" w:eastAsia="宋体" w:hAnsi="Times New Roman" w:cs="Times New Roman" w:hint="eastAsia"/>
          <w:sz w:val="24"/>
        </w:rPr>
        <w:t>股市场整体表现。沪深</w:t>
      </w:r>
      <w:r>
        <w:rPr>
          <w:rFonts w:ascii="Times New Roman" w:eastAsia="宋体" w:hAnsi="Times New Roman" w:cs="Times New Roman" w:hint="eastAsia"/>
          <w:sz w:val="24"/>
        </w:rPr>
        <w:t>300</w:t>
      </w:r>
      <w:r>
        <w:rPr>
          <w:rFonts w:ascii="Times New Roman" w:eastAsia="宋体" w:hAnsi="Times New Roman" w:cs="Times New Roman" w:hint="eastAsia"/>
          <w:sz w:val="24"/>
        </w:rPr>
        <w:t>指数为成份指数，以指数成份股自由流通股本分级靠档后的调整股本作为权重，因此选择该指数成份股可以更真实反映市场中投资收益的情况。</w:t>
      </w:r>
    </w:p>
    <w:p w14:paraId="3D1A9E26" w14:textId="77777777" w:rsidR="00C02929" w:rsidRDefault="006116D1">
      <w:pPr>
        <w:pStyle w:val="affffe"/>
        <w:numPr>
          <w:ilvl w:val="255"/>
          <w:numId w:val="0"/>
        </w:numPr>
        <w:tabs>
          <w:tab w:val="left" w:pos="361"/>
          <w:tab w:val="left" w:pos="900"/>
        </w:tabs>
        <w:adjustRightInd w:val="0"/>
        <w:spacing w:beforeLines="50" w:before="156" w:line="360" w:lineRule="auto"/>
        <w:ind w:firstLineChars="200" w:firstLine="480"/>
        <w:rPr>
          <w:rFonts w:ascii="宋体" w:hAnsi="宋体" w:cs="宋体"/>
        </w:rPr>
      </w:pPr>
      <w:r>
        <w:rPr>
          <w:rFonts w:ascii="宋体" w:eastAsia="宋体" w:hAnsi="宋体" w:cs="宋体"/>
          <w:sz w:val="24"/>
          <w:szCs w:val="24"/>
        </w:rPr>
        <w:t>B</w:t>
      </w:r>
      <w:r>
        <w:rPr>
          <w:rFonts w:ascii="宋体" w:eastAsia="宋体" w:hAnsi="宋体" w:cs="宋体" w:hint="eastAsia"/>
          <w:sz w:val="24"/>
          <w:szCs w:val="24"/>
        </w:rPr>
        <w:t>）收益率计算年期的选择</w:t>
      </w:r>
    </w:p>
    <w:p w14:paraId="4131DCD0" w14:textId="77777777" w:rsidR="00C02929" w:rsidRDefault="006116D1">
      <w:pPr>
        <w:numPr>
          <w:ilvl w:val="255"/>
          <w:numId w:val="0"/>
        </w:numPr>
        <w:tabs>
          <w:tab w:val="left" w:pos="900"/>
        </w:tabs>
        <w:adjustRightInd w:val="0"/>
        <w:spacing w:beforeLines="50" w:before="156" w:line="360" w:lineRule="auto"/>
        <w:ind w:firstLineChars="200" w:firstLine="480"/>
        <w:jc w:val="both"/>
      </w:pPr>
      <w:r>
        <w:rPr>
          <w:rFonts w:hint="eastAsia"/>
        </w:rPr>
        <w:t>所谓收益率计算年期就是考虑到股票价格是随机波动的，存在不确定性，因此为了合理稀释由于股票非系统波动所产生的扰动，我们需要估算一定长度年限股票投资的平均收益率，以最大程度地降低股票非系统波动所可能产生的差异。</w:t>
      </w:r>
      <w:r>
        <w:rPr>
          <w:rFonts w:hint="eastAsia"/>
        </w:rPr>
        <w:lastRenderedPageBreak/>
        <w:t>考虑到中国股市股票波动的特性，我们选择</w:t>
      </w:r>
      <w:r>
        <w:t>10</w:t>
      </w:r>
      <w:r>
        <w:rPr>
          <w:rFonts w:hint="eastAsia"/>
        </w:rPr>
        <w:t>年为间隔期为计算</w:t>
      </w:r>
      <w:r>
        <w:t>ERP</w:t>
      </w:r>
      <w:r>
        <w:rPr>
          <w:rFonts w:hint="eastAsia"/>
        </w:rPr>
        <w:t>的计算年期，也就是说每只成份股的投资回报率都是需要计算其十年的平均值投资回报率作为其未来可能的期望投资回报率。另一方面，中国股市起始于上世纪</w:t>
      </w:r>
      <w:r>
        <w:t>90</w:t>
      </w:r>
      <w:r>
        <w:rPr>
          <w:rFonts w:hint="eastAsia"/>
        </w:rPr>
        <w:t>年代初期，但最初几年发展极不规范，直到</w:t>
      </w:r>
      <w:r>
        <w:t>1997</w:t>
      </w:r>
      <w:r>
        <w:rPr>
          <w:rFonts w:hint="eastAsia"/>
        </w:rPr>
        <w:t>年之后才逐渐走上正规，考虑到上述情况，我们在测算中国股市</w:t>
      </w:r>
      <w:r>
        <w:t>ERP</w:t>
      </w:r>
      <w:r>
        <w:rPr>
          <w:rFonts w:hint="eastAsia"/>
        </w:rPr>
        <w:t>时，计算的最早滚动时间起始于</w:t>
      </w:r>
      <w:r>
        <w:t>1997</w:t>
      </w:r>
      <w:r>
        <w:rPr>
          <w:rFonts w:hint="eastAsia"/>
        </w:rPr>
        <w:t>年，我们具体采用“向前滚动”的方法分别计算了</w:t>
      </w:r>
      <w:r>
        <w:t>2006</w:t>
      </w:r>
      <w:r>
        <w:rPr>
          <w:rFonts w:hint="eastAsia"/>
        </w:rPr>
        <w:t>、</w:t>
      </w:r>
      <w:r>
        <w:t>2007</w:t>
      </w:r>
      <w:r>
        <w:rPr>
          <w:rFonts w:hint="eastAsia"/>
        </w:rPr>
        <w:t>、</w:t>
      </w:r>
      <w:r>
        <w:t>2008</w:t>
      </w:r>
      <w:r>
        <w:rPr>
          <w:rFonts w:hint="eastAsia"/>
        </w:rPr>
        <w:t>、…</w:t>
      </w:r>
      <w:r>
        <w:t>2014</w:t>
      </w:r>
      <w:r>
        <w:rPr>
          <w:rFonts w:hint="eastAsia"/>
        </w:rPr>
        <w:t>和</w:t>
      </w:r>
      <w:r>
        <w:t>2015</w:t>
      </w:r>
      <w:r>
        <w:rPr>
          <w:rFonts w:hint="eastAsia"/>
        </w:rPr>
        <w:t>年的</w:t>
      </w:r>
      <w:r>
        <w:t>ERP</w:t>
      </w:r>
      <w:r>
        <w:rPr>
          <w:rFonts w:hint="eastAsia"/>
        </w:rPr>
        <w:t>，也就是</w:t>
      </w:r>
      <w:r>
        <w:t>2006</w:t>
      </w:r>
      <w:r>
        <w:rPr>
          <w:rFonts w:hint="eastAsia"/>
        </w:rPr>
        <w:t>年</w:t>
      </w:r>
      <w:r>
        <w:t>ERP</w:t>
      </w:r>
      <w:r>
        <w:rPr>
          <w:rFonts w:hint="eastAsia"/>
        </w:rPr>
        <w:t>的计算采用的年期为</w:t>
      </w:r>
      <w:r>
        <w:t>1997</w:t>
      </w:r>
      <w:r>
        <w:rPr>
          <w:rFonts w:hint="eastAsia"/>
        </w:rPr>
        <w:t>年到</w:t>
      </w:r>
      <w:r>
        <w:t>2006</w:t>
      </w:r>
      <w:r>
        <w:rPr>
          <w:rFonts w:hint="eastAsia"/>
        </w:rPr>
        <w:t>年数据，该年度</w:t>
      </w:r>
      <w:r>
        <w:t>ERP</w:t>
      </w:r>
      <w:r>
        <w:rPr>
          <w:rFonts w:hint="eastAsia"/>
        </w:rPr>
        <w:t>的含义是如果在</w:t>
      </w:r>
      <w:r>
        <w:t>1997</w:t>
      </w:r>
      <w:r>
        <w:rPr>
          <w:rFonts w:hint="eastAsia"/>
        </w:rPr>
        <w:t>年购买指数成份股股票持有到</w:t>
      </w:r>
      <w:r>
        <w:t>2003</w:t>
      </w:r>
      <w:r>
        <w:rPr>
          <w:rFonts w:hint="eastAsia"/>
        </w:rPr>
        <w:t>年后每年平均超额收益率；</w:t>
      </w:r>
      <w:r>
        <w:t>2007</w:t>
      </w:r>
      <w:r>
        <w:rPr>
          <w:rFonts w:hint="eastAsia"/>
        </w:rPr>
        <w:t>年的</w:t>
      </w:r>
      <w:r>
        <w:t>ERP</w:t>
      </w:r>
      <w:r>
        <w:rPr>
          <w:rFonts w:hint="eastAsia"/>
        </w:rPr>
        <w:t>计算采用的年限为</w:t>
      </w:r>
      <w:r>
        <w:t>1998</w:t>
      </w:r>
      <w:r>
        <w:rPr>
          <w:rFonts w:hint="eastAsia"/>
        </w:rPr>
        <w:t>年到</w:t>
      </w:r>
      <w:r>
        <w:t>2007</w:t>
      </w:r>
      <w:r>
        <w:rPr>
          <w:rFonts w:hint="eastAsia"/>
        </w:rPr>
        <w:t>年，该年度</w:t>
      </w:r>
      <w:r>
        <w:t>ERP</w:t>
      </w:r>
      <w:r>
        <w:rPr>
          <w:rFonts w:hint="eastAsia"/>
        </w:rPr>
        <w:t>的含义是如果在</w:t>
      </w:r>
      <w:r>
        <w:t>1998</w:t>
      </w:r>
      <w:r>
        <w:rPr>
          <w:rFonts w:hint="eastAsia"/>
        </w:rPr>
        <w:t>年购买指数成份股股票持有到</w:t>
      </w:r>
      <w:r>
        <w:t>2008</w:t>
      </w:r>
      <w:r>
        <w:rPr>
          <w:rFonts w:hint="eastAsia"/>
        </w:rPr>
        <w:t>年后每年平均超额收益率；以此类推，当计算</w:t>
      </w:r>
      <w:r>
        <w:t>2015</w:t>
      </w:r>
      <w:r>
        <w:rPr>
          <w:rFonts w:hint="eastAsia"/>
        </w:rPr>
        <w:t>年</w:t>
      </w:r>
      <w:r>
        <w:t>ERP</w:t>
      </w:r>
      <w:r>
        <w:rPr>
          <w:rFonts w:hint="eastAsia"/>
        </w:rPr>
        <w:t>时我们采用的年限为</w:t>
      </w:r>
      <w:r>
        <w:t>2006</w:t>
      </w:r>
      <w:r>
        <w:rPr>
          <w:rFonts w:hint="eastAsia"/>
        </w:rPr>
        <w:t>年到</w:t>
      </w:r>
      <w:r>
        <w:t>2015</w:t>
      </w:r>
      <w:r>
        <w:rPr>
          <w:rFonts w:hint="eastAsia"/>
        </w:rPr>
        <w:t>年（</w:t>
      </w:r>
      <w:r>
        <w:t>10</w:t>
      </w:r>
      <w:r>
        <w:rPr>
          <w:rFonts w:hint="eastAsia"/>
        </w:rPr>
        <w:t>年年期），该年度</w:t>
      </w:r>
      <w:r>
        <w:t>ERP</w:t>
      </w:r>
      <w:r>
        <w:rPr>
          <w:rFonts w:hint="eastAsia"/>
        </w:rPr>
        <w:t>的含义是如果在</w:t>
      </w:r>
      <w:r>
        <w:t>2006</w:t>
      </w:r>
      <w:r>
        <w:rPr>
          <w:rFonts w:hint="eastAsia"/>
        </w:rPr>
        <w:t>年购买指数成份股股票持有到</w:t>
      </w:r>
      <w:r>
        <w:t>2015</w:t>
      </w:r>
      <w:r>
        <w:rPr>
          <w:rFonts w:hint="eastAsia"/>
        </w:rPr>
        <w:t>年后每年平均超额收益率。</w:t>
      </w:r>
    </w:p>
    <w:p w14:paraId="30F0FC91" w14:textId="77777777" w:rsidR="00C02929" w:rsidRDefault="006116D1">
      <w:pPr>
        <w:numPr>
          <w:ilvl w:val="255"/>
          <w:numId w:val="0"/>
        </w:numPr>
        <w:tabs>
          <w:tab w:val="left" w:pos="900"/>
        </w:tabs>
        <w:adjustRightIn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）指数成份股的确定</w:t>
      </w:r>
    </w:p>
    <w:p w14:paraId="28161AD2" w14:textId="77777777" w:rsidR="00C02929" w:rsidRDefault="006116D1">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沪深</w:t>
      </w:r>
      <w:r>
        <w:rPr>
          <w:rFonts w:ascii="Times New Roman" w:hAnsi="Times New Roman" w:cs="Times New Roman" w:hint="eastAsia"/>
        </w:rPr>
        <w:t>300</w:t>
      </w:r>
      <w:r>
        <w:rPr>
          <w:rFonts w:ascii="Times New Roman" w:hAnsi="Times New Roman" w:cs="Times New Roman" w:hint="eastAsia"/>
        </w:rPr>
        <w:t>指数的成份股每年是发生变化的，因此我们在估算时采用每年年底时沪深</w:t>
      </w:r>
      <w:r>
        <w:rPr>
          <w:rFonts w:ascii="Times New Roman" w:hAnsi="Times New Roman" w:cs="Times New Roman" w:hint="eastAsia"/>
        </w:rPr>
        <w:t>300</w:t>
      </w:r>
      <w:r>
        <w:rPr>
          <w:rFonts w:ascii="Times New Roman" w:hAnsi="Times New Roman" w:cs="Times New Roman" w:hint="eastAsia"/>
        </w:rPr>
        <w:t>指数的成份股，即当计算</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ERP</w:t>
      </w:r>
      <w:r>
        <w:rPr>
          <w:rFonts w:ascii="Times New Roman" w:hAnsi="Times New Roman" w:cs="Times New Roman" w:hint="eastAsia"/>
        </w:rPr>
        <w:t>时采用</w:t>
      </w:r>
      <w:r>
        <w:rPr>
          <w:rFonts w:ascii="Times New Roman" w:hAnsi="Times New Roman" w:cs="Times New Roman" w:hint="eastAsia"/>
        </w:rPr>
        <w:t>2015</w:t>
      </w:r>
      <w:r>
        <w:rPr>
          <w:rFonts w:ascii="Times New Roman" w:hAnsi="Times New Roman" w:cs="Times New Roman" w:hint="eastAsia"/>
        </w:rPr>
        <w:t>年底沪深</w:t>
      </w:r>
      <w:r>
        <w:rPr>
          <w:rFonts w:ascii="Times New Roman" w:hAnsi="Times New Roman" w:cs="Times New Roman" w:hint="eastAsia"/>
        </w:rPr>
        <w:t>300</w:t>
      </w:r>
      <w:r>
        <w:rPr>
          <w:rFonts w:ascii="Times New Roman" w:hAnsi="Times New Roman" w:cs="Times New Roman" w:hint="eastAsia"/>
        </w:rPr>
        <w:t>指数的成份股；计算</w:t>
      </w:r>
      <w:r>
        <w:rPr>
          <w:rFonts w:ascii="Times New Roman" w:hAnsi="Times New Roman" w:cs="Times New Roman" w:hint="eastAsia"/>
        </w:rPr>
        <w:t>2014</w:t>
      </w:r>
      <w:r>
        <w:rPr>
          <w:rFonts w:ascii="Times New Roman" w:hAnsi="Times New Roman" w:cs="Times New Roman" w:hint="eastAsia"/>
        </w:rPr>
        <w:t>年</w:t>
      </w:r>
      <w:r>
        <w:rPr>
          <w:rFonts w:ascii="Times New Roman" w:hAnsi="Times New Roman" w:cs="Times New Roman" w:hint="eastAsia"/>
        </w:rPr>
        <w:t>ERP</w:t>
      </w:r>
      <w:r>
        <w:rPr>
          <w:rFonts w:ascii="Times New Roman" w:hAnsi="Times New Roman" w:cs="Times New Roman" w:hint="eastAsia"/>
        </w:rPr>
        <w:t>时采用沪深</w:t>
      </w:r>
      <w:r>
        <w:rPr>
          <w:rFonts w:ascii="Times New Roman" w:hAnsi="Times New Roman" w:cs="Times New Roman" w:hint="eastAsia"/>
        </w:rPr>
        <w:t>300</w:t>
      </w:r>
      <w:r>
        <w:rPr>
          <w:rFonts w:ascii="Times New Roman" w:hAnsi="Times New Roman" w:cs="Times New Roman" w:hint="eastAsia"/>
        </w:rPr>
        <w:t>指数</w:t>
      </w:r>
      <w:r>
        <w:rPr>
          <w:rFonts w:ascii="Times New Roman" w:hAnsi="Times New Roman" w:cs="Times New Roman" w:hint="eastAsia"/>
        </w:rPr>
        <w:t>2014</w:t>
      </w:r>
      <w:r>
        <w:rPr>
          <w:rFonts w:ascii="Times New Roman" w:hAnsi="Times New Roman" w:cs="Times New Roman" w:hint="eastAsia"/>
        </w:rPr>
        <w:t>年底的成份股。</w:t>
      </w:r>
    </w:p>
    <w:p w14:paraId="730FC373" w14:textId="77777777" w:rsidR="00C02929" w:rsidRDefault="006116D1">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）数据的采集</w:t>
      </w:r>
    </w:p>
    <w:p w14:paraId="3ECA18D3" w14:textId="77777777" w:rsidR="00C02929" w:rsidRDefault="006116D1">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w:t>
      </w:r>
      <w:r>
        <w:rPr>
          <w:rFonts w:ascii="Times New Roman" w:hAnsi="Times New Roman" w:cs="Times New Roman" w:hint="eastAsia"/>
        </w:rPr>
        <w:t>ERP</w:t>
      </w:r>
      <w:r>
        <w:rPr>
          <w:rFonts w:ascii="Times New Roman" w:hAnsi="Times New Roman" w:cs="Times New Roman" w:hint="eastAsia"/>
        </w:rPr>
        <w:t>测算我们借助同花顺</w:t>
      </w:r>
      <w:r>
        <w:rPr>
          <w:rFonts w:ascii="Times New Roman" w:hAnsi="Times New Roman" w:cs="Times New Roman" w:hint="eastAsia"/>
        </w:rPr>
        <w:t>iFinD</w:t>
      </w:r>
      <w:r>
        <w:rPr>
          <w:rFonts w:ascii="Times New Roman" w:hAnsi="Times New Roman" w:cs="Times New Roman" w:hint="eastAsia"/>
        </w:rPr>
        <w:t>的数据系统提供所选择的各成份股每年年末的交易收盘价。由于成份股收益中应该包括每年分红、派息等产生的收益，因此我们需要考虑所谓分红、派息等产生的收益，为此我们选用的年末收盘价是同花顺</w:t>
      </w:r>
      <w:r>
        <w:rPr>
          <w:rFonts w:ascii="Times New Roman" w:hAnsi="Times New Roman" w:cs="Times New Roman" w:hint="eastAsia"/>
        </w:rPr>
        <w:t>iFinD</w:t>
      </w:r>
      <w:r>
        <w:rPr>
          <w:rFonts w:ascii="Times New Roman" w:hAnsi="Times New Roman" w:cs="Times New Roman" w:hint="eastAsia"/>
        </w:rPr>
        <w:t>数据中的年末“复权”价。例如在计算</w:t>
      </w:r>
      <w:r>
        <w:rPr>
          <w:rFonts w:ascii="Times New Roman" w:hAnsi="Times New Roman" w:cs="Times New Roman" w:hint="eastAsia"/>
        </w:rPr>
        <w:t>2015</w:t>
      </w:r>
      <w:r>
        <w:rPr>
          <w:rFonts w:ascii="Times New Roman" w:hAnsi="Times New Roman" w:cs="Times New Roman" w:hint="eastAsia"/>
        </w:rPr>
        <w:t>年</w:t>
      </w:r>
      <w:r>
        <w:rPr>
          <w:rFonts w:ascii="Times New Roman" w:hAnsi="Times New Roman" w:cs="Times New Roman" w:hint="eastAsia"/>
        </w:rPr>
        <w:t>ERP</w:t>
      </w:r>
      <w:r>
        <w:rPr>
          <w:rFonts w:ascii="Times New Roman" w:hAnsi="Times New Roman" w:cs="Times New Roman" w:hint="eastAsia"/>
        </w:rPr>
        <w:t>时选用数据是从</w:t>
      </w:r>
      <w:r>
        <w:rPr>
          <w:rFonts w:ascii="Times New Roman" w:hAnsi="Times New Roman" w:cs="Times New Roman" w:hint="eastAsia"/>
        </w:rPr>
        <w:t>2006-12-31</w:t>
      </w:r>
      <w:r>
        <w:rPr>
          <w:rFonts w:ascii="Times New Roman" w:hAnsi="Times New Roman" w:cs="Times New Roman" w:hint="eastAsia"/>
        </w:rPr>
        <w:t>起至</w:t>
      </w:r>
      <w:r>
        <w:rPr>
          <w:rFonts w:ascii="Times New Roman" w:hAnsi="Times New Roman" w:cs="Times New Roman" w:hint="eastAsia"/>
        </w:rPr>
        <w:t>2015-12-31</w:t>
      </w:r>
      <w:r>
        <w:rPr>
          <w:rFonts w:ascii="Times New Roman" w:hAnsi="Times New Roman" w:cs="Times New Roman" w:hint="eastAsia"/>
        </w:rPr>
        <w:t>止的以</w:t>
      </w:r>
      <w:r>
        <w:rPr>
          <w:rFonts w:ascii="Times New Roman" w:hAnsi="Times New Roman" w:cs="Times New Roman" w:hint="eastAsia"/>
        </w:rPr>
        <w:t>1997</w:t>
      </w:r>
      <w:r>
        <w:rPr>
          <w:rFonts w:ascii="Times New Roman" w:hAnsi="Times New Roman" w:cs="Times New Roman" w:hint="eastAsia"/>
        </w:rPr>
        <w:t>年</w:t>
      </w:r>
      <w:r>
        <w:rPr>
          <w:rFonts w:ascii="Times New Roman" w:hAnsi="Times New Roman" w:cs="Times New Roman" w:hint="eastAsia"/>
        </w:rPr>
        <w:t>12</w:t>
      </w:r>
      <w:r>
        <w:rPr>
          <w:rFonts w:ascii="Times New Roman" w:hAnsi="Times New Roman" w:cs="Times New Roman" w:hint="eastAsia"/>
        </w:rPr>
        <w:t>月</w:t>
      </w:r>
      <w:r>
        <w:rPr>
          <w:rFonts w:ascii="Times New Roman" w:hAnsi="Times New Roman" w:cs="Times New Roman" w:hint="eastAsia"/>
        </w:rPr>
        <w:t>31</w:t>
      </w:r>
      <w:r>
        <w:rPr>
          <w:rFonts w:ascii="Times New Roman" w:hAnsi="Times New Roman" w:cs="Times New Roman" w:hint="eastAsia"/>
        </w:rPr>
        <w:t>日为基准的年末复权价，上述价格中已经有效的将每年由于分红、派息等产生的收益反映在价格中。</w:t>
      </w:r>
    </w:p>
    <w:p w14:paraId="6A272ED7" w14:textId="77777777" w:rsidR="00C02929" w:rsidRDefault="006116D1">
      <w:p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E</w:t>
      </w:r>
      <w:r>
        <w:rPr>
          <w:rFonts w:ascii="Times New Roman" w:hAnsi="Times New Roman" w:cs="Times New Roman" w:hint="eastAsia"/>
        </w:rPr>
        <w:t>）年收益率的计算采用算术平均值和几何平均值两种计算方法</w:t>
      </w:r>
    </w:p>
    <w:p w14:paraId="7C3CE649" w14:textId="77777777" w:rsidR="00C02929" w:rsidRDefault="006116D1">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算术平均值计算方法：</w:t>
      </w:r>
    </w:p>
    <w:p w14:paraId="475B8C35"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设：每年收益率为</w:t>
      </w:r>
      <w:r>
        <w:rPr>
          <w:rFonts w:ascii="Times New Roman" w:hAnsi="Times New Roman" w:cs="Times New Roman" w:hint="eastAsia"/>
        </w:rPr>
        <w:t>R</w:t>
      </w:r>
      <w:r>
        <w:rPr>
          <w:rFonts w:ascii="Times New Roman" w:hAnsi="Times New Roman" w:cs="Times New Roman"/>
          <w:vertAlign w:val="subscript"/>
        </w:rPr>
        <w:t>i</w:t>
      </w:r>
      <w:r>
        <w:rPr>
          <w:rFonts w:ascii="Times New Roman" w:hAnsi="Times New Roman" w:cs="Times New Roman" w:hint="eastAsia"/>
        </w:rPr>
        <w:t>，则：</w:t>
      </w:r>
    </w:p>
    <w:p w14:paraId="1E1EB9AD"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lastRenderedPageBreak/>
        <w:t>R</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P</w:t>
      </w:r>
      <w:r>
        <w:rPr>
          <w:rFonts w:ascii="Times New Roman" w:hAnsi="Times New Roman" w:cs="Times New Roman"/>
          <w:vertAlign w:val="subscript"/>
        </w:rPr>
        <w:t>i-1</w:t>
      </w:r>
      <w:r>
        <w:rPr>
          <w:rFonts w:ascii="Times New Roman" w:hAnsi="Times New Roman" w:cs="Times New Roman"/>
        </w:rPr>
        <w:t>)/P</w:t>
      </w:r>
      <w:r>
        <w:rPr>
          <w:rFonts w:ascii="Times New Roman" w:hAnsi="Times New Roman" w:cs="Times New Roman"/>
          <w:vertAlign w:val="subscript"/>
        </w:rPr>
        <w:t>i</w:t>
      </w:r>
      <w:r>
        <w:rPr>
          <w:rFonts w:ascii="Times New Roman" w:hAnsi="Times New Roman" w:cs="Times New Roman"/>
        </w:rPr>
        <w:t xml:space="preserve"> (i=1,2,3,……,N)</w:t>
      </w:r>
    </w:p>
    <w:p w14:paraId="1BC5F552"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R</w:t>
      </w:r>
      <w:r>
        <w:rPr>
          <w:rFonts w:ascii="Times New Roman" w:hAnsi="Times New Roman" w:cs="Times New Roman"/>
          <w:vertAlign w:val="subscript"/>
        </w:rPr>
        <w:t>i</w:t>
      </w:r>
      <w:r>
        <w:rPr>
          <w:rFonts w:ascii="Times New Roman" w:hAnsi="Times New Roman" w:cs="Times New Roman" w:hint="eastAsia"/>
        </w:rPr>
        <w:t>为第</w:t>
      </w:r>
      <w:r>
        <w:rPr>
          <w:rFonts w:ascii="Times New Roman" w:hAnsi="Times New Roman" w:cs="Times New Roman" w:hint="eastAsia"/>
        </w:rPr>
        <w:t>i</w:t>
      </w:r>
      <w:r>
        <w:rPr>
          <w:rFonts w:ascii="Times New Roman" w:hAnsi="Times New Roman" w:cs="Times New Roman" w:hint="eastAsia"/>
        </w:rPr>
        <w:t>年收益率，</w:t>
      </w:r>
      <w:r>
        <w:rPr>
          <w:rFonts w:ascii="Times New Roman" w:hAnsi="Times New Roman" w:cs="Times New Roman" w:hint="eastAsia"/>
        </w:rPr>
        <w:t>P</w:t>
      </w:r>
      <w:r>
        <w:rPr>
          <w:rFonts w:ascii="Times New Roman" w:hAnsi="Times New Roman" w:cs="Times New Roman"/>
          <w:vertAlign w:val="subscript"/>
        </w:rPr>
        <w:t>i</w:t>
      </w:r>
      <w:r>
        <w:rPr>
          <w:rFonts w:ascii="Times New Roman" w:hAnsi="Times New Roman" w:cs="Times New Roman" w:hint="eastAsia"/>
        </w:rPr>
        <w:t>为第</w:t>
      </w:r>
      <w:r>
        <w:rPr>
          <w:rFonts w:ascii="Times New Roman" w:hAnsi="Times New Roman" w:cs="Times New Roman" w:hint="eastAsia"/>
        </w:rPr>
        <w:t>i</w:t>
      </w:r>
      <w:r>
        <w:rPr>
          <w:rFonts w:ascii="Times New Roman" w:hAnsi="Times New Roman" w:cs="Times New Roman" w:hint="eastAsia"/>
        </w:rPr>
        <w:t>年年末交易收盘价</w:t>
      </w:r>
      <w:r>
        <w:rPr>
          <w:rFonts w:ascii="Times New Roman" w:hAnsi="Times New Roman" w:cs="Times New Roman" w:hint="eastAsia"/>
        </w:rPr>
        <w:t>(</w:t>
      </w:r>
      <w:r>
        <w:rPr>
          <w:rFonts w:ascii="Times New Roman" w:hAnsi="Times New Roman" w:cs="Times New Roman" w:hint="eastAsia"/>
        </w:rPr>
        <w:t>复权</w:t>
      </w:r>
      <w:r>
        <w:rPr>
          <w:rFonts w:ascii="Times New Roman" w:hAnsi="Times New Roman" w:cs="Times New Roman" w:hint="eastAsia"/>
        </w:rPr>
        <w:t>)</w:t>
      </w:r>
    </w:p>
    <w:p w14:paraId="14610B9B"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设第</w:t>
      </w:r>
      <w:r>
        <w:rPr>
          <w:rFonts w:ascii="Times New Roman" w:hAnsi="Times New Roman" w:cs="Times New Roman" w:hint="eastAsia"/>
        </w:rPr>
        <w:t>1</w:t>
      </w:r>
      <w:r>
        <w:rPr>
          <w:rFonts w:ascii="Times New Roman" w:hAnsi="Times New Roman" w:cs="Times New Roman" w:hint="eastAsia"/>
        </w:rPr>
        <w:t>年到第</w:t>
      </w:r>
      <w:r>
        <w:rPr>
          <w:rFonts w:ascii="Times New Roman" w:hAnsi="Times New Roman" w:cs="Times New Roman" w:hint="eastAsia"/>
        </w:rPr>
        <w:t>n</w:t>
      </w:r>
      <w:r>
        <w:rPr>
          <w:rFonts w:ascii="Times New Roman" w:hAnsi="Times New Roman" w:cs="Times New Roman" w:hint="eastAsia"/>
        </w:rPr>
        <w:t>年的收益平均值为</w:t>
      </w:r>
      <w:r>
        <w:rPr>
          <w:rFonts w:ascii="Times New Roman" w:hAnsi="Times New Roman" w:cs="Times New Roman" w:hint="eastAsia"/>
        </w:rPr>
        <w:t>A</w:t>
      </w:r>
      <w:r>
        <w:rPr>
          <w:rFonts w:ascii="Times New Roman" w:hAnsi="Times New Roman" w:cs="Times New Roman"/>
          <w:vertAlign w:val="subscript"/>
        </w:rPr>
        <w:t>n</w:t>
      </w:r>
      <w:r>
        <w:rPr>
          <w:rFonts w:ascii="Times New Roman" w:hAnsi="Times New Roman" w:cs="Times New Roman" w:hint="eastAsia"/>
        </w:rPr>
        <w:t>，则：</w:t>
      </w:r>
    </w:p>
    <w:p w14:paraId="6A06F15A" w14:textId="77777777" w:rsidR="00C02929" w:rsidRDefault="006116D1">
      <w:pPr>
        <w:spacing w:line="360" w:lineRule="auto"/>
        <w:ind w:firstLineChars="200" w:firstLine="480"/>
        <w:jc w:val="both"/>
        <w:rPr>
          <w:rFonts w:ascii="Times New Roman" w:hAnsi="Times New Roman" w:cs="Times New Roman"/>
        </w:rPr>
      </w:pPr>
      <w:r>
        <w:rPr>
          <w:rFonts w:ascii="Times New Roman" w:hAnsi="Times New Roman" w:cs="Times New Roman"/>
          <w:position w:val="-30"/>
        </w:rPr>
        <w:object w:dxaOrig="1590" w:dyaOrig="864" w14:anchorId="073D7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pt;height:43.3pt" o:ole="">
            <v:imagedata r:id="rId45" o:title=""/>
          </v:shape>
          <o:OLEObject Type="Embed" ProgID="Equation.3" ShapeID="_x0000_i1025" DrawAspect="Content" ObjectID="_1680433037" r:id="rId46"/>
        </w:object>
      </w:r>
    </w:p>
    <w:p w14:paraId="276604CE"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A</w:t>
      </w:r>
      <w:r>
        <w:rPr>
          <w:rFonts w:ascii="Times New Roman" w:hAnsi="Times New Roman" w:cs="Times New Roman"/>
          <w:vertAlign w:val="subscript"/>
        </w:rPr>
        <w:t>n</w:t>
      </w:r>
      <w:r>
        <w:rPr>
          <w:rFonts w:ascii="Times New Roman" w:hAnsi="Times New Roman" w:cs="Times New Roman" w:hint="eastAsia"/>
        </w:rPr>
        <w:t>为第</w:t>
      </w:r>
      <w:r>
        <w:rPr>
          <w:rFonts w:ascii="Times New Roman" w:hAnsi="Times New Roman" w:cs="Times New Roman" w:hint="eastAsia"/>
        </w:rPr>
        <w:t>1</w:t>
      </w:r>
      <w:r>
        <w:rPr>
          <w:rFonts w:ascii="Times New Roman" w:hAnsi="Times New Roman" w:cs="Times New Roman" w:hint="eastAsia"/>
        </w:rPr>
        <w:t>年到第</w:t>
      </w:r>
      <w:r>
        <w:rPr>
          <w:rFonts w:ascii="Times New Roman" w:hAnsi="Times New Roman" w:cs="Times New Roman" w:hint="eastAsia"/>
        </w:rPr>
        <w:t>n</w:t>
      </w:r>
      <w:r>
        <w:rPr>
          <w:rFonts w:ascii="Times New Roman" w:hAnsi="Times New Roman" w:cs="Times New Roman" w:hint="eastAsia"/>
        </w:rPr>
        <w:t>年收益率的算术平均值，</w:t>
      </w:r>
      <w:r>
        <w:rPr>
          <w:rFonts w:ascii="Times New Roman" w:hAnsi="Times New Roman" w:cs="Times New Roman" w:hint="eastAsia"/>
        </w:rPr>
        <w:t>n=1,2,3,</w:t>
      </w:r>
      <w:r>
        <w:rPr>
          <w:rFonts w:ascii="Times New Roman" w:hAnsi="Times New Roman" w:cs="Times New Roman" w:hint="eastAsia"/>
        </w:rPr>
        <w:t>……</w:t>
      </w:r>
      <w:r>
        <w:rPr>
          <w:rFonts w:ascii="Times New Roman" w:hAnsi="Times New Roman" w:cs="Times New Roman" w:hint="eastAsia"/>
        </w:rPr>
        <w:t>,9</w:t>
      </w:r>
      <w:r>
        <w:rPr>
          <w:rFonts w:ascii="Times New Roman" w:hAnsi="Times New Roman" w:cs="Times New Roman" w:hint="eastAsia"/>
        </w:rPr>
        <w:t>，</w:t>
      </w:r>
      <w:r>
        <w:rPr>
          <w:rFonts w:ascii="Times New Roman" w:hAnsi="Times New Roman" w:cs="Times New Roman" w:hint="eastAsia"/>
        </w:rPr>
        <w:t>N</w:t>
      </w:r>
      <w:r>
        <w:rPr>
          <w:rFonts w:ascii="Times New Roman" w:hAnsi="Times New Roman" w:cs="Times New Roman" w:hint="eastAsia"/>
        </w:rPr>
        <w:t>是计算每年</w:t>
      </w:r>
      <w:r>
        <w:rPr>
          <w:rFonts w:ascii="Times New Roman" w:hAnsi="Times New Roman" w:cs="Times New Roman" w:hint="eastAsia"/>
        </w:rPr>
        <w:t>ERP</w:t>
      </w:r>
      <w:r>
        <w:rPr>
          <w:rFonts w:ascii="Times New Roman" w:hAnsi="Times New Roman" w:cs="Times New Roman" w:hint="eastAsia"/>
        </w:rPr>
        <w:t>时的有效年限。</w:t>
      </w:r>
    </w:p>
    <w:p w14:paraId="0FD31706" w14:textId="77777777" w:rsidR="00C02929" w:rsidRDefault="006116D1">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hint="eastAsia"/>
          <w:lang w:bidi="ar"/>
        </w:rPr>
        <w:t>几何平均值计算方法：</w:t>
      </w:r>
    </w:p>
    <w:p w14:paraId="3026FFE5"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设第</w:t>
      </w:r>
      <w:r>
        <w:rPr>
          <w:rFonts w:ascii="Times New Roman" w:hAnsi="Times New Roman" w:cs="Times New Roman" w:hint="eastAsia"/>
        </w:rPr>
        <w:t>1</w:t>
      </w:r>
      <w:r>
        <w:rPr>
          <w:rFonts w:ascii="Times New Roman" w:hAnsi="Times New Roman" w:cs="Times New Roman" w:hint="eastAsia"/>
        </w:rPr>
        <w:t>年到第</w:t>
      </w:r>
      <w:r>
        <w:rPr>
          <w:rFonts w:ascii="Times New Roman" w:hAnsi="Times New Roman" w:cs="Times New Roman" w:hint="eastAsia"/>
        </w:rPr>
        <w:t>i</w:t>
      </w:r>
      <w:r>
        <w:rPr>
          <w:rFonts w:ascii="Times New Roman" w:hAnsi="Times New Roman" w:cs="Times New Roman" w:hint="eastAsia"/>
        </w:rPr>
        <w:t>年的几何平均值为</w:t>
      </w:r>
      <w:r>
        <w:rPr>
          <w:rFonts w:ascii="Times New Roman" w:hAnsi="Times New Roman" w:cs="Times New Roman" w:hint="eastAsia"/>
        </w:rPr>
        <w:t>C</w:t>
      </w:r>
      <w:r>
        <w:rPr>
          <w:rFonts w:ascii="Times New Roman" w:hAnsi="Times New Roman" w:cs="Times New Roman"/>
          <w:vertAlign w:val="subscript"/>
        </w:rPr>
        <w:t>i</w:t>
      </w:r>
      <w:r>
        <w:rPr>
          <w:rFonts w:ascii="Times New Roman" w:hAnsi="Times New Roman" w:cs="Times New Roman" w:hint="eastAsia"/>
        </w:rPr>
        <w:t>，则：</w:t>
      </w:r>
    </w:p>
    <w:p w14:paraId="6333CF4D" w14:textId="77777777" w:rsidR="00C02929" w:rsidRDefault="006116D1">
      <w:pPr>
        <w:spacing w:line="360" w:lineRule="auto"/>
        <w:ind w:firstLineChars="200" w:firstLine="480"/>
        <w:jc w:val="both"/>
        <w:rPr>
          <w:rFonts w:ascii="Times New Roman" w:hAnsi="Times New Roman" w:cs="Times New Roman"/>
        </w:rPr>
      </w:pPr>
      <w:r>
        <w:rPr>
          <w:rFonts w:ascii="Times New Roman" w:hAnsi="Times New Roman" w:cs="Times New Roman"/>
          <w:position w:val="-12"/>
        </w:rPr>
        <w:object w:dxaOrig="2166" w:dyaOrig="576" w14:anchorId="5BA61988">
          <v:shape id="_x0000_i1026" type="#_x0000_t75" style="width:108pt;height:28.7pt" o:ole="">
            <v:imagedata r:id="rId47" o:title=""/>
          </v:shape>
          <o:OLEObject Type="Embed" ProgID="Equation.3" ShapeID="_x0000_i1026" DrawAspect="Content" ObjectID="_1680433038" r:id="rId48"/>
        </w:object>
      </w:r>
      <w:r>
        <w:rPr>
          <w:rFonts w:ascii="Times New Roman" w:hAnsi="Times New Roman" w:cs="Times New Roman"/>
        </w:rPr>
        <w:t xml:space="preserve"> (i=2</w:t>
      </w: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N)</w:t>
      </w:r>
    </w:p>
    <w:p w14:paraId="55A4B861"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P</w:t>
      </w:r>
      <w:r>
        <w:rPr>
          <w:rFonts w:ascii="Times New Roman" w:hAnsi="Times New Roman" w:cs="Times New Roman"/>
          <w:vertAlign w:val="subscript"/>
        </w:rPr>
        <w:t>i</w:t>
      </w:r>
      <w:r>
        <w:rPr>
          <w:rFonts w:ascii="Times New Roman" w:hAnsi="Times New Roman" w:cs="Times New Roman" w:hint="eastAsia"/>
        </w:rPr>
        <w:t>为第</w:t>
      </w:r>
      <w:r>
        <w:rPr>
          <w:rFonts w:ascii="Times New Roman" w:hAnsi="Times New Roman" w:cs="Times New Roman" w:hint="eastAsia"/>
        </w:rPr>
        <w:t>i</w:t>
      </w:r>
      <w:r>
        <w:rPr>
          <w:rFonts w:ascii="Times New Roman" w:hAnsi="Times New Roman" w:cs="Times New Roman" w:hint="eastAsia"/>
        </w:rPr>
        <w:t>年年末交易收盘价（后复权）</w:t>
      </w:r>
    </w:p>
    <w:p w14:paraId="2B42414C" w14:textId="77777777" w:rsidR="00C02929" w:rsidRDefault="006116D1">
      <w:pPr>
        <w:numPr>
          <w:ilvl w:val="255"/>
          <w:numId w:val="0"/>
        </w:num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F</w:t>
      </w:r>
      <w:r>
        <w:rPr>
          <w:rFonts w:ascii="Times New Roman" w:hAnsi="Times New Roman" w:cs="Times New Roman" w:hint="eastAsia"/>
        </w:rPr>
        <w:t>）无风险收益率</w:t>
      </w:r>
      <w:r>
        <w:rPr>
          <w:rFonts w:ascii="Times New Roman" w:hAnsi="Times New Roman" w:cs="Times New Roman" w:hint="eastAsia"/>
        </w:rPr>
        <w:t>R</w:t>
      </w:r>
      <w:r>
        <w:rPr>
          <w:rFonts w:ascii="Times New Roman" w:hAnsi="Times New Roman" w:cs="Times New Roman"/>
          <w:vertAlign w:val="subscript"/>
        </w:rPr>
        <w:t>fi</w:t>
      </w:r>
      <w:r>
        <w:rPr>
          <w:rFonts w:ascii="Times New Roman" w:hAnsi="Times New Roman" w:cs="Times New Roman" w:hint="eastAsia"/>
        </w:rPr>
        <w:t>的估算</w:t>
      </w:r>
    </w:p>
    <w:p w14:paraId="27CFD535" w14:textId="77777777" w:rsidR="00C02929" w:rsidRDefault="006116D1">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为了估算每年的</w:t>
      </w:r>
      <w:r>
        <w:rPr>
          <w:rFonts w:ascii="Times New Roman" w:hAnsi="Times New Roman" w:cs="Times New Roman" w:hint="eastAsia"/>
        </w:rPr>
        <w:t>ERP</w:t>
      </w:r>
      <w:r>
        <w:rPr>
          <w:rFonts w:ascii="Times New Roman" w:hAnsi="Times New Roman" w:cs="Times New Roman" w:hint="eastAsia"/>
        </w:rPr>
        <w:t>，需要估算计算期每年的无风险收益率</w:t>
      </w:r>
      <w:r>
        <w:rPr>
          <w:rFonts w:ascii="Times New Roman" w:hAnsi="Times New Roman" w:cs="Times New Roman" w:hint="eastAsia"/>
        </w:rPr>
        <w:t>Rf</w:t>
      </w:r>
      <w:r>
        <w:rPr>
          <w:rFonts w:ascii="Times New Roman" w:hAnsi="Times New Roman" w:cs="Times New Roman"/>
          <w:vertAlign w:val="subscript"/>
        </w:rPr>
        <w:t>i</w:t>
      </w:r>
      <w:r>
        <w:rPr>
          <w:rFonts w:ascii="Times New Roman" w:hAnsi="Times New Roman" w:cs="Times New Roman" w:hint="eastAsia"/>
        </w:rPr>
        <w:t>，本次测算我们采用国债的到期收益率（</w:t>
      </w:r>
      <w:r>
        <w:rPr>
          <w:rFonts w:ascii="Times New Roman" w:hAnsi="Times New Roman" w:cs="Times New Roman" w:hint="eastAsia"/>
        </w:rPr>
        <w:t>Yield</w:t>
      </w:r>
      <w:r>
        <w:rPr>
          <w:rFonts w:ascii="Times New Roman" w:hAnsi="Times New Roman" w:cs="Times New Roman"/>
        </w:rPr>
        <w:t xml:space="preserve"> to Maturate </w:t>
      </w:r>
      <w:r>
        <w:rPr>
          <w:rFonts w:ascii="Times New Roman" w:hAnsi="Times New Roman" w:cs="Times New Roman" w:hint="eastAsia"/>
        </w:rPr>
        <w:t>Rate</w:t>
      </w:r>
      <w:r>
        <w:rPr>
          <w:rFonts w:ascii="Times New Roman" w:hAnsi="Times New Roman" w:cs="Times New Roman" w:hint="eastAsia"/>
        </w:rPr>
        <w:t>）作为无风险收益率。我们首先选择每年年末距到期日剩余年限超过</w:t>
      </w:r>
      <w:r>
        <w:rPr>
          <w:rFonts w:ascii="Times New Roman" w:hAnsi="Times New Roman" w:cs="Times New Roman" w:hint="eastAsia"/>
        </w:rPr>
        <w:t>5</w:t>
      </w:r>
      <w:r>
        <w:rPr>
          <w:rFonts w:ascii="Times New Roman" w:hAnsi="Times New Roman" w:cs="Times New Roman" w:hint="eastAsia"/>
        </w:rPr>
        <w:t>年的国债，然后根据国债每年年末距到期日的剩余年限的长短将国债分为两部分，分别为每年年末距国债到期日剩余年限超过</w:t>
      </w:r>
      <w:r>
        <w:rPr>
          <w:rFonts w:ascii="Times New Roman" w:hAnsi="Times New Roman" w:cs="Times New Roman" w:hint="eastAsia"/>
        </w:rPr>
        <w:t>5</w:t>
      </w:r>
      <w:r>
        <w:rPr>
          <w:rFonts w:ascii="Times New Roman" w:hAnsi="Times New Roman" w:cs="Times New Roman" w:hint="eastAsia"/>
        </w:rPr>
        <w:t>年但少于</w:t>
      </w:r>
      <w:r>
        <w:rPr>
          <w:rFonts w:ascii="Times New Roman" w:hAnsi="Times New Roman" w:cs="Times New Roman" w:hint="eastAsia"/>
        </w:rPr>
        <w:t>10</w:t>
      </w:r>
      <w:r>
        <w:rPr>
          <w:rFonts w:ascii="Times New Roman" w:hAnsi="Times New Roman" w:cs="Times New Roman" w:hint="eastAsia"/>
        </w:rPr>
        <w:t>年的国债和每年年末距国债到期日剩余年限超过</w:t>
      </w:r>
      <w:r>
        <w:rPr>
          <w:rFonts w:ascii="Times New Roman" w:hAnsi="Times New Roman" w:cs="Times New Roman" w:hint="eastAsia"/>
        </w:rPr>
        <w:t>10</w:t>
      </w:r>
      <w:r>
        <w:rPr>
          <w:rFonts w:ascii="Times New Roman" w:hAnsi="Times New Roman" w:cs="Times New Roman" w:hint="eastAsia"/>
        </w:rPr>
        <w:t>年的国债，最后分别计算上述两类国债到期收益率的平均值作为每年年末的距到期剩余年限超过</w:t>
      </w:r>
      <w:r>
        <w:rPr>
          <w:rFonts w:ascii="Times New Roman" w:hAnsi="Times New Roman" w:cs="Times New Roman" w:hint="eastAsia"/>
        </w:rPr>
        <w:t>10</w:t>
      </w:r>
      <w:r>
        <w:rPr>
          <w:rFonts w:ascii="Times New Roman" w:hAnsi="Times New Roman" w:cs="Times New Roman" w:hint="eastAsia"/>
        </w:rPr>
        <w:t>年无风险收益率</w:t>
      </w:r>
      <w:r>
        <w:rPr>
          <w:rFonts w:ascii="Times New Roman" w:hAnsi="Times New Roman" w:cs="Times New Roman" w:hint="eastAsia"/>
        </w:rPr>
        <w:t>Rf</w:t>
      </w:r>
      <w:r>
        <w:rPr>
          <w:rFonts w:ascii="Times New Roman" w:hAnsi="Times New Roman" w:cs="Times New Roman" w:hint="eastAsia"/>
        </w:rPr>
        <w:t>和距到期剩余年限超过</w:t>
      </w:r>
      <w:r>
        <w:rPr>
          <w:rFonts w:ascii="Times New Roman" w:hAnsi="Times New Roman" w:cs="Times New Roman" w:hint="eastAsia"/>
        </w:rPr>
        <w:t>5</w:t>
      </w:r>
      <w:r>
        <w:rPr>
          <w:rFonts w:ascii="Times New Roman" w:hAnsi="Times New Roman" w:cs="Times New Roman" w:hint="eastAsia"/>
        </w:rPr>
        <w:t>年但小于</w:t>
      </w:r>
      <w:r>
        <w:rPr>
          <w:rFonts w:ascii="Times New Roman" w:hAnsi="Times New Roman" w:cs="Times New Roman" w:hint="eastAsia"/>
        </w:rPr>
        <w:t>10</w:t>
      </w:r>
      <w:r>
        <w:rPr>
          <w:rFonts w:ascii="Times New Roman" w:hAnsi="Times New Roman" w:cs="Times New Roman" w:hint="eastAsia"/>
        </w:rPr>
        <w:t>年的</w:t>
      </w:r>
      <w:r>
        <w:rPr>
          <w:rFonts w:ascii="Times New Roman" w:hAnsi="Times New Roman" w:cs="Times New Roman" w:hint="eastAsia"/>
        </w:rPr>
        <w:t>R</w:t>
      </w:r>
      <w:r>
        <w:rPr>
          <w:rFonts w:ascii="Times New Roman" w:hAnsi="Times New Roman" w:cs="Times New Roman" w:hint="eastAsia"/>
          <w:vertAlign w:val="subscript"/>
        </w:rPr>
        <w:t>f</w:t>
      </w:r>
      <w:r>
        <w:rPr>
          <w:rFonts w:ascii="Times New Roman" w:hAnsi="Times New Roman" w:cs="Times New Roman" w:hint="eastAsia"/>
        </w:rPr>
        <w:t>。</w:t>
      </w:r>
    </w:p>
    <w:p w14:paraId="6B330880" w14:textId="77777777" w:rsidR="00C02929" w:rsidRDefault="006116D1">
      <w:pPr>
        <w:numPr>
          <w:ilvl w:val="255"/>
          <w:numId w:val="0"/>
        </w:num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G</w:t>
      </w:r>
      <w:r>
        <w:rPr>
          <w:rFonts w:ascii="Times New Roman" w:hAnsi="Times New Roman" w:cs="Times New Roman" w:hint="eastAsia"/>
        </w:rPr>
        <w:t>）估算结论</w:t>
      </w:r>
    </w:p>
    <w:p w14:paraId="1FDA03D3" w14:textId="77777777" w:rsidR="00C02929" w:rsidRDefault="006116D1">
      <w:pPr>
        <w:tabs>
          <w:tab w:val="left" w:pos="900"/>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将每年沪深</w:t>
      </w:r>
      <w:r>
        <w:rPr>
          <w:rFonts w:ascii="Times New Roman" w:hAnsi="Times New Roman" w:cs="Times New Roman" w:hint="eastAsia"/>
        </w:rPr>
        <w:t>300</w:t>
      </w:r>
      <w:r>
        <w:rPr>
          <w:rFonts w:ascii="Times New Roman" w:hAnsi="Times New Roman" w:cs="Times New Roman" w:hint="eastAsia"/>
        </w:rPr>
        <w:t>指数成份股收益算术平均值或几何平均值计算出来后，需要将</w:t>
      </w:r>
      <w:r>
        <w:rPr>
          <w:rFonts w:ascii="Times New Roman" w:hAnsi="Times New Roman" w:cs="Times New Roman" w:hint="eastAsia"/>
        </w:rPr>
        <w:t>300</w:t>
      </w:r>
      <w:r>
        <w:rPr>
          <w:rFonts w:ascii="Times New Roman" w:hAnsi="Times New Roman" w:cs="Times New Roman" w:hint="eastAsia"/>
        </w:rPr>
        <w:t>个股票收益率计算平均值作为本年算术或几何平均值的计算</w:t>
      </w:r>
      <w:r>
        <w:rPr>
          <w:rFonts w:ascii="Times New Roman" w:hAnsi="Times New Roman" w:cs="Times New Roman" w:hint="eastAsia"/>
        </w:rPr>
        <w:t>ERP</w:t>
      </w:r>
      <w:r>
        <w:rPr>
          <w:rFonts w:ascii="Times New Roman" w:hAnsi="Times New Roman" w:cs="Times New Roman" w:hint="eastAsia"/>
        </w:rPr>
        <w:t>结论，这个平均值评估机构采用加权平均的方式，权重则选择每个成份股在沪深</w:t>
      </w:r>
      <w:r>
        <w:rPr>
          <w:rFonts w:ascii="Times New Roman" w:hAnsi="Times New Roman" w:cs="Times New Roman" w:hint="eastAsia"/>
        </w:rPr>
        <w:t>300</w:t>
      </w:r>
      <w:r>
        <w:rPr>
          <w:rFonts w:ascii="Times New Roman" w:hAnsi="Times New Roman" w:cs="Times New Roman" w:hint="eastAsia"/>
        </w:rPr>
        <w:t>指数计算中的权重；每年</w:t>
      </w:r>
      <w:r>
        <w:rPr>
          <w:rFonts w:ascii="Times New Roman" w:hAnsi="Times New Roman" w:cs="Times New Roman" w:hint="eastAsia"/>
        </w:rPr>
        <w:t>ERP</w:t>
      </w:r>
      <w:r>
        <w:rPr>
          <w:rFonts w:ascii="Times New Roman" w:hAnsi="Times New Roman" w:cs="Times New Roman" w:hint="eastAsia"/>
        </w:rPr>
        <w:t>的估算分别采用如下方式：</w:t>
      </w:r>
    </w:p>
    <w:p w14:paraId="09D169BB"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算术平均值法：</w:t>
      </w:r>
    </w:p>
    <w:p w14:paraId="41D1E7A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lastRenderedPageBreak/>
        <w:t>ERP</w:t>
      </w:r>
      <w:r>
        <w:rPr>
          <w:rFonts w:ascii="Times New Roman" w:hAnsi="Times New Roman" w:cs="Times New Roman"/>
          <w:vertAlign w:val="subscript"/>
        </w:rPr>
        <w:t>i</w:t>
      </w:r>
      <w:r>
        <w:rPr>
          <w:rFonts w:ascii="Times New Roman" w:hAnsi="Times New Roman" w:cs="Times New Roman"/>
        </w:rPr>
        <w:t xml:space="preserve"> = </w:t>
      </w:r>
      <w:r>
        <w:rPr>
          <w:rFonts w:ascii="Times New Roman" w:hAnsi="Times New Roman" w:cs="Times New Roman" w:hint="eastAsia"/>
        </w:rPr>
        <w:t>A</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fi</w:t>
      </w:r>
      <w:r>
        <w:rPr>
          <w:rFonts w:ascii="Times New Roman" w:hAnsi="Times New Roman" w:cs="Times New Roman"/>
        </w:rPr>
        <w:t xml:space="preserve"> (i=1,2,……,N)</w:t>
      </w:r>
    </w:p>
    <w:p w14:paraId="2CAFC3E9"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几何平均值法：</w:t>
      </w:r>
    </w:p>
    <w:p w14:paraId="6DFB92DD"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rPr>
        <w:t>ERP</w:t>
      </w:r>
      <w:r>
        <w:rPr>
          <w:rFonts w:ascii="Times New Roman" w:hAnsi="Times New Roman" w:cs="Times New Roman"/>
          <w:vertAlign w:val="subscript"/>
        </w:rPr>
        <w:t>i</w:t>
      </w:r>
      <w:r>
        <w:rPr>
          <w:rFonts w:ascii="Times New Roman" w:hAnsi="Times New Roman" w:cs="Times New Roman"/>
        </w:rPr>
        <w:t xml:space="preserve"> = </w:t>
      </w:r>
      <w:r>
        <w:rPr>
          <w:rFonts w:ascii="Times New Roman" w:hAnsi="Times New Roman" w:cs="Times New Roman" w:hint="eastAsia"/>
        </w:rPr>
        <w:t>C</w:t>
      </w:r>
      <w:r>
        <w:rPr>
          <w:rFonts w:ascii="Times New Roman" w:hAnsi="Times New Roman" w:cs="Times New Roman"/>
          <w:vertAlign w:val="subscript"/>
        </w:rPr>
        <w:t>i</w:t>
      </w:r>
      <w:r>
        <w:rPr>
          <w:rFonts w:ascii="Times New Roman" w:hAnsi="Times New Roman" w:cs="Times New Roman" w:hint="eastAsia"/>
        </w:rPr>
        <w:t>－</w:t>
      </w:r>
      <w:r>
        <w:rPr>
          <w:rFonts w:ascii="Times New Roman" w:hAnsi="Times New Roman" w:cs="Times New Roman" w:hint="eastAsia"/>
        </w:rPr>
        <w:t>R</w:t>
      </w:r>
      <w:r>
        <w:rPr>
          <w:rFonts w:ascii="Times New Roman" w:hAnsi="Times New Roman" w:cs="Times New Roman"/>
          <w:vertAlign w:val="subscript"/>
        </w:rPr>
        <w:t>fi</w:t>
      </w:r>
      <w:r>
        <w:rPr>
          <w:rFonts w:ascii="Times New Roman" w:hAnsi="Times New Roman" w:cs="Times New Roman"/>
        </w:rPr>
        <w:t xml:space="preserve"> (i=1,2,……,N)</w:t>
      </w:r>
    </w:p>
    <w:p w14:paraId="673E2497"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通过估算评估机构可以分别计算出</w:t>
      </w:r>
      <w:r>
        <w:rPr>
          <w:rFonts w:ascii="Times New Roman" w:hAnsi="Times New Roman" w:cs="Times New Roman" w:hint="eastAsia"/>
        </w:rPr>
        <w:t>2010</w:t>
      </w:r>
      <w:r>
        <w:rPr>
          <w:rFonts w:ascii="Times New Roman" w:hAnsi="Times New Roman" w:cs="Times New Roman" w:hint="eastAsia"/>
        </w:rPr>
        <w:t>至</w:t>
      </w:r>
      <w:r>
        <w:rPr>
          <w:rFonts w:ascii="Times New Roman" w:hAnsi="Times New Roman" w:cs="Times New Roman" w:hint="eastAsia"/>
        </w:rPr>
        <w:t>2019</w:t>
      </w:r>
      <w:r>
        <w:rPr>
          <w:rFonts w:ascii="Times New Roman" w:hAnsi="Times New Roman" w:cs="Times New Roman" w:hint="eastAsia"/>
        </w:rPr>
        <w:t>年每年的市场风险超额收益率</w:t>
      </w:r>
      <w:r>
        <w:rPr>
          <w:rFonts w:ascii="Times New Roman" w:hAnsi="Times New Roman" w:cs="Times New Roman" w:hint="eastAsia"/>
        </w:rPr>
        <w:t>ERP</w:t>
      </w:r>
      <w:r>
        <w:rPr>
          <w:rFonts w:ascii="Times New Roman" w:hAnsi="Times New Roman" w:cs="Times New Roman"/>
          <w:vertAlign w:val="subscript"/>
        </w:rPr>
        <w:t>i</w:t>
      </w:r>
      <w:r>
        <w:rPr>
          <w:rFonts w:ascii="Times New Roman" w:hAnsi="Times New Roman" w:cs="Times New Roman" w:hint="eastAsia"/>
        </w:rPr>
        <w:t>如下：</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57"/>
        <w:gridCol w:w="907"/>
        <w:gridCol w:w="907"/>
        <w:gridCol w:w="828"/>
        <w:gridCol w:w="1096"/>
        <w:gridCol w:w="1096"/>
        <w:gridCol w:w="839"/>
        <w:gridCol w:w="1096"/>
        <w:gridCol w:w="1096"/>
      </w:tblGrid>
      <w:tr w:rsidR="00C02929" w14:paraId="48364543" w14:textId="77777777">
        <w:trPr>
          <w:trHeight w:val="397"/>
          <w:tblHeader/>
        </w:trPr>
        <w:tc>
          <w:tcPr>
            <w:tcW w:w="386" w:type="pct"/>
            <w:vAlign w:val="center"/>
          </w:tcPr>
          <w:p w14:paraId="560E9BE1"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年份</w:t>
            </w:r>
          </w:p>
        </w:tc>
        <w:tc>
          <w:tcPr>
            <w:tcW w:w="532" w:type="pct"/>
            <w:vAlign w:val="center"/>
          </w:tcPr>
          <w:p w14:paraId="097EFD94"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算术平均值</w:t>
            </w:r>
          </w:p>
        </w:tc>
        <w:tc>
          <w:tcPr>
            <w:tcW w:w="532" w:type="pct"/>
            <w:vAlign w:val="center"/>
          </w:tcPr>
          <w:p w14:paraId="67D2CD63"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几何平均值</w:t>
            </w:r>
          </w:p>
        </w:tc>
        <w:tc>
          <w:tcPr>
            <w:tcW w:w="486" w:type="pct"/>
            <w:vAlign w:val="center"/>
          </w:tcPr>
          <w:p w14:paraId="1D1E38C4"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无风险收益率</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r>
              <w:rPr>
                <w:rFonts w:ascii="Times New Roman" w:hAnsi="Times New Roman" w:cs="Times New Roman" w:hint="eastAsia"/>
                <w:b/>
                <w:bCs/>
                <w:color w:val="000000"/>
                <w:sz w:val="21"/>
                <w:szCs w:val="21"/>
              </w:rPr>
              <w:t>（距到期剩余年限超过</w:t>
            </w:r>
            <w:r>
              <w:rPr>
                <w:rFonts w:ascii="Times New Roman" w:hAnsi="Times New Roman" w:cs="Times New Roman" w:hint="eastAsia"/>
                <w:b/>
                <w:bCs/>
                <w:color w:val="000000"/>
                <w:sz w:val="21"/>
                <w:szCs w:val="21"/>
              </w:rPr>
              <w:t>10</w:t>
            </w:r>
            <w:r>
              <w:rPr>
                <w:rFonts w:ascii="Times New Roman" w:hAnsi="Times New Roman" w:cs="Times New Roman" w:hint="eastAsia"/>
                <w:b/>
                <w:bCs/>
                <w:color w:val="000000"/>
                <w:sz w:val="21"/>
                <w:szCs w:val="21"/>
              </w:rPr>
              <w:t>年）</w:t>
            </w:r>
          </w:p>
        </w:tc>
        <w:tc>
          <w:tcPr>
            <w:tcW w:w="643" w:type="pct"/>
            <w:vAlign w:val="center"/>
          </w:tcPr>
          <w:p w14:paraId="2B747CF7"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算木平均值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c>
          <w:tcPr>
            <w:tcW w:w="643" w:type="pct"/>
            <w:vAlign w:val="center"/>
          </w:tcPr>
          <w:p w14:paraId="2EEAC754"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几何平均值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c>
          <w:tcPr>
            <w:tcW w:w="492" w:type="pct"/>
            <w:vAlign w:val="center"/>
          </w:tcPr>
          <w:p w14:paraId="7FEDB2CF"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无风险收益率</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r>
              <w:rPr>
                <w:rFonts w:ascii="Times New Roman" w:hAnsi="Times New Roman" w:cs="Times New Roman" w:hint="eastAsia"/>
                <w:b/>
                <w:bCs/>
                <w:color w:val="000000"/>
                <w:sz w:val="21"/>
                <w:szCs w:val="21"/>
              </w:rPr>
              <w:t>（距到期剩余年限超过</w:t>
            </w:r>
            <w:r>
              <w:rPr>
                <w:rFonts w:ascii="Times New Roman" w:hAnsi="Times New Roman" w:cs="Times New Roman" w:hint="eastAsia"/>
                <w:b/>
                <w:bCs/>
                <w:color w:val="000000"/>
                <w:sz w:val="21"/>
                <w:szCs w:val="21"/>
              </w:rPr>
              <w:t>5</w:t>
            </w:r>
            <w:r>
              <w:rPr>
                <w:rFonts w:ascii="Times New Roman" w:hAnsi="Times New Roman" w:cs="Times New Roman" w:hint="eastAsia"/>
                <w:b/>
                <w:bCs/>
                <w:color w:val="000000"/>
                <w:sz w:val="21"/>
                <w:szCs w:val="21"/>
              </w:rPr>
              <w:t>年但小于</w:t>
            </w:r>
            <w:r>
              <w:rPr>
                <w:rFonts w:ascii="Times New Roman" w:hAnsi="Times New Roman" w:cs="Times New Roman" w:hint="eastAsia"/>
                <w:b/>
                <w:bCs/>
                <w:color w:val="000000"/>
                <w:sz w:val="21"/>
                <w:szCs w:val="21"/>
              </w:rPr>
              <w:t>10</w:t>
            </w:r>
            <w:r>
              <w:rPr>
                <w:rFonts w:ascii="Times New Roman" w:hAnsi="Times New Roman" w:cs="Times New Roman" w:hint="eastAsia"/>
                <w:b/>
                <w:bCs/>
                <w:color w:val="000000"/>
                <w:sz w:val="21"/>
                <w:szCs w:val="21"/>
              </w:rPr>
              <w:t>年）</w:t>
            </w:r>
          </w:p>
        </w:tc>
        <w:tc>
          <w:tcPr>
            <w:tcW w:w="643" w:type="pct"/>
            <w:vAlign w:val="center"/>
          </w:tcPr>
          <w:p w14:paraId="5CF1B279"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算术平均值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c>
          <w:tcPr>
            <w:tcW w:w="643" w:type="pct"/>
            <w:vAlign w:val="center"/>
          </w:tcPr>
          <w:p w14:paraId="3F58AECA" w14:textId="77777777" w:rsidR="00C02929" w:rsidRDefault="006116D1">
            <w:pPr>
              <w:adjustRightInd w:val="0"/>
              <w:snapToGrid w:val="0"/>
              <w:jc w:val="center"/>
              <w:rPr>
                <w:rFonts w:ascii="Times New Roman" w:hAnsi="Times New Roman" w:cs="Times New Roman"/>
                <w:b/>
                <w:bCs/>
                <w:color w:val="000000"/>
                <w:sz w:val="21"/>
                <w:szCs w:val="21"/>
              </w:rPr>
            </w:pPr>
            <w:r>
              <w:rPr>
                <w:rFonts w:ascii="Times New Roman" w:hAnsi="Times New Roman" w:cs="Times New Roman" w:hint="eastAsia"/>
                <w:b/>
                <w:bCs/>
                <w:color w:val="000000"/>
                <w:sz w:val="21"/>
                <w:szCs w:val="21"/>
              </w:rPr>
              <w:t>ERP=R</w:t>
            </w:r>
            <w:r>
              <w:rPr>
                <w:rFonts w:ascii="Times New Roman" w:hAnsi="Times New Roman" w:cs="Times New Roman"/>
                <w:b/>
                <w:bCs/>
                <w:color w:val="000000"/>
                <w:sz w:val="21"/>
                <w:szCs w:val="21"/>
                <w:vertAlign w:val="subscript"/>
              </w:rPr>
              <w:t>m</w:t>
            </w:r>
            <w:r>
              <w:rPr>
                <w:rFonts w:ascii="Times New Roman" w:hAnsi="Times New Roman" w:cs="Times New Roman" w:hint="eastAsia"/>
                <w:b/>
                <w:bCs/>
                <w:color w:val="000000"/>
                <w:sz w:val="21"/>
                <w:szCs w:val="21"/>
              </w:rPr>
              <w:t>几何平均值</w:t>
            </w:r>
            <w:r>
              <w:rPr>
                <w:rFonts w:ascii="Times New Roman" w:hAnsi="Times New Roman" w:cs="Times New Roman" w:hint="eastAsia"/>
                <w:b/>
                <w:bCs/>
                <w:color w:val="000000"/>
                <w:sz w:val="21"/>
                <w:szCs w:val="21"/>
              </w:rPr>
              <w:t>R</w:t>
            </w:r>
            <w:r>
              <w:rPr>
                <w:rFonts w:ascii="Times New Roman" w:hAnsi="Times New Roman" w:cs="Times New Roman"/>
                <w:b/>
                <w:bCs/>
                <w:color w:val="000000"/>
                <w:sz w:val="21"/>
                <w:szCs w:val="21"/>
                <w:vertAlign w:val="subscript"/>
              </w:rPr>
              <w:t>f</w:t>
            </w:r>
          </w:p>
        </w:tc>
      </w:tr>
      <w:tr w:rsidR="00C02929" w14:paraId="48F04BFB" w14:textId="77777777">
        <w:trPr>
          <w:trHeight w:val="397"/>
        </w:trPr>
        <w:tc>
          <w:tcPr>
            <w:tcW w:w="386" w:type="pct"/>
            <w:vAlign w:val="center"/>
          </w:tcPr>
          <w:p w14:paraId="650BF8EC"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2010</w:t>
            </w:r>
          </w:p>
        </w:tc>
        <w:tc>
          <w:tcPr>
            <w:tcW w:w="532" w:type="pct"/>
            <w:vAlign w:val="center"/>
          </w:tcPr>
          <w:p w14:paraId="175970E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41.43%</w:t>
            </w:r>
          </w:p>
        </w:tc>
        <w:tc>
          <w:tcPr>
            <w:tcW w:w="532" w:type="pct"/>
            <w:vAlign w:val="center"/>
          </w:tcPr>
          <w:p w14:paraId="5D4DB286"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15.10%</w:t>
            </w:r>
          </w:p>
        </w:tc>
        <w:tc>
          <w:tcPr>
            <w:tcW w:w="486" w:type="pct"/>
            <w:vAlign w:val="center"/>
          </w:tcPr>
          <w:p w14:paraId="08C69FA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4.25%</w:t>
            </w:r>
          </w:p>
        </w:tc>
        <w:tc>
          <w:tcPr>
            <w:tcW w:w="643" w:type="pct"/>
            <w:vAlign w:val="center"/>
          </w:tcPr>
          <w:p w14:paraId="46E70BB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37.18%</w:t>
            </w:r>
          </w:p>
        </w:tc>
        <w:tc>
          <w:tcPr>
            <w:tcW w:w="643" w:type="pct"/>
            <w:vAlign w:val="center"/>
          </w:tcPr>
          <w:p w14:paraId="28B8C9EA"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10.85%</w:t>
            </w:r>
          </w:p>
        </w:tc>
        <w:tc>
          <w:tcPr>
            <w:tcW w:w="492" w:type="pct"/>
            <w:vAlign w:val="center"/>
          </w:tcPr>
          <w:p w14:paraId="5426E176"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3.83%</w:t>
            </w:r>
          </w:p>
        </w:tc>
        <w:tc>
          <w:tcPr>
            <w:tcW w:w="643" w:type="pct"/>
            <w:vAlign w:val="center"/>
          </w:tcPr>
          <w:p w14:paraId="72A4425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37.60%</w:t>
            </w:r>
          </w:p>
        </w:tc>
        <w:tc>
          <w:tcPr>
            <w:tcW w:w="643" w:type="pct"/>
            <w:vAlign w:val="center"/>
          </w:tcPr>
          <w:p w14:paraId="2291A83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11.27%</w:t>
            </w:r>
          </w:p>
        </w:tc>
      </w:tr>
      <w:tr w:rsidR="00C02929" w14:paraId="0EAB505C" w14:textId="77777777">
        <w:trPr>
          <w:trHeight w:val="397"/>
        </w:trPr>
        <w:tc>
          <w:tcPr>
            <w:tcW w:w="386" w:type="pct"/>
            <w:vAlign w:val="center"/>
          </w:tcPr>
          <w:p w14:paraId="459FC6E2"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2011</w:t>
            </w:r>
          </w:p>
        </w:tc>
        <w:tc>
          <w:tcPr>
            <w:tcW w:w="532" w:type="pct"/>
            <w:vAlign w:val="center"/>
          </w:tcPr>
          <w:p w14:paraId="1D9D98C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25.44%</w:t>
            </w:r>
          </w:p>
        </w:tc>
        <w:tc>
          <w:tcPr>
            <w:tcW w:w="532" w:type="pct"/>
            <w:vAlign w:val="center"/>
          </w:tcPr>
          <w:p w14:paraId="41F9F6F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0.12%</w:t>
            </w:r>
          </w:p>
        </w:tc>
        <w:tc>
          <w:tcPr>
            <w:tcW w:w="486" w:type="pct"/>
            <w:vAlign w:val="center"/>
          </w:tcPr>
          <w:p w14:paraId="2D84F75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3.98%</w:t>
            </w:r>
          </w:p>
        </w:tc>
        <w:tc>
          <w:tcPr>
            <w:tcW w:w="643" w:type="pct"/>
            <w:vAlign w:val="center"/>
          </w:tcPr>
          <w:p w14:paraId="61119D9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21.46%</w:t>
            </w:r>
          </w:p>
        </w:tc>
        <w:tc>
          <w:tcPr>
            <w:tcW w:w="643" w:type="pct"/>
            <w:vAlign w:val="center"/>
          </w:tcPr>
          <w:p w14:paraId="7BD8AE8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-3.86%</w:t>
            </w:r>
          </w:p>
        </w:tc>
        <w:tc>
          <w:tcPr>
            <w:tcW w:w="492" w:type="pct"/>
            <w:vAlign w:val="center"/>
          </w:tcPr>
          <w:p w14:paraId="42AB9196"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w:t>
            </w:r>
          </w:p>
        </w:tc>
        <w:tc>
          <w:tcPr>
            <w:tcW w:w="643" w:type="pct"/>
            <w:vAlign w:val="center"/>
          </w:tcPr>
          <w:p w14:paraId="4AFCF1B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22.03%</w:t>
            </w:r>
          </w:p>
        </w:tc>
        <w:tc>
          <w:tcPr>
            <w:tcW w:w="643" w:type="pct"/>
            <w:vAlign w:val="center"/>
          </w:tcPr>
          <w:p w14:paraId="64D3067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w:t>
            </w:r>
          </w:p>
        </w:tc>
      </w:tr>
      <w:tr w:rsidR="00C02929" w14:paraId="11FA1BB0" w14:textId="77777777">
        <w:trPr>
          <w:trHeight w:val="397"/>
        </w:trPr>
        <w:tc>
          <w:tcPr>
            <w:tcW w:w="386" w:type="pct"/>
            <w:vAlign w:val="center"/>
          </w:tcPr>
          <w:p w14:paraId="5D368015"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2012</w:t>
            </w:r>
          </w:p>
        </w:tc>
        <w:tc>
          <w:tcPr>
            <w:tcW w:w="532" w:type="pct"/>
            <w:vAlign w:val="center"/>
          </w:tcPr>
          <w:p w14:paraId="0EDC9B5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25.40%</w:t>
            </w:r>
          </w:p>
        </w:tc>
        <w:tc>
          <w:tcPr>
            <w:tcW w:w="532" w:type="pct"/>
            <w:vAlign w:val="center"/>
          </w:tcPr>
          <w:p w14:paraId="4040402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1.60%</w:t>
            </w:r>
          </w:p>
        </w:tc>
        <w:tc>
          <w:tcPr>
            <w:tcW w:w="486" w:type="pct"/>
            <w:vAlign w:val="center"/>
          </w:tcPr>
          <w:p w14:paraId="7BEA196A"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4.15%</w:t>
            </w:r>
          </w:p>
        </w:tc>
        <w:tc>
          <w:tcPr>
            <w:tcW w:w="643" w:type="pct"/>
            <w:vAlign w:val="center"/>
          </w:tcPr>
          <w:p w14:paraId="5EDE045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21.25%</w:t>
            </w:r>
          </w:p>
        </w:tc>
        <w:tc>
          <w:tcPr>
            <w:tcW w:w="643" w:type="pct"/>
            <w:vAlign w:val="center"/>
          </w:tcPr>
          <w:p w14:paraId="065A9CF0"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-2.55%</w:t>
            </w:r>
          </w:p>
        </w:tc>
        <w:tc>
          <w:tcPr>
            <w:tcW w:w="492" w:type="pct"/>
            <w:vAlign w:val="center"/>
          </w:tcPr>
          <w:p w14:paraId="5D43504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3.50%</w:t>
            </w:r>
          </w:p>
        </w:tc>
        <w:tc>
          <w:tcPr>
            <w:tcW w:w="643" w:type="pct"/>
            <w:vAlign w:val="center"/>
          </w:tcPr>
          <w:p w14:paraId="7A6C346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21.90%</w:t>
            </w:r>
          </w:p>
        </w:tc>
        <w:tc>
          <w:tcPr>
            <w:tcW w:w="643" w:type="pct"/>
            <w:vAlign w:val="center"/>
          </w:tcPr>
          <w:p w14:paraId="2423F1A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-1.90%</w:t>
            </w:r>
          </w:p>
        </w:tc>
      </w:tr>
      <w:tr w:rsidR="00C02929" w14:paraId="3BB97F0F" w14:textId="77777777">
        <w:trPr>
          <w:trHeight w:val="397"/>
        </w:trPr>
        <w:tc>
          <w:tcPr>
            <w:tcW w:w="386" w:type="pct"/>
            <w:vAlign w:val="center"/>
          </w:tcPr>
          <w:p w14:paraId="4304F31F"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2013</w:t>
            </w:r>
          </w:p>
        </w:tc>
        <w:tc>
          <w:tcPr>
            <w:tcW w:w="532" w:type="pct"/>
            <w:vAlign w:val="center"/>
          </w:tcPr>
          <w:p w14:paraId="2FEFD15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24.69%</w:t>
            </w:r>
          </w:p>
        </w:tc>
        <w:tc>
          <w:tcPr>
            <w:tcW w:w="532" w:type="pct"/>
            <w:vAlign w:val="center"/>
          </w:tcPr>
          <w:p w14:paraId="1E3ED1B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4.26%</w:t>
            </w:r>
          </w:p>
        </w:tc>
        <w:tc>
          <w:tcPr>
            <w:tcW w:w="486" w:type="pct"/>
            <w:vAlign w:val="center"/>
          </w:tcPr>
          <w:p w14:paraId="6B0054E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4.32%</w:t>
            </w:r>
          </w:p>
        </w:tc>
        <w:tc>
          <w:tcPr>
            <w:tcW w:w="643" w:type="pct"/>
            <w:vAlign w:val="center"/>
          </w:tcPr>
          <w:p w14:paraId="06C5688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20.37%</w:t>
            </w:r>
          </w:p>
        </w:tc>
        <w:tc>
          <w:tcPr>
            <w:tcW w:w="643" w:type="pct"/>
            <w:vAlign w:val="center"/>
          </w:tcPr>
          <w:p w14:paraId="5E47B16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-0.06%</w:t>
            </w:r>
          </w:p>
        </w:tc>
        <w:tc>
          <w:tcPr>
            <w:tcW w:w="492" w:type="pct"/>
            <w:vAlign w:val="center"/>
          </w:tcPr>
          <w:p w14:paraId="7F6E66C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3.88%</w:t>
            </w:r>
          </w:p>
        </w:tc>
        <w:tc>
          <w:tcPr>
            <w:tcW w:w="643" w:type="pct"/>
            <w:vAlign w:val="center"/>
          </w:tcPr>
          <w:p w14:paraId="4969EBB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20.81%</w:t>
            </w:r>
          </w:p>
        </w:tc>
        <w:tc>
          <w:tcPr>
            <w:tcW w:w="643" w:type="pct"/>
            <w:vAlign w:val="center"/>
          </w:tcPr>
          <w:p w14:paraId="7F85667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0.38%</w:t>
            </w:r>
          </w:p>
        </w:tc>
      </w:tr>
      <w:tr w:rsidR="00C02929" w14:paraId="38227C03" w14:textId="77777777">
        <w:trPr>
          <w:trHeight w:val="397"/>
        </w:trPr>
        <w:tc>
          <w:tcPr>
            <w:tcW w:w="386" w:type="pct"/>
            <w:vAlign w:val="center"/>
          </w:tcPr>
          <w:p w14:paraId="564C3E63"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2014</w:t>
            </w:r>
          </w:p>
        </w:tc>
        <w:tc>
          <w:tcPr>
            <w:tcW w:w="532" w:type="pct"/>
            <w:vAlign w:val="center"/>
          </w:tcPr>
          <w:p w14:paraId="460230E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41.88%</w:t>
            </w:r>
          </w:p>
        </w:tc>
        <w:tc>
          <w:tcPr>
            <w:tcW w:w="532" w:type="pct"/>
            <w:vAlign w:val="center"/>
          </w:tcPr>
          <w:p w14:paraId="5D1C19EA"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20.69%</w:t>
            </w:r>
          </w:p>
        </w:tc>
        <w:tc>
          <w:tcPr>
            <w:tcW w:w="486" w:type="pct"/>
            <w:vAlign w:val="center"/>
          </w:tcPr>
          <w:p w14:paraId="1A1AFEBA"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4.31%</w:t>
            </w:r>
          </w:p>
        </w:tc>
        <w:tc>
          <w:tcPr>
            <w:tcW w:w="643" w:type="pct"/>
            <w:vAlign w:val="center"/>
          </w:tcPr>
          <w:p w14:paraId="18AADB72"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37.57%</w:t>
            </w:r>
          </w:p>
        </w:tc>
        <w:tc>
          <w:tcPr>
            <w:tcW w:w="643" w:type="pct"/>
            <w:vAlign w:val="center"/>
          </w:tcPr>
          <w:p w14:paraId="6DB16EE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16.37%</w:t>
            </w:r>
          </w:p>
        </w:tc>
        <w:tc>
          <w:tcPr>
            <w:tcW w:w="492" w:type="pct"/>
            <w:vAlign w:val="center"/>
          </w:tcPr>
          <w:p w14:paraId="4AF80FC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3.73%</w:t>
            </w:r>
          </w:p>
        </w:tc>
        <w:tc>
          <w:tcPr>
            <w:tcW w:w="643" w:type="pct"/>
            <w:vAlign w:val="center"/>
          </w:tcPr>
          <w:p w14:paraId="2982DF66"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38.15%</w:t>
            </w:r>
          </w:p>
        </w:tc>
        <w:tc>
          <w:tcPr>
            <w:tcW w:w="643" w:type="pct"/>
            <w:vAlign w:val="center"/>
          </w:tcPr>
          <w:p w14:paraId="1CC1212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16.96%</w:t>
            </w:r>
          </w:p>
        </w:tc>
      </w:tr>
      <w:tr w:rsidR="00C02929" w14:paraId="278A3976" w14:textId="77777777">
        <w:trPr>
          <w:trHeight w:val="397"/>
        </w:trPr>
        <w:tc>
          <w:tcPr>
            <w:tcW w:w="386" w:type="pct"/>
            <w:vAlign w:val="center"/>
          </w:tcPr>
          <w:p w14:paraId="1DFC4F91"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2015</w:t>
            </w:r>
          </w:p>
        </w:tc>
        <w:tc>
          <w:tcPr>
            <w:tcW w:w="532" w:type="pct"/>
            <w:vAlign w:val="center"/>
          </w:tcPr>
          <w:p w14:paraId="7385244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31.27%</w:t>
            </w:r>
          </w:p>
        </w:tc>
        <w:tc>
          <w:tcPr>
            <w:tcW w:w="532" w:type="pct"/>
            <w:vAlign w:val="center"/>
          </w:tcPr>
          <w:p w14:paraId="55CE616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15.55%</w:t>
            </w:r>
          </w:p>
        </w:tc>
        <w:tc>
          <w:tcPr>
            <w:tcW w:w="486" w:type="pct"/>
            <w:vAlign w:val="center"/>
          </w:tcPr>
          <w:p w14:paraId="697BBEE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4.12%</w:t>
            </w:r>
          </w:p>
        </w:tc>
        <w:tc>
          <w:tcPr>
            <w:tcW w:w="643" w:type="pct"/>
            <w:vAlign w:val="center"/>
          </w:tcPr>
          <w:p w14:paraId="4B5781E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27.15%</w:t>
            </w:r>
          </w:p>
        </w:tc>
        <w:tc>
          <w:tcPr>
            <w:tcW w:w="643" w:type="pct"/>
            <w:vAlign w:val="center"/>
          </w:tcPr>
          <w:p w14:paraId="771E660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11.43%</w:t>
            </w:r>
          </w:p>
        </w:tc>
        <w:tc>
          <w:tcPr>
            <w:tcW w:w="492" w:type="pct"/>
            <w:vAlign w:val="center"/>
          </w:tcPr>
          <w:p w14:paraId="643D442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w:t>
            </w:r>
          </w:p>
        </w:tc>
        <w:tc>
          <w:tcPr>
            <w:tcW w:w="643" w:type="pct"/>
            <w:vAlign w:val="center"/>
          </w:tcPr>
          <w:p w14:paraId="1D6D7B8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27.98%</w:t>
            </w:r>
          </w:p>
        </w:tc>
        <w:tc>
          <w:tcPr>
            <w:tcW w:w="643" w:type="pct"/>
            <w:vAlign w:val="center"/>
          </w:tcPr>
          <w:p w14:paraId="0C294D6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12.26%</w:t>
            </w:r>
          </w:p>
        </w:tc>
      </w:tr>
      <w:tr w:rsidR="00C02929" w14:paraId="6E0F171F" w14:textId="77777777">
        <w:trPr>
          <w:trHeight w:val="397"/>
        </w:trPr>
        <w:tc>
          <w:tcPr>
            <w:tcW w:w="386" w:type="pct"/>
            <w:vAlign w:val="center"/>
          </w:tcPr>
          <w:p w14:paraId="7CCB38AF"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2016</w:t>
            </w:r>
          </w:p>
        </w:tc>
        <w:tc>
          <w:tcPr>
            <w:tcW w:w="532" w:type="pct"/>
            <w:vAlign w:val="center"/>
          </w:tcPr>
          <w:p w14:paraId="1B4A831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17.57%</w:t>
            </w:r>
          </w:p>
        </w:tc>
        <w:tc>
          <w:tcPr>
            <w:tcW w:w="532" w:type="pct"/>
            <w:vAlign w:val="center"/>
          </w:tcPr>
          <w:p w14:paraId="1493EA6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6.48%</w:t>
            </w:r>
          </w:p>
        </w:tc>
        <w:tc>
          <w:tcPr>
            <w:tcW w:w="486" w:type="pct"/>
            <w:vAlign w:val="center"/>
          </w:tcPr>
          <w:p w14:paraId="0993BA6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3.91%</w:t>
            </w:r>
          </w:p>
        </w:tc>
        <w:tc>
          <w:tcPr>
            <w:tcW w:w="643" w:type="pct"/>
            <w:vAlign w:val="center"/>
          </w:tcPr>
          <w:p w14:paraId="03638EA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13.66%</w:t>
            </w:r>
          </w:p>
        </w:tc>
        <w:tc>
          <w:tcPr>
            <w:tcW w:w="643" w:type="pct"/>
            <w:vAlign w:val="center"/>
          </w:tcPr>
          <w:p w14:paraId="1D63CF0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2.57%</w:t>
            </w:r>
          </w:p>
        </w:tc>
        <w:tc>
          <w:tcPr>
            <w:tcW w:w="492" w:type="pct"/>
            <w:vAlign w:val="center"/>
          </w:tcPr>
          <w:p w14:paraId="190AABF2"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3.09%</w:t>
            </w:r>
          </w:p>
        </w:tc>
        <w:tc>
          <w:tcPr>
            <w:tcW w:w="643" w:type="pct"/>
            <w:vAlign w:val="center"/>
          </w:tcPr>
          <w:p w14:paraId="49731950"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14.48%</w:t>
            </w:r>
          </w:p>
        </w:tc>
        <w:tc>
          <w:tcPr>
            <w:tcW w:w="643" w:type="pct"/>
            <w:vAlign w:val="center"/>
          </w:tcPr>
          <w:p w14:paraId="5F9EE6F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3.39%</w:t>
            </w:r>
          </w:p>
        </w:tc>
      </w:tr>
      <w:tr w:rsidR="00C02929" w14:paraId="66120F98" w14:textId="77777777">
        <w:trPr>
          <w:trHeight w:val="397"/>
        </w:trPr>
        <w:tc>
          <w:tcPr>
            <w:tcW w:w="386" w:type="pct"/>
            <w:vAlign w:val="center"/>
          </w:tcPr>
          <w:p w14:paraId="53F70376"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2017</w:t>
            </w:r>
          </w:p>
        </w:tc>
        <w:tc>
          <w:tcPr>
            <w:tcW w:w="532" w:type="pct"/>
            <w:vAlign w:val="center"/>
          </w:tcPr>
          <w:p w14:paraId="464CA1C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25.68%</w:t>
            </w:r>
          </w:p>
        </w:tc>
        <w:tc>
          <w:tcPr>
            <w:tcW w:w="532" w:type="pct"/>
            <w:vAlign w:val="center"/>
          </w:tcPr>
          <w:p w14:paraId="04E830C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18.81%</w:t>
            </w:r>
          </w:p>
        </w:tc>
        <w:tc>
          <w:tcPr>
            <w:tcW w:w="486" w:type="pct"/>
            <w:vAlign w:val="center"/>
          </w:tcPr>
          <w:p w14:paraId="5AA527E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4.23%</w:t>
            </w:r>
          </w:p>
        </w:tc>
        <w:tc>
          <w:tcPr>
            <w:tcW w:w="643" w:type="pct"/>
            <w:vAlign w:val="center"/>
          </w:tcPr>
          <w:p w14:paraId="0CF987D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21.45%</w:t>
            </w:r>
          </w:p>
        </w:tc>
        <w:tc>
          <w:tcPr>
            <w:tcW w:w="643" w:type="pct"/>
            <w:vAlign w:val="center"/>
          </w:tcPr>
          <w:p w14:paraId="5BDC12C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14.58%</w:t>
            </w:r>
          </w:p>
        </w:tc>
        <w:tc>
          <w:tcPr>
            <w:tcW w:w="492" w:type="pct"/>
            <w:vAlign w:val="center"/>
          </w:tcPr>
          <w:p w14:paraId="24CA0CF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3.68%</w:t>
            </w:r>
          </w:p>
        </w:tc>
        <w:tc>
          <w:tcPr>
            <w:tcW w:w="643" w:type="pct"/>
            <w:vAlign w:val="center"/>
          </w:tcPr>
          <w:p w14:paraId="765FB53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22.00%</w:t>
            </w:r>
          </w:p>
        </w:tc>
        <w:tc>
          <w:tcPr>
            <w:tcW w:w="643" w:type="pct"/>
            <w:vAlign w:val="center"/>
          </w:tcPr>
          <w:p w14:paraId="50B90C1A"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15.13%</w:t>
            </w:r>
          </w:p>
        </w:tc>
      </w:tr>
      <w:tr w:rsidR="00C02929" w14:paraId="690489D1" w14:textId="77777777">
        <w:trPr>
          <w:trHeight w:val="397"/>
        </w:trPr>
        <w:tc>
          <w:tcPr>
            <w:tcW w:w="386" w:type="pct"/>
            <w:vAlign w:val="center"/>
          </w:tcPr>
          <w:p w14:paraId="5DED255D"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2018</w:t>
            </w:r>
          </w:p>
        </w:tc>
        <w:tc>
          <w:tcPr>
            <w:tcW w:w="532" w:type="pct"/>
            <w:vAlign w:val="center"/>
          </w:tcPr>
          <w:p w14:paraId="6DBF573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13.42%</w:t>
            </w:r>
          </w:p>
        </w:tc>
        <w:tc>
          <w:tcPr>
            <w:tcW w:w="532" w:type="pct"/>
            <w:vAlign w:val="center"/>
          </w:tcPr>
          <w:p w14:paraId="6082EC65"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7.31%</w:t>
            </w:r>
          </w:p>
        </w:tc>
        <w:tc>
          <w:tcPr>
            <w:tcW w:w="486" w:type="pct"/>
            <w:vAlign w:val="center"/>
          </w:tcPr>
          <w:p w14:paraId="19B3B6B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4.01%</w:t>
            </w:r>
          </w:p>
        </w:tc>
        <w:tc>
          <w:tcPr>
            <w:tcW w:w="643" w:type="pct"/>
            <w:vAlign w:val="center"/>
          </w:tcPr>
          <w:p w14:paraId="1E760E2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9.41%</w:t>
            </w:r>
          </w:p>
        </w:tc>
        <w:tc>
          <w:tcPr>
            <w:tcW w:w="643" w:type="pct"/>
            <w:vAlign w:val="center"/>
          </w:tcPr>
          <w:p w14:paraId="320AEA4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3.30%</w:t>
            </w:r>
          </w:p>
        </w:tc>
        <w:tc>
          <w:tcPr>
            <w:tcW w:w="492" w:type="pct"/>
            <w:vAlign w:val="center"/>
          </w:tcPr>
          <w:p w14:paraId="67CA916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3.50%</w:t>
            </w:r>
          </w:p>
        </w:tc>
        <w:tc>
          <w:tcPr>
            <w:tcW w:w="643" w:type="pct"/>
            <w:vAlign w:val="center"/>
          </w:tcPr>
          <w:p w14:paraId="61387CD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9.92%</w:t>
            </w:r>
          </w:p>
        </w:tc>
        <w:tc>
          <w:tcPr>
            <w:tcW w:w="643" w:type="pct"/>
            <w:vAlign w:val="center"/>
          </w:tcPr>
          <w:p w14:paraId="4F1B652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3.81%</w:t>
            </w:r>
          </w:p>
        </w:tc>
      </w:tr>
      <w:tr w:rsidR="00C02929" w14:paraId="6D9092D5" w14:textId="77777777">
        <w:trPr>
          <w:trHeight w:val="397"/>
        </w:trPr>
        <w:tc>
          <w:tcPr>
            <w:tcW w:w="386" w:type="pct"/>
            <w:vAlign w:val="center"/>
          </w:tcPr>
          <w:p w14:paraId="6E281268"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2019</w:t>
            </w:r>
          </w:p>
        </w:tc>
        <w:tc>
          <w:tcPr>
            <w:tcW w:w="532" w:type="pct"/>
            <w:vAlign w:val="center"/>
          </w:tcPr>
          <w:p w14:paraId="125706D0"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21.74%</w:t>
            </w:r>
          </w:p>
        </w:tc>
        <w:tc>
          <w:tcPr>
            <w:tcW w:w="532" w:type="pct"/>
            <w:vAlign w:val="center"/>
          </w:tcPr>
          <w:p w14:paraId="2FAD03C0"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14.65%</w:t>
            </w:r>
          </w:p>
        </w:tc>
        <w:tc>
          <w:tcPr>
            <w:tcW w:w="486" w:type="pct"/>
            <w:vAlign w:val="center"/>
          </w:tcPr>
          <w:p w14:paraId="1B759A5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4.10%</w:t>
            </w:r>
          </w:p>
        </w:tc>
        <w:tc>
          <w:tcPr>
            <w:tcW w:w="643" w:type="pct"/>
            <w:vAlign w:val="center"/>
          </w:tcPr>
          <w:p w14:paraId="09AEE149"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17.63%</w:t>
            </w:r>
          </w:p>
        </w:tc>
        <w:tc>
          <w:tcPr>
            <w:tcW w:w="643" w:type="pct"/>
            <w:vAlign w:val="center"/>
          </w:tcPr>
          <w:p w14:paraId="150573A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10.55%</w:t>
            </w:r>
          </w:p>
        </w:tc>
        <w:tc>
          <w:tcPr>
            <w:tcW w:w="492" w:type="pct"/>
            <w:vAlign w:val="center"/>
          </w:tcPr>
          <w:p w14:paraId="0D32A81C"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3.41%</w:t>
            </w:r>
          </w:p>
        </w:tc>
        <w:tc>
          <w:tcPr>
            <w:tcW w:w="643" w:type="pct"/>
            <w:vAlign w:val="center"/>
          </w:tcPr>
          <w:p w14:paraId="6B67F6D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18.32%</w:t>
            </w:r>
          </w:p>
        </w:tc>
        <w:tc>
          <w:tcPr>
            <w:tcW w:w="643" w:type="pct"/>
            <w:vAlign w:val="center"/>
          </w:tcPr>
          <w:p w14:paraId="0E765B1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11.24%</w:t>
            </w:r>
          </w:p>
        </w:tc>
      </w:tr>
      <w:tr w:rsidR="00C02929" w14:paraId="28AEA42C" w14:textId="77777777">
        <w:trPr>
          <w:trHeight w:val="397"/>
        </w:trPr>
        <w:tc>
          <w:tcPr>
            <w:tcW w:w="386" w:type="pct"/>
            <w:vAlign w:val="center"/>
          </w:tcPr>
          <w:p w14:paraId="5E5DF8A7"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平均值</w:t>
            </w:r>
          </w:p>
        </w:tc>
        <w:tc>
          <w:tcPr>
            <w:tcW w:w="532" w:type="pct"/>
            <w:vAlign w:val="center"/>
          </w:tcPr>
          <w:p w14:paraId="5619017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26.85%</w:t>
            </w:r>
          </w:p>
        </w:tc>
        <w:tc>
          <w:tcPr>
            <w:tcW w:w="532" w:type="pct"/>
            <w:vAlign w:val="center"/>
          </w:tcPr>
          <w:p w14:paraId="185B5562"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10.46%</w:t>
            </w:r>
          </w:p>
        </w:tc>
        <w:tc>
          <w:tcPr>
            <w:tcW w:w="486" w:type="pct"/>
            <w:vAlign w:val="center"/>
          </w:tcPr>
          <w:p w14:paraId="02E747D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4.14%</w:t>
            </w:r>
          </w:p>
        </w:tc>
        <w:tc>
          <w:tcPr>
            <w:tcW w:w="643" w:type="pct"/>
            <w:vAlign w:val="center"/>
          </w:tcPr>
          <w:p w14:paraId="7DBB3E7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22.71%</w:t>
            </w:r>
          </w:p>
        </w:tc>
        <w:tc>
          <w:tcPr>
            <w:tcW w:w="643" w:type="pct"/>
            <w:vAlign w:val="center"/>
          </w:tcPr>
          <w:p w14:paraId="1358731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6.32%</w:t>
            </w:r>
          </w:p>
        </w:tc>
        <w:tc>
          <w:tcPr>
            <w:tcW w:w="492" w:type="pct"/>
            <w:vAlign w:val="center"/>
          </w:tcPr>
          <w:p w14:paraId="4344F122"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3.53%</w:t>
            </w:r>
          </w:p>
        </w:tc>
        <w:tc>
          <w:tcPr>
            <w:tcW w:w="643" w:type="pct"/>
            <w:vAlign w:val="center"/>
          </w:tcPr>
          <w:p w14:paraId="46E377C6"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23.32%</w:t>
            </w:r>
          </w:p>
        </w:tc>
        <w:tc>
          <w:tcPr>
            <w:tcW w:w="643" w:type="pct"/>
            <w:vAlign w:val="center"/>
          </w:tcPr>
          <w:p w14:paraId="1F76B94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6.92%</w:t>
            </w:r>
          </w:p>
        </w:tc>
      </w:tr>
      <w:tr w:rsidR="00C02929" w14:paraId="47C19847" w14:textId="77777777">
        <w:trPr>
          <w:trHeight w:val="397"/>
        </w:trPr>
        <w:tc>
          <w:tcPr>
            <w:tcW w:w="386" w:type="pct"/>
            <w:vAlign w:val="center"/>
          </w:tcPr>
          <w:p w14:paraId="4EDCFB7C"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最大值</w:t>
            </w:r>
          </w:p>
        </w:tc>
        <w:tc>
          <w:tcPr>
            <w:tcW w:w="532" w:type="pct"/>
            <w:vAlign w:val="center"/>
          </w:tcPr>
          <w:p w14:paraId="0EA8932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41.88%</w:t>
            </w:r>
          </w:p>
        </w:tc>
        <w:tc>
          <w:tcPr>
            <w:tcW w:w="532" w:type="pct"/>
            <w:vAlign w:val="center"/>
          </w:tcPr>
          <w:p w14:paraId="7422D1A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20.69%</w:t>
            </w:r>
          </w:p>
        </w:tc>
        <w:tc>
          <w:tcPr>
            <w:tcW w:w="486" w:type="pct"/>
            <w:vAlign w:val="center"/>
          </w:tcPr>
          <w:p w14:paraId="76D0F4B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4.32%</w:t>
            </w:r>
          </w:p>
        </w:tc>
        <w:tc>
          <w:tcPr>
            <w:tcW w:w="643" w:type="pct"/>
            <w:vAlign w:val="center"/>
          </w:tcPr>
          <w:p w14:paraId="4949DC30" w14:textId="7655EF36"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37</w:t>
            </w:r>
            <w:r w:rsidR="00AA3DAA">
              <w:rPr>
                <w:rFonts w:ascii="Times New Roman" w:hAnsi="Times New Roman" w:cs="Times New Roman"/>
                <w:color w:val="000000"/>
                <w:sz w:val="21"/>
                <w:szCs w:val="21"/>
              </w:rPr>
              <w:t>.</w:t>
            </w:r>
            <w:r>
              <w:rPr>
                <w:rFonts w:ascii="Times New Roman" w:hAnsi="Times New Roman" w:cs="Times New Roman"/>
                <w:color w:val="000000"/>
                <w:sz w:val="21"/>
                <w:szCs w:val="21"/>
              </w:rPr>
              <w:t>57%</w:t>
            </w:r>
          </w:p>
        </w:tc>
        <w:tc>
          <w:tcPr>
            <w:tcW w:w="643" w:type="pct"/>
            <w:vAlign w:val="center"/>
          </w:tcPr>
          <w:p w14:paraId="3190FC1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16.37%</w:t>
            </w:r>
          </w:p>
        </w:tc>
        <w:tc>
          <w:tcPr>
            <w:tcW w:w="492" w:type="pct"/>
            <w:vAlign w:val="center"/>
          </w:tcPr>
          <w:p w14:paraId="2223283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3.88%</w:t>
            </w:r>
          </w:p>
        </w:tc>
        <w:tc>
          <w:tcPr>
            <w:tcW w:w="643" w:type="pct"/>
            <w:vAlign w:val="center"/>
          </w:tcPr>
          <w:p w14:paraId="39C997A0"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38.15%</w:t>
            </w:r>
          </w:p>
        </w:tc>
        <w:tc>
          <w:tcPr>
            <w:tcW w:w="643" w:type="pct"/>
            <w:vAlign w:val="center"/>
          </w:tcPr>
          <w:p w14:paraId="05CA94F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16.96%</w:t>
            </w:r>
          </w:p>
        </w:tc>
      </w:tr>
      <w:tr w:rsidR="00C02929" w14:paraId="2FA34BF1" w14:textId="77777777">
        <w:trPr>
          <w:trHeight w:val="397"/>
        </w:trPr>
        <w:tc>
          <w:tcPr>
            <w:tcW w:w="386" w:type="pct"/>
            <w:vAlign w:val="center"/>
          </w:tcPr>
          <w:p w14:paraId="68FBBFBF"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最小值</w:t>
            </w:r>
          </w:p>
        </w:tc>
        <w:tc>
          <w:tcPr>
            <w:tcW w:w="532" w:type="pct"/>
            <w:vAlign w:val="center"/>
          </w:tcPr>
          <w:p w14:paraId="1CF7E81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13.42%</w:t>
            </w:r>
          </w:p>
        </w:tc>
        <w:tc>
          <w:tcPr>
            <w:tcW w:w="532" w:type="pct"/>
            <w:vAlign w:val="center"/>
          </w:tcPr>
          <w:p w14:paraId="6D8E9A4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0.12%</w:t>
            </w:r>
          </w:p>
        </w:tc>
        <w:tc>
          <w:tcPr>
            <w:tcW w:w="486" w:type="pct"/>
            <w:vAlign w:val="center"/>
          </w:tcPr>
          <w:p w14:paraId="12C2A324"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3.91%</w:t>
            </w:r>
          </w:p>
        </w:tc>
        <w:tc>
          <w:tcPr>
            <w:tcW w:w="643" w:type="pct"/>
            <w:vAlign w:val="center"/>
          </w:tcPr>
          <w:p w14:paraId="4FF958D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9.41%</w:t>
            </w:r>
          </w:p>
        </w:tc>
        <w:tc>
          <w:tcPr>
            <w:tcW w:w="643" w:type="pct"/>
            <w:vAlign w:val="center"/>
          </w:tcPr>
          <w:p w14:paraId="2BD23C39"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-3.86%</w:t>
            </w:r>
          </w:p>
        </w:tc>
        <w:tc>
          <w:tcPr>
            <w:tcW w:w="492" w:type="pct"/>
            <w:vAlign w:val="center"/>
          </w:tcPr>
          <w:p w14:paraId="3B5D23CF"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3.09%</w:t>
            </w:r>
          </w:p>
        </w:tc>
        <w:tc>
          <w:tcPr>
            <w:tcW w:w="643" w:type="pct"/>
            <w:vAlign w:val="center"/>
          </w:tcPr>
          <w:p w14:paraId="7F339283"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9.92%</w:t>
            </w:r>
          </w:p>
        </w:tc>
        <w:tc>
          <w:tcPr>
            <w:tcW w:w="643" w:type="pct"/>
            <w:vAlign w:val="center"/>
          </w:tcPr>
          <w:p w14:paraId="7888B56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-3.29%</w:t>
            </w:r>
          </w:p>
        </w:tc>
      </w:tr>
      <w:tr w:rsidR="00C02929" w14:paraId="143CD6DC" w14:textId="77777777">
        <w:trPr>
          <w:trHeight w:val="397"/>
        </w:trPr>
        <w:tc>
          <w:tcPr>
            <w:tcW w:w="386" w:type="pct"/>
            <w:vAlign w:val="center"/>
          </w:tcPr>
          <w:p w14:paraId="26A52037" w14:textId="77777777" w:rsidR="00C02929" w:rsidRDefault="006116D1">
            <w:pPr>
              <w:adjustRightInd w:val="0"/>
              <w:snapToGrid w:val="0"/>
              <w:jc w:val="center"/>
              <w:rPr>
                <w:rFonts w:ascii="Times New Roman" w:hAnsi="Times New Roman" w:cs="Times New Roman"/>
                <w:color w:val="000000"/>
                <w:sz w:val="21"/>
                <w:szCs w:val="21"/>
              </w:rPr>
            </w:pPr>
            <w:r>
              <w:rPr>
                <w:rFonts w:ascii="Times New Roman" w:hAnsi="Times New Roman" w:cs="Times New Roman" w:hint="eastAsia"/>
                <w:color w:val="000000"/>
                <w:sz w:val="21"/>
                <w:szCs w:val="21"/>
              </w:rPr>
              <w:t>剔除最大、最小值后的平均值</w:t>
            </w:r>
          </w:p>
        </w:tc>
        <w:tc>
          <w:tcPr>
            <w:tcW w:w="532" w:type="pct"/>
            <w:vAlign w:val="center"/>
          </w:tcPr>
          <w:p w14:paraId="27D1924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26.65%</w:t>
            </w:r>
          </w:p>
        </w:tc>
        <w:tc>
          <w:tcPr>
            <w:tcW w:w="532" w:type="pct"/>
            <w:vAlign w:val="center"/>
          </w:tcPr>
          <w:p w14:paraId="2DE5A5C1"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10.47%</w:t>
            </w:r>
          </w:p>
        </w:tc>
        <w:tc>
          <w:tcPr>
            <w:tcW w:w="486" w:type="pct"/>
            <w:vAlign w:val="center"/>
          </w:tcPr>
          <w:p w14:paraId="5E14AF8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4.14%</w:t>
            </w:r>
          </w:p>
        </w:tc>
        <w:tc>
          <w:tcPr>
            <w:tcW w:w="643" w:type="pct"/>
            <w:vAlign w:val="center"/>
          </w:tcPr>
          <w:p w14:paraId="5A9EED1D"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22.52%</w:t>
            </w:r>
          </w:p>
        </w:tc>
        <w:tc>
          <w:tcPr>
            <w:tcW w:w="643" w:type="pct"/>
            <w:vAlign w:val="center"/>
          </w:tcPr>
          <w:p w14:paraId="1DFB6347"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6.33%</w:t>
            </w:r>
          </w:p>
        </w:tc>
        <w:tc>
          <w:tcPr>
            <w:tcW w:w="492" w:type="pct"/>
            <w:vAlign w:val="center"/>
          </w:tcPr>
          <w:p w14:paraId="501C6A4B"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3.54%</w:t>
            </w:r>
          </w:p>
        </w:tc>
        <w:tc>
          <w:tcPr>
            <w:tcW w:w="643" w:type="pct"/>
            <w:vAlign w:val="center"/>
          </w:tcPr>
          <w:p w14:paraId="6D268E5E"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23.14%</w:t>
            </w:r>
          </w:p>
        </w:tc>
        <w:tc>
          <w:tcPr>
            <w:tcW w:w="643" w:type="pct"/>
            <w:vAlign w:val="center"/>
          </w:tcPr>
          <w:p w14:paraId="7B30A528" w14:textId="77777777" w:rsidR="00C02929" w:rsidRDefault="006116D1">
            <w:pPr>
              <w:adjustRightInd w:val="0"/>
              <w:snapToGrid w:val="0"/>
              <w:jc w:val="right"/>
              <w:rPr>
                <w:rFonts w:ascii="Times New Roman" w:hAnsi="Times New Roman" w:cs="Times New Roman"/>
                <w:color w:val="000000"/>
                <w:sz w:val="21"/>
                <w:szCs w:val="21"/>
              </w:rPr>
            </w:pPr>
            <w:r>
              <w:rPr>
                <w:rFonts w:ascii="Times New Roman" w:hAnsi="Times New Roman" w:cs="Times New Roman"/>
                <w:color w:val="000000"/>
                <w:sz w:val="21"/>
                <w:szCs w:val="21"/>
              </w:rPr>
              <w:t>6.95%</w:t>
            </w:r>
          </w:p>
        </w:tc>
      </w:tr>
    </w:tbl>
    <w:p w14:paraId="7D0B7BFA"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由于几何平均值可以更好表述收益率的增长情况，以及本次评估的标的企业理论上的寿命期为无限年期，因此评估机构认为采用包括超过</w:t>
      </w:r>
      <w:r>
        <w:rPr>
          <w:rFonts w:ascii="Times New Roman" w:hAnsi="Times New Roman" w:cs="Times New Roman" w:hint="eastAsia"/>
        </w:rPr>
        <w:t>10</w:t>
      </w:r>
      <w:r>
        <w:rPr>
          <w:rFonts w:ascii="Times New Roman" w:hAnsi="Times New Roman" w:cs="Times New Roman" w:hint="eastAsia"/>
        </w:rPr>
        <w:t>年期的</w:t>
      </w:r>
      <w:r>
        <w:rPr>
          <w:rFonts w:ascii="Times New Roman" w:hAnsi="Times New Roman" w:cs="Times New Roman" w:hint="eastAsia"/>
        </w:rPr>
        <w:t>ERP=6.33%</w:t>
      </w:r>
      <w:r>
        <w:rPr>
          <w:rFonts w:ascii="Times New Roman" w:hAnsi="Times New Roman" w:cs="Times New Roman" w:hint="eastAsia"/>
        </w:rPr>
        <w:t>比较恰当。</w:t>
      </w:r>
    </w:p>
    <w:p w14:paraId="3CA01FA7" w14:textId="77777777" w:rsidR="00C02929" w:rsidRDefault="006116D1">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③</w:t>
      </w:r>
      <w:r>
        <w:rPr>
          <w:rFonts w:ascii="Times New Roman" w:hAnsi="Times New Roman" w:cs="Times New Roman" w:hint="eastAsia"/>
        </w:rPr>
        <w:t>确定对比公司相对于股票市场风险系数β</w:t>
      </w:r>
      <w:r>
        <w:rPr>
          <w:rFonts w:ascii="Times New Roman" w:hAnsi="Times New Roman" w:cs="Times New Roman" w:hint="eastAsia"/>
        </w:rPr>
        <w:t>(Levered</w:t>
      </w:r>
      <w:r>
        <w:rPr>
          <w:rFonts w:ascii="Times New Roman" w:hAnsi="Times New Roman" w:cs="Times New Roman"/>
        </w:rPr>
        <w:t xml:space="preserve"> </w:t>
      </w:r>
      <w:r>
        <w:rPr>
          <w:rFonts w:ascii="Times New Roman" w:hAnsi="Times New Roman" w:cs="Times New Roman" w:hint="eastAsia"/>
        </w:rPr>
        <w:t>β</w:t>
      </w:r>
      <w:r>
        <w:rPr>
          <w:rFonts w:ascii="Times New Roman" w:hAnsi="Times New Roman" w:cs="Times New Roman" w:hint="eastAsia"/>
        </w:rPr>
        <w:t>)</w:t>
      </w:r>
      <w:r>
        <w:rPr>
          <w:rFonts w:ascii="Times New Roman" w:hAnsi="Times New Roman" w:cs="Times New Roman" w:hint="eastAsia"/>
        </w:rPr>
        <w:t>。</w:t>
      </w:r>
    </w:p>
    <w:p w14:paraId="65EB30FE"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目前中国国内同花顺</w:t>
      </w:r>
      <w:r>
        <w:rPr>
          <w:rFonts w:ascii="Times New Roman" w:hAnsi="Times New Roman" w:cs="Times New Roman" w:hint="eastAsia"/>
        </w:rPr>
        <w:t>iFinD</w:t>
      </w:r>
      <w:r>
        <w:rPr>
          <w:rFonts w:ascii="Times New Roman" w:hAnsi="Times New Roman" w:cs="Times New Roman" w:hint="eastAsia"/>
        </w:rPr>
        <w:t>公司是一家从事于β的研究并给出计算β值计算公式的公司，其股票市场指数选择的是沪深</w:t>
      </w:r>
      <w:r>
        <w:rPr>
          <w:rFonts w:ascii="Times New Roman" w:hAnsi="Times New Roman" w:cs="Times New Roman" w:hint="eastAsia"/>
        </w:rPr>
        <w:t>300</w:t>
      </w:r>
      <w:r>
        <w:rPr>
          <w:rFonts w:ascii="Times New Roman" w:hAnsi="Times New Roman" w:cs="Times New Roman" w:hint="eastAsia"/>
        </w:rPr>
        <w:t>指数，与评估机构在估算国内股票市场</w:t>
      </w:r>
      <w:r>
        <w:rPr>
          <w:rFonts w:ascii="Times New Roman" w:hAnsi="Times New Roman" w:cs="Times New Roman" w:hint="eastAsia"/>
        </w:rPr>
        <w:t>ERP</w:t>
      </w:r>
      <w:r>
        <w:rPr>
          <w:rFonts w:ascii="Times New Roman" w:hAnsi="Times New Roman" w:cs="Times New Roman" w:hint="eastAsia"/>
        </w:rPr>
        <w:t>时采用的是沪深</w:t>
      </w:r>
      <w:r>
        <w:rPr>
          <w:rFonts w:ascii="Times New Roman" w:hAnsi="Times New Roman" w:cs="Times New Roman" w:hint="eastAsia"/>
        </w:rPr>
        <w:t>300</w:t>
      </w:r>
      <w:r>
        <w:rPr>
          <w:rFonts w:ascii="Times New Roman" w:hAnsi="Times New Roman" w:cs="Times New Roman" w:hint="eastAsia"/>
        </w:rPr>
        <w:t>指数相匹配。</w:t>
      </w:r>
    </w:p>
    <w:p w14:paraId="0AC36CA0"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本次评估评估机构是选取同花顺</w:t>
      </w:r>
      <w:r>
        <w:rPr>
          <w:rFonts w:ascii="Times New Roman" w:hAnsi="Times New Roman" w:cs="Times New Roman" w:hint="eastAsia"/>
        </w:rPr>
        <w:t>iFinD</w:t>
      </w:r>
      <w:r>
        <w:rPr>
          <w:rFonts w:ascii="Times New Roman" w:hAnsi="Times New Roman" w:cs="Times New Roman" w:hint="eastAsia"/>
        </w:rPr>
        <w:t>公司公布的β计算器计算对比公司的β值，上述β值是含有对比公司自身资本结构的β值。</w:t>
      </w:r>
    </w:p>
    <w:p w14:paraId="062ADC44"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hint="eastAsia"/>
        </w:rPr>
        <w:t>④</w:t>
      </w:r>
      <w:r>
        <w:rPr>
          <w:rFonts w:ascii="Times New Roman" w:hAnsi="Times New Roman" w:cs="Times New Roman" w:hint="eastAsia"/>
        </w:rPr>
        <w:t>计算对比公司</w:t>
      </w:r>
      <w:r>
        <w:rPr>
          <w:rFonts w:ascii="Times New Roman" w:hAnsi="Times New Roman" w:cs="Times New Roman"/>
        </w:rPr>
        <w:t xml:space="preserve">Unlevered </w:t>
      </w:r>
      <w:r>
        <w:rPr>
          <w:rFonts w:ascii="Times New Roman" w:hAnsi="Times New Roman" w:cs="Times New Roman" w:hint="eastAsia"/>
        </w:rPr>
        <w:t>β和估算被评估单位</w:t>
      </w:r>
      <w:r>
        <w:rPr>
          <w:rFonts w:ascii="Times New Roman" w:hAnsi="Times New Roman" w:cs="Times New Roman"/>
        </w:rPr>
        <w:t>Unlevered β</w:t>
      </w:r>
    </w:p>
    <w:p w14:paraId="3550E1A3"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根据以下公式，评估机构可以分别计算对比公司的</w:t>
      </w:r>
      <w:r>
        <w:rPr>
          <w:rFonts w:ascii="Times New Roman" w:hAnsi="Times New Roman" w:cs="Times New Roman" w:hint="eastAsia"/>
        </w:rPr>
        <w:t>Unlevered</w:t>
      </w:r>
      <w:r>
        <w:rPr>
          <w:rFonts w:ascii="Times New Roman" w:hAnsi="Times New Roman" w:cs="Times New Roman"/>
        </w:rPr>
        <w:t xml:space="preserve"> </w:t>
      </w:r>
      <w:r>
        <w:rPr>
          <w:rFonts w:ascii="Times New Roman" w:hAnsi="Times New Roman" w:cs="Times New Roman" w:hint="eastAsia"/>
        </w:rPr>
        <w:t>β：</w:t>
      </w:r>
    </w:p>
    <w:p w14:paraId="7AED083F" w14:textId="77777777" w:rsidR="00C02929" w:rsidRDefault="006116D1">
      <w:pPr>
        <w:pStyle w:val="ac"/>
        <w:spacing w:beforeLines="50" w:before="156" w:after="0" w:line="360" w:lineRule="auto"/>
        <w:ind w:firstLineChars="200" w:firstLine="480"/>
        <w:rPr>
          <w:rFonts w:eastAsia="宋体"/>
          <w:sz w:val="24"/>
          <w:lang w:val="de-DE"/>
        </w:rPr>
      </w:pPr>
      <w:r>
        <w:rPr>
          <w:rFonts w:eastAsia="宋体"/>
          <w:sz w:val="24"/>
          <w:lang w:val="de-DE"/>
        </w:rPr>
        <w:t>Unlevered</w:t>
      </w:r>
      <w:r>
        <w:rPr>
          <w:rFonts w:eastAsia="宋体"/>
          <w:sz w:val="24"/>
        </w:rPr>
        <w:t>β</w:t>
      </w:r>
      <w:r>
        <w:rPr>
          <w:rFonts w:eastAsia="宋体"/>
          <w:sz w:val="24"/>
          <w:lang w:val="de-DE"/>
        </w:rPr>
        <w:t>=Levered</w:t>
      </w:r>
      <w:r>
        <w:rPr>
          <w:rFonts w:eastAsia="宋体"/>
          <w:sz w:val="24"/>
        </w:rPr>
        <w:t>β</w:t>
      </w:r>
      <w:r>
        <w:rPr>
          <w:rFonts w:eastAsia="宋体"/>
          <w:sz w:val="24"/>
          <w:lang w:val="de-DE"/>
        </w:rPr>
        <w:t>/[1+(1-T)×D/E]</w:t>
      </w:r>
    </w:p>
    <w:p w14:paraId="72625783"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式中：</w:t>
      </w:r>
      <w:r>
        <w:rPr>
          <w:rFonts w:ascii="Times New Roman" w:hAnsi="Times New Roman" w:cs="Times New Roman" w:hint="eastAsia"/>
        </w:rPr>
        <w:t>D</w:t>
      </w:r>
      <w:r>
        <w:rPr>
          <w:rFonts w:ascii="Times New Roman" w:hAnsi="Times New Roman" w:cs="Times New Roman" w:hint="eastAsia"/>
        </w:rPr>
        <w:t>－债权价值；</w:t>
      </w:r>
      <w:r>
        <w:rPr>
          <w:rFonts w:ascii="Times New Roman" w:hAnsi="Times New Roman" w:cs="Times New Roman" w:hint="eastAsia"/>
        </w:rPr>
        <w:t>E</w:t>
      </w:r>
      <w:r>
        <w:rPr>
          <w:rFonts w:ascii="Times New Roman" w:hAnsi="Times New Roman" w:cs="Times New Roman" w:hint="eastAsia"/>
        </w:rPr>
        <w:t>－股权价值；</w:t>
      </w:r>
      <w:r>
        <w:rPr>
          <w:rFonts w:ascii="Times New Roman" w:hAnsi="Times New Roman" w:cs="Times New Roman" w:hint="eastAsia"/>
        </w:rPr>
        <w:t>T</w:t>
      </w:r>
      <w:r>
        <w:rPr>
          <w:rFonts w:ascii="Times New Roman" w:hAnsi="Times New Roman" w:cs="Times New Roman" w:hint="eastAsia"/>
        </w:rPr>
        <w:t>－适用所得税率。</w:t>
      </w:r>
    </w:p>
    <w:p w14:paraId="41C43BE5"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将对比公司的</w:t>
      </w:r>
      <w:r>
        <w:rPr>
          <w:rFonts w:ascii="Times New Roman" w:hAnsi="Times New Roman" w:cs="Times New Roman" w:hint="eastAsia"/>
        </w:rPr>
        <w:t>Unlevered</w:t>
      </w:r>
      <w:r>
        <w:rPr>
          <w:rFonts w:ascii="Times New Roman" w:hAnsi="Times New Roman" w:cs="Times New Roman" w:hint="eastAsia"/>
        </w:rPr>
        <w:t>β计算出来后，取其平均值作为标的公司的</w:t>
      </w:r>
      <w:r>
        <w:rPr>
          <w:rFonts w:ascii="Times New Roman" w:hAnsi="Times New Roman" w:cs="Times New Roman" w:hint="eastAsia"/>
        </w:rPr>
        <w:t>Unlevered</w:t>
      </w:r>
      <w:r>
        <w:rPr>
          <w:rFonts w:ascii="Times New Roman" w:hAnsi="Times New Roman" w:cs="Times New Roman" w:hint="eastAsia"/>
        </w:rPr>
        <w:t>β。</w:t>
      </w:r>
    </w:p>
    <w:p w14:paraId="203A8B0C" w14:textId="77777777" w:rsidR="00C02929" w:rsidRDefault="006116D1">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⑤</w:t>
      </w:r>
      <w:r>
        <w:rPr>
          <w:rFonts w:ascii="Times New Roman" w:hAnsi="Times New Roman" w:cs="Times New Roman" w:hint="eastAsia"/>
        </w:rPr>
        <w:t>确定标的公司的资本结构比率</w:t>
      </w:r>
    </w:p>
    <w:p w14:paraId="00F51073"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在确定标的公司目标资本结构时评估机构参考了以下两个指标：</w:t>
      </w:r>
    </w:p>
    <w:p w14:paraId="5484AB06"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被对比公司资本结构平均值；</w:t>
      </w:r>
    </w:p>
    <w:p w14:paraId="00A1D535"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被评估单位自身账面价值计算的资本结构。</w:t>
      </w:r>
    </w:p>
    <w:p w14:paraId="5B7D10E5" w14:textId="77777777" w:rsidR="00C02929" w:rsidRDefault="006116D1">
      <w:pPr>
        <w:snapToGrid w:val="0"/>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最后综合上述两项指标确定被评估单位目标资本结构。</w:t>
      </w:r>
    </w:p>
    <w:p w14:paraId="67FDF556" w14:textId="77777777" w:rsidR="00C02929" w:rsidRDefault="006116D1">
      <w:pPr>
        <w:numPr>
          <w:ilvl w:val="255"/>
          <w:numId w:val="0"/>
        </w:numPr>
        <w:snapToGrid w:val="0"/>
        <w:spacing w:beforeLines="50" w:before="156" w:line="360" w:lineRule="auto"/>
        <w:ind w:firstLineChars="200" w:firstLine="480"/>
        <w:jc w:val="both"/>
      </w:pPr>
      <w:r>
        <w:rPr>
          <w:rFonts w:hint="eastAsia"/>
        </w:rPr>
        <w:t>⑥估算标的公司在上述确定的资本结构比率下的</w:t>
      </w:r>
      <w:r>
        <w:t xml:space="preserve">Levered </w:t>
      </w:r>
      <w:r>
        <w:rPr>
          <w:rFonts w:hint="eastAsia"/>
        </w:rPr>
        <w:t>β</w:t>
      </w:r>
    </w:p>
    <w:p w14:paraId="14B9C8E0" w14:textId="77777777" w:rsidR="00C02929" w:rsidRDefault="006116D1">
      <w:pPr>
        <w:numPr>
          <w:ilvl w:val="255"/>
          <w:numId w:val="0"/>
        </w:numPr>
        <w:snapToGrid w:val="0"/>
        <w:spacing w:beforeLines="50" w:before="156" w:line="360" w:lineRule="auto"/>
        <w:ind w:firstLineChars="200" w:firstLine="480"/>
        <w:jc w:val="both"/>
      </w:pPr>
      <w:r>
        <w:rPr>
          <w:rFonts w:hint="eastAsia"/>
        </w:rPr>
        <w:t>评估机构将已经确定的标的公司资本结构比率代入到如下公式中，计算标的公司</w:t>
      </w:r>
      <w:r>
        <w:t xml:space="preserve">Levered </w:t>
      </w:r>
      <w:r>
        <w:rPr>
          <w:rFonts w:hint="eastAsia"/>
        </w:rPr>
        <w:t>β：</w:t>
      </w:r>
    </w:p>
    <w:p w14:paraId="365BEAAE" w14:textId="77777777" w:rsidR="00C02929" w:rsidRDefault="006116D1">
      <w:pPr>
        <w:numPr>
          <w:ilvl w:val="255"/>
          <w:numId w:val="0"/>
        </w:numPr>
        <w:snapToGrid w:val="0"/>
        <w:spacing w:beforeLines="50" w:before="156" w:line="360" w:lineRule="auto"/>
        <w:ind w:firstLineChars="200" w:firstLine="480"/>
        <w:jc w:val="both"/>
      </w:pPr>
      <w:r>
        <w:t xml:space="preserve">Levered </w:t>
      </w:r>
      <w:r>
        <w:rPr>
          <w:rFonts w:hint="eastAsia"/>
        </w:rPr>
        <w:t>β</w:t>
      </w:r>
      <w:r>
        <w:t>=Unleveredβ×[1+(1-T)×D/E]</w:t>
      </w:r>
    </w:p>
    <w:p w14:paraId="7F46DC9D" w14:textId="77777777" w:rsidR="00C02929" w:rsidRDefault="006116D1">
      <w:pPr>
        <w:numPr>
          <w:ilvl w:val="255"/>
          <w:numId w:val="0"/>
        </w:numPr>
        <w:snapToGrid w:val="0"/>
        <w:spacing w:beforeLines="50" w:before="156" w:line="360" w:lineRule="auto"/>
        <w:ind w:firstLineChars="200" w:firstLine="480"/>
        <w:jc w:val="both"/>
      </w:pPr>
      <w:r>
        <w:rPr>
          <w:rFonts w:hint="eastAsia"/>
        </w:rPr>
        <w:lastRenderedPageBreak/>
        <w:t>式中：</w:t>
      </w:r>
      <w:r>
        <w:t>D－债权价值；E－股权价值；T：适用所得税率(取15%)；</w:t>
      </w:r>
    </w:p>
    <w:p w14:paraId="5C8A7735" w14:textId="77777777" w:rsidR="00C02929" w:rsidRDefault="006116D1">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⑦</w:t>
      </w:r>
      <w:r>
        <w:rPr>
          <w:rFonts w:ascii="Times New Roman" w:hAnsi="Times New Roman" w:cs="Times New Roman" w:hint="eastAsia"/>
        </w:rPr>
        <w:t>β系数的</w:t>
      </w:r>
      <w:r>
        <w:rPr>
          <w:rFonts w:ascii="Times New Roman" w:hAnsi="Times New Roman" w:cs="Times New Roman" w:hint="eastAsia"/>
        </w:rPr>
        <w:t>Blume</w:t>
      </w:r>
      <w:r>
        <w:rPr>
          <w:rFonts w:ascii="Times New Roman" w:hAnsi="Times New Roman" w:cs="Times New Roman" w:hint="eastAsia"/>
        </w:rPr>
        <w:t>调正</w:t>
      </w:r>
    </w:p>
    <w:p w14:paraId="470C15FA" w14:textId="77777777" w:rsidR="00C02929" w:rsidRDefault="006116D1">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评估机构估算β系数的目的是估算折现率，该折现率是用来折现未来的预期收益，因此折现率应该是未来预期的折现率，因此要求估算的β系数也应该是未来的预期β系数。</w:t>
      </w:r>
    </w:p>
    <w:p w14:paraId="35B3FCF9" w14:textId="77777777" w:rsidR="00C02929" w:rsidRDefault="006116D1">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评估机构采用的β系数估算方法是采用历史数据，因此评估机构实际估算的β系数应该是历史的β系数而不是未来预期的β系数。为了估算未来预期的β系数，评估机构需要采用布鲁姆调整法</w:t>
      </w:r>
      <w:r>
        <w:rPr>
          <w:rFonts w:ascii="Times New Roman" w:hAnsi="Times New Roman" w:cs="Times New Roman" w:hint="eastAsia"/>
        </w:rPr>
        <w:t>(Blume</w:t>
      </w:r>
      <w:r>
        <w:rPr>
          <w:rFonts w:ascii="Times New Roman" w:hAnsi="Times New Roman" w:cs="Times New Roman"/>
        </w:rPr>
        <w:t xml:space="preserve"> </w:t>
      </w:r>
      <w:r>
        <w:rPr>
          <w:rFonts w:ascii="Times New Roman" w:hAnsi="Times New Roman" w:cs="Times New Roman" w:hint="eastAsia"/>
        </w:rPr>
        <w:t>Adjustment)</w:t>
      </w:r>
      <w:r>
        <w:rPr>
          <w:rFonts w:ascii="Times New Roman" w:hAnsi="Times New Roman" w:cs="Times New Roman" w:hint="eastAsia"/>
        </w:rPr>
        <w:t>。</w:t>
      </w:r>
    </w:p>
    <w:p w14:paraId="54FCBE8A" w14:textId="77777777" w:rsidR="00C02929" w:rsidRDefault="006116D1">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Blume</w:t>
      </w:r>
      <w:r>
        <w:rPr>
          <w:rFonts w:ascii="Times New Roman" w:hAnsi="Times New Roman" w:cs="Times New Roman" w:hint="eastAsia"/>
        </w:rPr>
        <w:t>在</w:t>
      </w:r>
      <w:r>
        <w:rPr>
          <w:rFonts w:ascii="Times New Roman" w:hAnsi="Times New Roman" w:cs="Times New Roman" w:hint="eastAsia"/>
        </w:rPr>
        <w:t>1975</w:t>
      </w:r>
      <w:r>
        <w:rPr>
          <w:rFonts w:ascii="Times New Roman" w:hAnsi="Times New Roman" w:cs="Times New Roman" w:hint="eastAsia"/>
        </w:rPr>
        <w:t>年其在“贝塔及其回归趋势”一文中指出股票β的真实值要比其估计值更趋近于“</w:t>
      </w:r>
      <w:r>
        <w:rPr>
          <w:rFonts w:ascii="Times New Roman" w:hAnsi="Times New Roman" w:cs="Times New Roman" w:hint="eastAsia"/>
        </w:rPr>
        <w:t>1</w:t>
      </w:r>
      <w:r>
        <w:rPr>
          <w:rFonts w:ascii="Times New Roman" w:hAnsi="Times New Roman" w:cs="Times New Roman" w:hint="eastAsia"/>
        </w:rPr>
        <w:t>”。并提出“趋一性”的两个可能的原因：（</w:t>
      </w:r>
      <w:r>
        <w:rPr>
          <w:rFonts w:ascii="Times New Roman" w:hAnsi="Times New Roman" w:cs="Times New Roman" w:hint="eastAsia"/>
        </w:rPr>
        <w:t>1</w:t>
      </w:r>
      <w:r>
        <w:rPr>
          <w:rFonts w:ascii="Times New Roman" w:hAnsi="Times New Roman" w:cs="Times New Roman" w:hint="eastAsia"/>
        </w:rPr>
        <w:t>）公司初建时倾向于选择风险相对高的投资项目，当风险随着时间的推移逐渐释放时，β会出现下降的趋势。（</w:t>
      </w:r>
      <w:r>
        <w:rPr>
          <w:rFonts w:ascii="Times New Roman" w:hAnsi="Times New Roman" w:cs="Times New Roman" w:hint="eastAsia"/>
        </w:rPr>
        <w:t>2</w:t>
      </w:r>
      <w:r>
        <w:rPr>
          <w:rFonts w:ascii="Times New Roman" w:hAnsi="Times New Roman" w:cs="Times New Roman" w:hint="eastAsia"/>
        </w:rPr>
        <w:t>）公司在决定新的投资时，作为风险厌恶者的管理层，可能倾向于考虑小风险的投资，这样公司的β系数就趋于“</w:t>
      </w:r>
      <w:r>
        <w:rPr>
          <w:rFonts w:ascii="Times New Roman" w:hAnsi="Times New Roman" w:cs="Times New Roman" w:hint="eastAsia"/>
        </w:rPr>
        <w:t>1</w:t>
      </w:r>
      <w:r>
        <w:rPr>
          <w:rFonts w:ascii="Times New Roman" w:hAnsi="Times New Roman" w:cs="Times New Roman" w:hint="eastAsia"/>
        </w:rPr>
        <w:t>”。</w:t>
      </w:r>
    </w:p>
    <w:p w14:paraId="7F26850D" w14:textId="77777777" w:rsidR="00C02929" w:rsidRDefault="006116D1">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该调整方法被广泛运用，许多著名的国际投资咨询机构等就采用了与布鲁姆调整相类似的β计算公式。鉴于此，本次评估评估机构采用</w:t>
      </w:r>
      <w:r>
        <w:rPr>
          <w:rFonts w:ascii="Times New Roman" w:hAnsi="Times New Roman" w:cs="Times New Roman" w:hint="eastAsia"/>
        </w:rPr>
        <w:t>Blume</w:t>
      </w:r>
      <w:r>
        <w:rPr>
          <w:rFonts w:ascii="Times New Roman" w:hAnsi="Times New Roman" w:cs="Times New Roman" w:hint="eastAsia"/>
        </w:rPr>
        <w:t>对采用历史数据估算的β系数进行调整。</w:t>
      </w:r>
    </w:p>
    <w:p w14:paraId="03CB4A86" w14:textId="77777777" w:rsidR="00C02929" w:rsidRDefault="006116D1">
      <w:pPr>
        <w:tabs>
          <w:tab w:val="left" w:pos="851"/>
        </w:tabs>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Blume</w:t>
      </w:r>
      <w:r>
        <w:rPr>
          <w:rFonts w:ascii="Times New Roman" w:hAnsi="Times New Roman" w:cs="Times New Roman" w:hint="eastAsia"/>
        </w:rPr>
        <w:t>提出的调整思路及方法如下：</w:t>
      </w:r>
    </w:p>
    <w:p w14:paraId="28F6A177" w14:textId="77777777" w:rsidR="00C02929" w:rsidRDefault="006116D1">
      <w:pPr>
        <w:tabs>
          <w:tab w:val="left" w:pos="851"/>
        </w:tabs>
        <w:spacing w:line="360" w:lineRule="auto"/>
        <w:ind w:firstLineChars="177" w:firstLine="425"/>
        <w:jc w:val="both"/>
        <w:rPr>
          <w:rFonts w:ascii="Times New Roman" w:hAnsi="Times New Roman" w:cs="Times New Roman"/>
          <w:position w:val="-12"/>
        </w:rPr>
      </w:pPr>
      <w:r>
        <w:rPr>
          <w:rFonts w:ascii="Times New Roman" w:hAnsi="Times New Roman" w:cs="Times New Roman"/>
          <w:position w:val="-12"/>
        </w:rPr>
        <w:object w:dxaOrig="1878" w:dyaOrig="438" w14:anchorId="0E2E5904">
          <v:shape id="_x0000_i1027" type="#_x0000_t75" style="width:93.4pt;height:21.4pt" o:ole="">
            <v:imagedata r:id="rId49" o:title=""/>
          </v:shape>
          <o:OLEObject Type="Embed" ProgID="Equation.3" ShapeID="_x0000_i1027" DrawAspect="Content" ObjectID="_1680433039" r:id="rId50"/>
        </w:object>
      </w:r>
    </w:p>
    <w:p w14:paraId="189D2135" w14:textId="77777777" w:rsidR="00C02929" w:rsidRDefault="006116D1">
      <w:pPr>
        <w:spacing w:line="360" w:lineRule="auto"/>
        <w:ind w:firstLineChars="200" w:firstLine="480"/>
        <w:jc w:val="both"/>
        <w:rPr>
          <w:rFonts w:ascii="Times New Roman" w:hAnsi="Times New Roman" w:cs="Times New Roman"/>
        </w:rPr>
      </w:pPr>
      <w:r>
        <w:rPr>
          <w:rFonts w:ascii="Times New Roman" w:hAnsi="Times New Roman" w:cs="Times New Roman" w:hint="eastAsia"/>
        </w:rPr>
        <w:t>其中：</w:t>
      </w:r>
      <w:r>
        <w:rPr>
          <w:rFonts w:ascii="Times New Roman" w:hAnsi="Times New Roman" w:cs="Times New Roman"/>
          <w:position w:val="-12"/>
        </w:rPr>
        <w:object w:dxaOrig="288" w:dyaOrig="438" w14:anchorId="2319A36E">
          <v:shape id="_x0000_i1028" type="#_x0000_t75" style="width:14.6pt;height:21.4pt" o:ole="">
            <v:imagedata r:id="rId51" o:title=""/>
          </v:shape>
          <o:OLEObject Type="Embed" ProgID="Equation.3" ShapeID="_x0000_i1028" DrawAspect="Content" ObjectID="_1680433040" r:id="rId52"/>
        </w:object>
      </w:r>
      <w:r>
        <w:rPr>
          <w:rFonts w:ascii="Times New Roman" w:hAnsi="Times New Roman" w:cs="Times New Roman" w:hint="eastAsia"/>
        </w:rPr>
        <w:t>为调整后的β值，</w:t>
      </w:r>
      <w:r>
        <w:rPr>
          <w:rFonts w:ascii="Times New Roman" w:hAnsi="Times New Roman" w:cs="Times New Roman"/>
          <w:position w:val="-12"/>
        </w:rPr>
        <w:object w:dxaOrig="288" w:dyaOrig="438" w14:anchorId="299F768C">
          <v:shape id="_x0000_i1029" type="#_x0000_t75" style="width:14.6pt;height:21.4pt" o:ole="">
            <v:imagedata r:id="rId53" o:title=""/>
          </v:shape>
          <o:OLEObject Type="Embed" ProgID="Equation.3" ShapeID="_x0000_i1029" DrawAspect="Content" ObjectID="_1680433041" r:id="rId54"/>
        </w:object>
      </w:r>
      <w:r>
        <w:rPr>
          <w:rFonts w:ascii="Times New Roman" w:hAnsi="Times New Roman" w:cs="Times New Roman" w:hint="eastAsia"/>
        </w:rPr>
        <w:t>为历史β值。</w:t>
      </w:r>
    </w:p>
    <w:p w14:paraId="5F0FB2F6" w14:textId="77777777" w:rsidR="00C02929" w:rsidRDefault="006116D1">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⑧</w:t>
      </w:r>
      <w:r>
        <w:rPr>
          <w:rFonts w:ascii="Times New Roman" w:hAnsi="Times New Roman" w:cs="Times New Roman" w:hint="eastAsia"/>
        </w:rPr>
        <w:t>估算公司特有风险收益率</w:t>
      </w:r>
      <w:r>
        <w:rPr>
          <w:rFonts w:ascii="Times New Roman" w:hAnsi="Times New Roman" w:cs="Times New Roman" w:hint="eastAsia"/>
        </w:rPr>
        <w:t>R</w:t>
      </w:r>
      <w:r>
        <w:rPr>
          <w:rFonts w:ascii="Times New Roman" w:hAnsi="Times New Roman" w:cs="Times New Roman"/>
          <w:vertAlign w:val="subscript"/>
        </w:rPr>
        <w:t>s</w:t>
      </w:r>
    </w:p>
    <w:p w14:paraId="785176DB" w14:textId="77777777" w:rsidR="00C02929" w:rsidRDefault="006116D1">
      <w:pPr>
        <w:pStyle w:val="ac"/>
        <w:spacing w:beforeLines="50" w:before="156" w:after="0" w:line="360" w:lineRule="auto"/>
        <w:ind w:firstLineChars="200" w:firstLine="480"/>
        <w:rPr>
          <w:rFonts w:eastAsia="宋体"/>
          <w:sz w:val="24"/>
        </w:rPr>
      </w:pPr>
      <w:r>
        <w:rPr>
          <w:rFonts w:eastAsia="宋体" w:hint="eastAsia"/>
          <w:sz w:val="24"/>
        </w:rPr>
        <w:t>采用资本定价模型一般被认为是估算一个投资组合（</w:t>
      </w:r>
      <w:r>
        <w:rPr>
          <w:rFonts w:eastAsia="宋体" w:hint="eastAsia"/>
          <w:sz w:val="24"/>
        </w:rPr>
        <w:t>Portfolio</w:t>
      </w:r>
      <w:r>
        <w:rPr>
          <w:rFonts w:eastAsia="宋体" w:hint="eastAsia"/>
          <w:sz w:val="24"/>
        </w:rPr>
        <w:t>）的组合投资回报率，资本定价模型不能直接估算单个公司的投资回报率，一般认为单个公司的投资风险要高于一个投资组合的投资风险，因此，在考虑一个单个公司或股票的投资收益时应该考虑该公司的针对投资组合所具有的全部特有风险所产生的超额回报率。</w:t>
      </w:r>
    </w:p>
    <w:p w14:paraId="6849BA8C"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公司特别风险溢价主要是针对公司具有的一些非系统的特有因素所产生风险的风险溢价或折价，一般认为这些特别风险包括，但不局限于：</w:t>
      </w:r>
    </w:p>
    <w:p w14:paraId="6F868AF6" w14:textId="77777777" w:rsidR="00C02929" w:rsidRDefault="006116D1">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A</w:t>
      </w:r>
      <w:r>
        <w:rPr>
          <w:rFonts w:ascii="Times New Roman" w:hAnsi="Times New Roman" w:cs="Times New Roman" w:hint="eastAsia"/>
          <w:lang w:bidi="ar"/>
        </w:rPr>
        <w:t>）客户聚集度过高特别风险</w:t>
      </w:r>
    </w:p>
    <w:p w14:paraId="178DF41C"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所谓客户聚集度是指标的公司与对比公司相比其客户过于集中在一个或几个少数客户，由于客户过于集中就会出现一旦这些客户违约或出现问题，则直接会给标的公司的经营带来重大影响。</w:t>
      </w:r>
    </w:p>
    <w:p w14:paraId="3BDA89A6" w14:textId="77777777" w:rsidR="00C02929" w:rsidRDefault="006116D1">
      <w:pPr>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由于本次评估的标的公司存在以下事实：</w:t>
      </w:r>
    </w:p>
    <w:p w14:paraId="49DF76FA"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北洋天青前五大客户主要集中于家电行业，其中包括洗衣机、冰箱、冷柜、洗碗机，机器人等，客户群体与北洋天青的主营业务相符。同时可以看出北洋天青客户相对集中，因此评估机构认为存在由于客户聚集度过高的特别风险。</w:t>
      </w:r>
    </w:p>
    <w:p w14:paraId="1CE42E36" w14:textId="77777777" w:rsidR="00C02929" w:rsidRDefault="006116D1">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B</w:t>
      </w:r>
      <w:r>
        <w:rPr>
          <w:rFonts w:ascii="Times New Roman" w:hAnsi="Times New Roman" w:cs="Times New Roman" w:hint="eastAsia"/>
          <w:lang w:bidi="ar"/>
        </w:rPr>
        <w:t>）公司治理风险</w:t>
      </w:r>
    </w:p>
    <w:p w14:paraId="78CD9BD7" w14:textId="77777777" w:rsidR="00C02929" w:rsidRDefault="006116D1">
      <w:pPr>
        <w:tabs>
          <w:tab w:val="left" w:pos="851"/>
        </w:tabs>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rPr>
        <w:t>一般情况非上市公司的公司治理水平低于上市公司。</w:t>
      </w:r>
    </w:p>
    <w:p w14:paraId="02E0793A" w14:textId="77777777" w:rsidR="00C02929" w:rsidRDefault="006116D1">
      <w:pPr>
        <w:tabs>
          <w:tab w:val="left" w:pos="851"/>
        </w:tabs>
        <w:spacing w:beforeLines="50" w:before="156" w:line="360" w:lineRule="auto"/>
        <w:ind w:firstLineChars="200" w:firstLine="480"/>
        <w:jc w:val="both"/>
        <w:rPr>
          <w:rFonts w:ascii="Times New Roman" w:hAnsi="Times New Roman" w:cs="Times New Roman"/>
          <w:bCs/>
        </w:rPr>
      </w:pPr>
      <w:r>
        <w:rPr>
          <w:rFonts w:ascii="Times New Roman" w:hAnsi="Times New Roman" w:cs="Times New Roman" w:hint="eastAsia"/>
          <w:bCs/>
        </w:rPr>
        <w:t>因此评估机构认为存在公司治理特别风险。</w:t>
      </w:r>
    </w:p>
    <w:p w14:paraId="78974BC2" w14:textId="77777777" w:rsidR="00C02929" w:rsidRDefault="006116D1">
      <w:pPr>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C</w:t>
      </w:r>
      <w:r>
        <w:rPr>
          <w:rFonts w:ascii="Times New Roman" w:hAnsi="Times New Roman" w:cs="Times New Roman" w:hint="eastAsia"/>
          <w:lang w:bidi="ar"/>
        </w:rPr>
        <w:t>）管理者特别风险</w:t>
      </w:r>
    </w:p>
    <w:p w14:paraId="5F423954" w14:textId="77777777" w:rsidR="00C02929" w:rsidRDefault="006116D1">
      <w:pPr>
        <w:topLinePunct/>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bCs/>
        </w:rPr>
        <w:t>有经验的管理者往往可以做出正确的决策，在应对复杂的市场竞争中处于有利地位，特别是对于某些具有非常影响力的人物，公司的发展往往非常依赖这些具有影响力的人物，一旦这些人物出现问题，如生病、死亡等，则对公司的经营会产生巨大影响，这些就会造成管理者特别风险。</w:t>
      </w:r>
    </w:p>
    <w:p w14:paraId="0A9E32FF" w14:textId="77777777" w:rsidR="00C02929" w:rsidRDefault="006116D1">
      <w:pPr>
        <w:pStyle w:val="ac"/>
        <w:spacing w:beforeLines="50" w:before="156" w:after="0" w:line="360" w:lineRule="auto"/>
        <w:ind w:firstLineChars="200" w:firstLine="480"/>
        <w:rPr>
          <w:rFonts w:eastAsia="宋体"/>
          <w:sz w:val="24"/>
        </w:rPr>
      </w:pPr>
      <w:r>
        <w:rPr>
          <w:rFonts w:eastAsia="宋体" w:hint="eastAsia"/>
          <w:sz w:val="24"/>
        </w:rPr>
        <w:t>综合考虑上述诸因素，公司特有风险超额收益率按</w:t>
      </w:r>
      <w:r>
        <w:rPr>
          <w:rFonts w:eastAsia="宋体" w:hint="eastAsia"/>
          <w:sz w:val="24"/>
        </w:rPr>
        <w:t>4%</w:t>
      </w:r>
      <w:r>
        <w:rPr>
          <w:rFonts w:eastAsia="宋体" w:hint="eastAsia"/>
          <w:sz w:val="24"/>
        </w:rPr>
        <w:t>预测。</w:t>
      </w:r>
    </w:p>
    <w:p w14:paraId="72170E31" w14:textId="77777777" w:rsidR="00C02929" w:rsidRDefault="006116D1">
      <w:pPr>
        <w:numPr>
          <w:ilvl w:val="255"/>
          <w:numId w:val="0"/>
        </w:numPr>
        <w:snapToGrid w:val="0"/>
        <w:spacing w:beforeLines="50" w:before="156" w:line="360" w:lineRule="auto"/>
        <w:ind w:firstLineChars="200" w:firstLine="480"/>
        <w:jc w:val="both"/>
        <w:rPr>
          <w:rFonts w:ascii="Times New Roman" w:hAnsi="Times New Roman" w:cs="Times New Roman"/>
        </w:rPr>
      </w:pPr>
      <w:r>
        <w:rPr>
          <w:rFonts w:hint="eastAsia"/>
        </w:rPr>
        <w:t>⑨</w:t>
      </w:r>
      <w:r>
        <w:rPr>
          <w:rFonts w:ascii="Times New Roman" w:hAnsi="Times New Roman" w:cs="Times New Roman" w:hint="eastAsia"/>
        </w:rPr>
        <w:t>计算现行股权收益率</w:t>
      </w:r>
    </w:p>
    <w:p w14:paraId="7988586C" w14:textId="77777777" w:rsidR="00C02929" w:rsidRDefault="006116D1">
      <w:pPr>
        <w:pStyle w:val="ac"/>
        <w:spacing w:beforeLines="50" w:before="156" w:after="0" w:line="360" w:lineRule="auto"/>
        <w:ind w:firstLineChars="200" w:firstLine="480"/>
        <w:rPr>
          <w:rFonts w:eastAsia="宋体"/>
          <w:sz w:val="24"/>
        </w:rPr>
      </w:pPr>
      <w:r>
        <w:rPr>
          <w:rFonts w:eastAsia="宋体" w:hint="eastAsia"/>
          <w:sz w:val="24"/>
        </w:rPr>
        <w:t>将恰当的数据代入</w:t>
      </w:r>
      <w:r>
        <w:rPr>
          <w:rFonts w:eastAsia="宋体" w:hint="eastAsia"/>
          <w:sz w:val="24"/>
        </w:rPr>
        <w:t>CAPM</w:t>
      </w:r>
      <w:r>
        <w:rPr>
          <w:rFonts w:eastAsia="宋体" w:hint="eastAsia"/>
          <w:sz w:val="24"/>
        </w:rPr>
        <w:t>公式中，</w:t>
      </w:r>
      <w:r>
        <w:rPr>
          <w:rFonts w:eastAsia="宋体" w:hint="eastAsia"/>
          <w:sz w:val="24"/>
          <w:lang w:val="en-US"/>
        </w:rPr>
        <w:t>评估机构</w:t>
      </w:r>
      <w:r>
        <w:rPr>
          <w:rFonts w:eastAsia="宋体" w:hint="eastAsia"/>
          <w:sz w:val="24"/>
        </w:rPr>
        <w:t>就可以计算出对</w:t>
      </w:r>
      <w:r>
        <w:rPr>
          <w:rFonts w:eastAsia="宋体" w:hint="eastAsia"/>
          <w:sz w:val="24"/>
          <w:lang w:val="en-US"/>
        </w:rPr>
        <w:t>标的公司</w:t>
      </w:r>
      <w:r>
        <w:rPr>
          <w:rFonts w:eastAsia="宋体" w:hint="eastAsia"/>
          <w:sz w:val="24"/>
        </w:rPr>
        <w:t>的股权期望回报率。</w:t>
      </w:r>
    </w:p>
    <w:p w14:paraId="7EB5135A"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2</w:t>
      </w:r>
      <w:r>
        <w:rPr>
          <w:rFonts w:ascii="Times New Roman" w:hAnsi="Times New Roman" w:cs="Times New Roman" w:hint="eastAsia"/>
          <w:lang w:bidi="ar"/>
        </w:rPr>
        <w:t>）债权回报率的确定</w:t>
      </w:r>
    </w:p>
    <w:p w14:paraId="03B46819"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债权投资回报率实际上是标的公司的债权投资者期望的投资回报率。</w:t>
      </w:r>
    </w:p>
    <w:p w14:paraId="3B0A390F"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不同的企业，由于企业经营状态不同、资本结构不同等，企业的偿债能力会有所不同，债权投资人所期望的投资回报率也应不尽相同，因此企业的债权投资回报率与企业的财务风险，即资本结构密切相关。</w:t>
      </w:r>
    </w:p>
    <w:p w14:paraId="123BD436"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鉴于债权投资回报率需要采用复利形式的到期收益率；同时，在采用全投资现金流模型并且选择行业最优资本结构估算</w:t>
      </w:r>
      <w:r>
        <w:rPr>
          <w:rFonts w:ascii="Times New Roman" w:hAnsi="Times New Roman" w:cs="Times New Roman" w:hint="eastAsia"/>
        </w:rPr>
        <w:t>WACC</w:t>
      </w:r>
      <w:r>
        <w:rPr>
          <w:rFonts w:ascii="Times New Roman" w:hAnsi="Times New Roman" w:cs="Times New Roman" w:hint="eastAsia"/>
        </w:rPr>
        <w:t>时，债权投资回报率</w:t>
      </w:r>
      <w:r>
        <w:rPr>
          <w:rFonts w:ascii="Times New Roman" w:hAnsi="Times New Roman" w:cs="Times New Roman" w:hint="eastAsia"/>
        </w:rPr>
        <w:t>Rd</w:t>
      </w:r>
      <w:r>
        <w:rPr>
          <w:rFonts w:ascii="Times New Roman" w:hAnsi="Times New Roman" w:cs="Times New Roman" w:hint="eastAsia"/>
        </w:rPr>
        <w:t>应该选择该行业所能获得的最优的</w:t>
      </w:r>
      <w:r>
        <w:rPr>
          <w:rFonts w:ascii="Times New Roman" w:hAnsi="Times New Roman" w:cs="Times New Roman" w:hint="eastAsia"/>
        </w:rPr>
        <w:t>Rd</w:t>
      </w:r>
      <w:r>
        <w:rPr>
          <w:rFonts w:ascii="Times New Roman" w:hAnsi="Times New Roman" w:cs="Times New Roman" w:hint="eastAsia"/>
        </w:rPr>
        <w:t>，因此，一般应选用投资与标的企业相同行业、相同风险等级的企业债券的到期收益率作为债权投资回报率指标。</w:t>
      </w:r>
    </w:p>
    <w:p w14:paraId="1C48D457"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企业基准日未借款，单本次估值假设前提为企业持续经营，从这个角度来看，企业稳定经营的时间要长于发展期，基准日时资本结构并不能代表企业的长期稳定资本结构，相比较而言可比公司平均资本结构更能体现企业持续经营过程中稳定的资本结构，从长期来看，企业的资本结构应该稳定在最优资本结构区间内，因此选用上市公司平均资本结构水平，基于此，本次估值选用</w:t>
      </w:r>
      <w:r>
        <w:rPr>
          <w:rFonts w:ascii="Times New Roman" w:hAnsi="Times New Roman" w:cs="Times New Roman" w:hint="eastAsia"/>
        </w:rPr>
        <w:t>1</w:t>
      </w:r>
      <w:r>
        <w:rPr>
          <w:rFonts w:ascii="Times New Roman" w:hAnsi="Times New Roman" w:cs="Times New Roman" w:hint="eastAsia"/>
        </w:rPr>
        <w:t>年期贷款利率</w:t>
      </w:r>
      <w:r>
        <w:rPr>
          <w:rFonts w:ascii="Times New Roman" w:hAnsi="Times New Roman" w:cs="Times New Roman" w:hint="eastAsia"/>
        </w:rPr>
        <w:t>4.35%</w:t>
      </w:r>
      <w:r>
        <w:rPr>
          <w:rFonts w:ascii="Times New Roman" w:hAnsi="Times New Roman" w:cs="Times New Roman" w:hint="eastAsia"/>
        </w:rPr>
        <w:t>作为债权投资回报率。</w:t>
      </w:r>
    </w:p>
    <w:p w14:paraId="3106D457" w14:textId="77777777" w:rsidR="00C02929" w:rsidRDefault="006116D1">
      <w:pPr>
        <w:adjustRightInd w:val="0"/>
        <w:snapToGrid w:val="0"/>
        <w:spacing w:beforeLines="50" w:before="156" w:line="360" w:lineRule="auto"/>
        <w:ind w:firstLineChars="200" w:firstLine="480"/>
        <w:jc w:val="both"/>
        <w:rPr>
          <w:rFonts w:ascii="Times New Roman" w:hAnsi="Times New Roman" w:cs="Times New Roman"/>
          <w:lang w:bidi="ar"/>
        </w:rPr>
      </w:pPr>
      <w:r>
        <w:rPr>
          <w:rFonts w:ascii="Times New Roman" w:hAnsi="Times New Roman" w:cs="Times New Roman"/>
          <w:lang w:bidi="ar"/>
        </w:rPr>
        <w:t>3</w:t>
      </w:r>
      <w:r>
        <w:rPr>
          <w:rFonts w:ascii="Times New Roman" w:hAnsi="Times New Roman" w:cs="Times New Roman" w:hint="eastAsia"/>
          <w:lang w:bidi="ar"/>
        </w:rPr>
        <w:t>）标的公司折现率的确定</w:t>
      </w:r>
    </w:p>
    <w:p w14:paraId="6E0CD310"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股权期望回报率和债权回报率可以用加权平均的方法计算总资本加权平均回报率。权重评估对象实际股权、债权结构比例。总资本加权平均回报率利用以下公式计算：</w:t>
      </w:r>
    </w:p>
    <w:p w14:paraId="7D09F542" w14:textId="77777777" w:rsidR="00C02929" w:rsidRDefault="006116D1">
      <w:pPr>
        <w:pStyle w:val="ac"/>
        <w:tabs>
          <w:tab w:val="left" w:pos="1080"/>
        </w:tabs>
        <w:spacing w:line="360" w:lineRule="auto"/>
        <w:ind w:leftChars="200" w:left="480"/>
        <w:rPr>
          <w:rFonts w:eastAsia="宋体"/>
          <w:sz w:val="24"/>
        </w:rPr>
      </w:pPr>
      <w:r>
        <w:rPr>
          <w:rFonts w:eastAsia="宋体"/>
          <w:position w:val="-24"/>
          <w:sz w:val="24"/>
        </w:rPr>
        <w:object w:dxaOrig="3744" w:dyaOrig="576" w14:anchorId="6593AC8D">
          <v:shape id="_x0000_i1030" type="#_x0000_t75" style="width:187.3pt;height:28.7pt" o:ole="">
            <v:imagedata r:id="rId55" o:title=""/>
          </v:shape>
          <o:OLEObject Type="Embed" ProgID="Equation.3" ShapeID="_x0000_i1030" DrawAspect="Content" ObjectID="_1680433042" r:id="rId56"/>
        </w:object>
      </w:r>
    </w:p>
    <w:p w14:paraId="0212ED46"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其中：</w:t>
      </w:r>
      <w:r>
        <w:rPr>
          <w:rFonts w:ascii="Times New Roman" w:hAnsi="Times New Roman" w:cs="Times New Roman" w:hint="eastAsia"/>
        </w:rPr>
        <w:t>WACC</w:t>
      </w:r>
      <w:r>
        <w:rPr>
          <w:rFonts w:ascii="Times New Roman" w:hAnsi="Times New Roman" w:cs="Times New Roman" w:hint="eastAsia"/>
        </w:rPr>
        <w:t>为加权平均总资本回报率；</w:t>
      </w:r>
      <w:r>
        <w:rPr>
          <w:rFonts w:ascii="Times New Roman" w:hAnsi="Times New Roman" w:cs="Times New Roman" w:hint="eastAsia"/>
        </w:rPr>
        <w:t>E</w:t>
      </w:r>
      <w:r>
        <w:rPr>
          <w:rFonts w:ascii="Times New Roman" w:hAnsi="Times New Roman" w:cs="Times New Roman" w:hint="eastAsia"/>
        </w:rPr>
        <w:t>为股权价值；</w:t>
      </w:r>
      <w:r>
        <w:rPr>
          <w:rFonts w:ascii="Times New Roman" w:hAnsi="Times New Roman" w:cs="Times New Roman" w:hint="eastAsia"/>
        </w:rPr>
        <w:t>R</w:t>
      </w:r>
      <w:r>
        <w:rPr>
          <w:rFonts w:ascii="Times New Roman" w:hAnsi="Times New Roman" w:cs="Times New Roman"/>
          <w:vertAlign w:val="subscript"/>
        </w:rPr>
        <w:t>e</w:t>
      </w:r>
      <w:r>
        <w:rPr>
          <w:rFonts w:ascii="Times New Roman" w:hAnsi="Times New Roman" w:cs="Times New Roman" w:hint="eastAsia"/>
        </w:rPr>
        <w:t>为期望股本回报率；</w:t>
      </w:r>
      <w:r>
        <w:rPr>
          <w:rFonts w:ascii="Times New Roman" w:hAnsi="Times New Roman" w:cs="Times New Roman" w:hint="eastAsia"/>
        </w:rPr>
        <w:t>D</w:t>
      </w:r>
      <w:r>
        <w:rPr>
          <w:rFonts w:ascii="Times New Roman" w:hAnsi="Times New Roman" w:cs="Times New Roman" w:hint="eastAsia"/>
        </w:rPr>
        <w:t>为付息债权价值；</w:t>
      </w:r>
      <w:r>
        <w:rPr>
          <w:rFonts w:ascii="Times New Roman" w:hAnsi="Times New Roman" w:cs="Times New Roman" w:hint="eastAsia"/>
        </w:rPr>
        <w:t>R</w:t>
      </w:r>
      <w:r>
        <w:rPr>
          <w:rFonts w:ascii="Times New Roman" w:hAnsi="Times New Roman" w:cs="Times New Roman"/>
          <w:vertAlign w:val="subscript"/>
        </w:rPr>
        <w:t>d</w:t>
      </w:r>
      <w:r>
        <w:rPr>
          <w:rFonts w:ascii="Times New Roman" w:hAnsi="Times New Roman" w:cs="Times New Roman" w:hint="eastAsia"/>
        </w:rPr>
        <w:t>为债权期望回报率；</w:t>
      </w:r>
      <w:r>
        <w:rPr>
          <w:rFonts w:ascii="Times New Roman" w:hAnsi="Times New Roman" w:cs="Times New Roman" w:hint="eastAsia"/>
        </w:rPr>
        <w:t>T</w:t>
      </w:r>
      <w:r>
        <w:rPr>
          <w:rFonts w:ascii="Times New Roman" w:hAnsi="Times New Roman" w:cs="Times New Roman" w:hint="eastAsia"/>
        </w:rPr>
        <w:t>为企业所得税率。</w:t>
      </w:r>
    </w:p>
    <w:p w14:paraId="2B25597E"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根据上述计算得到标的公司总资本加权平均回报率为</w:t>
      </w:r>
      <w:r>
        <w:rPr>
          <w:rFonts w:ascii="Times New Roman" w:hAnsi="Times New Roman" w:cs="Times New Roman" w:hint="eastAsia"/>
        </w:rPr>
        <w:t>13.5%</w:t>
      </w:r>
      <w:r>
        <w:rPr>
          <w:rFonts w:ascii="Times New Roman" w:hAnsi="Times New Roman" w:cs="Times New Roman" w:hint="eastAsia"/>
        </w:rPr>
        <w:t>，评估机构以其作为标的公司的折现率。</w:t>
      </w:r>
    </w:p>
    <w:p w14:paraId="52E7000E"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加权资金成本计算表如下：</w:t>
      </w:r>
    </w:p>
    <w:p w14:paraId="02F9FC4C"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72"/>
        <w:gridCol w:w="1017"/>
        <w:gridCol w:w="728"/>
        <w:gridCol w:w="728"/>
        <w:gridCol w:w="873"/>
        <w:gridCol w:w="726"/>
        <w:gridCol w:w="873"/>
        <w:gridCol w:w="1164"/>
        <w:gridCol w:w="728"/>
        <w:gridCol w:w="813"/>
      </w:tblGrid>
      <w:tr w:rsidR="00C02929" w14:paraId="230FC74D" w14:textId="77777777">
        <w:trPr>
          <w:trHeight w:val="397"/>
          <w:tblHeader/>
        </w:trPr>
        <w:tc>
          <w:tcPr>
            <w:tcW w:w="512" w:type="pct"/>
            <w:shd w:val="clear" w:color="000000" w:fill="FFFFFF"/>
            <w:vAlign w:val="center"/>
          </w:tcPr>
          <w:p w14:paraId="4B508F9A" w14:textId="77777777" w:rsidR="00C02929" w:rsidRDefault="006116D1">
            <w:pPr>
              <w:adjustRightInd w:val="0"/>
              <w:snapToGrid w:val="0"/>
              <w:jc w:val="center"/>
              <w:rPr>
                <w:rFonts w:ascii="Times New Roman" w:hAnsi="Times New Roman" w:cs="Times New Roman"/>
                <w:b/>
                <w:bCs/>
                <w:sz w:val="15"/>
                <w:szCs w:val="15"/>
              </w:rPr>
            </w:pPr>
            <w:bookmarkStart w:id="131" w:name="_Toc161394639"/>
            <w:bookmarkStart w:id="132" w:name="_Toc163542872"/>
            <w:r>
              <w:rPr>
                <w:rFonts w:ascii="Times New Roman" w:hAnsi="Times New Roman" w:cs="Times New Roman" w:hint="eastAsia"/>
                <w:b/>
                <w:bCs/>
                <w:sz w:val="15"/>
                <w:szCs w:val="15"/>
              </w:rPr>
              <w:t>对比公司名称</w:t>
            </w:r>
          </w:p>
        </w:tc>
        <w:tc>
          <w:tcPr>
            <w:tcW w:w="597" w:type="pct"/>
            <w:shd w:val="clear" w:color="000000" w:fill="FFFFFF"/>
            <w:vAlign w:val="center"/>
          </w:tcPr>
          <w:p w14:paraId="6CA1F64A"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股票代码</w:t>
            </w:r>
          </w:p>
        </w:tc>
        <w:tc>
          <w:tcPr>
            <w:tcW w:w="427" w:type="pct"/>
            <w:shd w:val="clear" w:color="000000" w:fill="FFFFFF"/>
            <w:vAlign w:val="center"/>
          </w:tcPr>
          <w:p w14:paraId="1C726295"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负息负债</w:t>
            </w:r>
            <w:r>
              <w:rPr>
                <w:rFonts w:ascii="Times New Roman" w:hAnsi="Times New Roman" w:cs="Times New Roman"/>
                <w:b/>
                <w:bCs/>
                <w:sz w:val="15"/>
                <w:szCs w:val="15"/>
              </w:rPr>
              <w:t>(D)</w:t>
            </w:r>
          </w:p>
        </w:tc>
        <w:tc>
          <w:tcPr>
            <w:tcW w:w="427" w:type="pct"/>
            <w:shd w:val="clear" w:color="000000" w:fill="FFFFFF"/>
            <w:vAlign w:val="center"/>
          </w:tcPr>
          <w:p w14:paraId="6B3C9E9B"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债权比例</w:t>
            </w:r>
            <w:r>
              <w:rPr>
                <w:rFonts w:ascii="Times New Roman" w:hAnsi="Times New Roman" w:cs="Times New Roman"/>
                <w:b/>
                <w:bCs/>
                <w:sz w:val="15"/>
                <w:szCs w:val="15"/>
              </w:rPr>
              <w:t>(%)</w:t>
            </w:r>
          </w:p>
        </w:tc>
        <w:tc>
          <w:tcPr>
            <w:tcW w:w="512" w:type="pct"/>
            <w:shd w:val="clear" w:color="000000" w:fill="FFFFFF"/>
            <w:vAlign w:val="center"/>
          </w:tcPr>
          <w:p w14:paraId="0F9D8E28"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股权公平市场价值</w:t>
            </w:r>
            <w:r>
              <w:rPr>
                <w:rFonts w:ascii="Times New Roman" w:hAnsi="Times New Roman" w:cs="Times New Roman"/>
                <w:b/>
                <w:bCs/>
                <w:sz w:val="15"/>
                <w:szCs w:val="15"/>
              </w:rPr>
              <w:t>(E)</w:t>
            </w:r>
          </w:p>
        </w:tc>
        <w:tc>
          <w:tcPr>
            <w:tcW w:w="426" w:type="pct"/>
            <w:shd w:val="clear" w:color="000000" w:fill="FFFFFF"/>
            <w:vAlign w:val="center"/>
          </w:tcPr>
          <w:p w14:paraId="2A635319"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股权价值比例</w:t>
            </w:r>
            <w:r>
              <w:rPr>
                <w:rFonts w:ascii="Times New Roman" w:hAnsi="Times New Roman" w:cs="Times New Roman"/>
                <w:b/>
                <w:bCs/>
                <w:sz w:val="15"/>
                <w:szCs w:val="15"/>
              </w:rPr>
              <w:t>(%)</w:t>
            </w:r>
          </w:p>
        </w:tc>
        <w:tc>
          <w:tcPr>
            <w:tcW w:w="512" w:type="pct"/>
            <w:shd w:val="clear" w:color="000000" w:fill="FFFFFF"/>
            <w:vAlign w:val="center"/>
          </w:tcPr>
          <w:p w14:paraId="3F77B342"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含资本结构因素的</w:t>
            </w:r>
            <w:r>
              <w:rPr>
                <w:rFonts w:ascii="Times New Roman" w:hAnsi="Times New Roman" w:cs="Times New Roman"/>
                <w:b/>
                <w:bCs/>
                <w:sz w:val="15"/>
                <w:szCs w:val="15"/>
              </w:rPr>
              <w:t>Beta(LeveredBeta)</w:t>
            </w:r>
          </w:p>
        </w:tc>
        <w:tc>
          <w:tcPr>
            <w:tcW w:w="683" w:type="pct"/>
            <w:shd w:val="clear" w:color="000000" w:fill="FFFFFF"/>
            <w:vAlign w:val="center"/>
          </w:tcPr>
          <w:p w14:paraId="6E24C843"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剔除资本结构因素的</w:t>
            </w:r>
            <w:r>
              <w:rPr>
                <w:rFonts w:ascii="Times New Roman" w:hAnsi="Times New Roman" w:cs="Times New Roman"/>
                <w:b/>
                <w:bCs/>
                <w:sz w:val="15"/>
                <w:szCs w:val="15"/>
              </w:rPr>
              <w:t>Beta(UnleveredBeta)</w:t>
            </w:r>
          </w:p>
        </w:tc>
        <w:tc>
          <w:tcPr>
            <w:tcW w:w="427" w:type="pct"/>
            <w:shd w:val="clear" w:color="000000" w:fill="FFFFFF"/>
            <w:vAlign w:val="center"/>
          </w:tcPr>
          <w:p w14:paraId="142391A7"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所得税税率</w:t>
            </w:r>
            <w:r>
              <w:rPr>
                <w:rFonts w:ascii="Times New Roman" w:hAnsi="Times New Roman" w:cs="Times New Roman"/>
                <w:b/>
                <w:bCs/>
                <w:sz w:val="15"/>
                <w:szCs w:val="15"/>
              </w:rPr>
              <w:t>(T)</w:t>
            </w:r>
          </w:p>
          <w:p w14:paraId="339768F1"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b/>
                <w:bCs/>
                <w:sz w:val="15"/>
                <w:szCs w:val="15"/>
              </w:rPr>
              <w:t>(%)</w:t>
            </w:r>
          </w:p>
        </w:tc>
        <w:tc>
          <w:tcPr>
            <w:tcW w:w="477" w:type="pct"/>
            <w:shd w:val="clear" w:color="000000" w:fill="FFFFFF"/>
            <w:vAlign w:val="center"/>
          </w:tcPr>
          <w:p w14:paraId="52A1C502" w14:textId="77777777" w:rsidR="00C02929" w:rsidRDefault="006116D1">
            <w:pPr>
              <w:adjustRightInd w:val="0"/>
              <w:snapToGrid w:val="0"/>
              <w:jc w:val="center"/>
              <w:rPr>
                <w:rFonts w:ascii="Times New Roman" w:hAnsi="Times New Roman" w:cs="Times New Roman"/>
                <w:b/>
                <w:bCs/>
                <w:sz w:val="15"/>
                <w:szCs w:val="15"/>
              </w:rPr>
            </w:pPr>
            <w:r>
              <w:rPr>
                <w:rFonts w:ascii="Times New Roman" w:hAnsi="Times New Roman" w:cs="Times New Roman" w:hint="eastAsia"/>
                <w:b/>
                <w:bCs/>
                <w:sz w:val="15"/>
                <w:szCs w:val="15"/>
              </w:rPr>
              <w:t>股权收益率</w:t>
            </w:r>
            <w:r>
              <w:rPr>
                <w:rFonts w:ascii="Times New Roman" w:hAnsi="Times New Roman" w:cs="Times New Roman"/>
                <w:b/>
                <w:bCs/>
                <w:sz w:val="15"/>
                <w:szCs w:val="15"/>
              </w:rPr>
              <w:t>(CAPM)(%)</w:t>
            </w:r>
          </w:p>
        </w:tc>
      </w:tr>
      <w:tr w:rsidR="00C02929" w14:paraId="567A42EF" w14:textId="77777777">
        <w:trPr>
          <w:trHeight w:val="397"/>
        </w:trPr>
        <w:tc>
          <w:tcPr>
            <w:tcW w:w="512" w:type="pct"/>
            <w:shd w:val="clear" w:color="000000" w:fill="FFFFFF"/>
            <w:vAlign w:val="center"/>
          </w:tcPr>
          <w:p w14:paraId="2F5DAC31" w14:textId="77777777" w:rsidR="00C02929" w:rsidRDefault="006116D1">
            <w:pPr>
              <w:adjustRightInd w:val="0"/>
              <w:snapToGrid w:val="0"/>
              <w:jc w:val="center"/>
              <w:rPr>
                <w:rFonts w:ascii="Times New Roman" w:hAnsi="Times New Roman" w:cs="Times New Roman"/>
                <w:sz w:val="15"/>
                <w:szCs w:val="15"/>
              </w:rPr>
            </w:pPr>
            <w:r>
              <w:rPr>
                <w:rFonts w:ascii="Times New Roman" w:hAnsi="Times New Roman" w:cs="Times New Roman" w:hint="eastAsia"/>
                <w:sz w:val="15"/>
                <w:szCs w:val="15"/>
              </w:rPr>
              <w:t>永创智能</w:t>
            </w:r>
          </w:p>
        </w:tc>
        <w:tc>
          <w:tcPr>
            <w:tcW w:w="597" w:type="pct"/>
            <w:shd w:val="clear" w:color="000000" w:fill="FFFFFF"/>
            <w:noWrap/>
            <w:vAlign w:val="center"/>
          </w:tcPr>
          <w:p w14:paraId="37A397C3"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603901</w:t>
            </w:r>
          </w:p>
        </w:tc>
        <w:tc>
          <w:tcPr>
            <w:tcW w:w="427" w:type="pct"/>
            <w:shd w:val="clear" w:color="000000" w:fill="FFFFFF"/>
            <w:noWrap/>
            <w:vAlign w:val="center"/>
          </w:tcPr>
          <w:p w14:paraId="1A01E404"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85,186</w:t>
            </w:r>
          </w:p>
        </w:tc>
        <w:tc>
          <w:tcPr>
            <w:tcW w:w="427" w:type="pct"/>
            <w:shd w:val="clear" w:color="000000" w:fill="FFFFFF"/>
            <w:noWrap/>
            <w:vAlign w:val="center"/>
          </w:tcPr>
          <w:p w14:paraId="55952E9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15.41</w:t>
            </w:r>
          </w:p>
        </w:tc>
        <w:tc>
          <w:tcPr>
            <w:tcW w:w="512" w:type="pct"/>
            <w:shd w:val="clear" w:color="000000" w:fill="FFFFFF"/>
            <w:noWrap/>
            <w:vAlign w:val="center"/>
          </w:tcPr>
          <w:p w14:paraId="5728449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467,510</w:t>
            </w:r>
          </w:p>
        </w:tc>
        <w:tc>
          <w:tcPr>
            <w:tcW w:w="426" w:type="pct"/>
            <w:shd w:val="clear" w:color="000000" w:fill="FFFFFF"/>
            <w:noWrap/>
            <w:vAlign w:val="center"/>
          </w:tcPr>
          <w:p w14:paraId="3EDC65D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84.6</w:t>
            </w:r>
          </w:p>
        </w:tc>
        <w:tc>
          <w:tcPr>
            <w:tcW w:w="512" w:type="pct"/>
            <w:shd w:val="clear" w:color="000000" w:fill="FFFFFF"/>
            <w:noWrap/>
            <w:vAlign w:val="center"/>
          </w:tcPr>
          <w:p w14:paraId="283BD52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0.8857</w:t>
            </w:r>
          </w:p>
        </w:tc>
        <w:tc>
          <w:tcPr>
            <w:tcW w:w="683" w:type="pct"/>
            <w:shd w:val="clear" w:color="000000" w:fill="FFFFFF"/>
            <w:noWrap/>
            <w:vAlign w:val="center"/>
          </w:tcPr>
          <w:p w14:paraId="1A6D102A"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0.7669</w:t>
            </w:r>
          </w:p>
        </w:tc>
        <w:tc>
          <w:tcPr>
            <w:tcW w:w="427" w:type="pct"/>
            <w:shd w:val="clear" w:color="000000" w:fill="FFFFFF"/>
            <w:noWrap/>
            <w:vAlign w:val="center"/>
          </w:tcPr>
          <w:p w14:paraId="6511CA5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noWrap/>
            <w:vAlign w:val="center"/>
          </w:tcPr>
          <w:p w14:paraId="768B3B99"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2FD072F5" w14:textId="77777777">
        <w:trPr>
          <w:trHeight w:val="397"/>
        </w:trPr>
        <w:tc>
          <w:tcPr>
            <w:tcW w:w="512" w:type="pct"/>
            <w:shd w:val="clear" w:color="000000" w:fill="FFFFFF"/>
            <w:vAlign w:val="center"/>
          </w:tcPr>
          <w:p w14:paraId="2B66A976" w14:textId="77777777" w:rsidR="00C02929" w:rsidRDefault="006116D1">
            <w:pPr>
              <w:adjustRightInd w:val="0"/>
              <w:snapToGrid w:val="0"/>
              <w:jc w:val="center"/>
              <w:rPr>
                <w:rFonts w:ascii="Times New Roman" w:hAnsi="Times New Roman" w:cs="Times New Roman"/>
                <w:sz w:val="15"/>
                <w:szCs w:val="15"/>
              </w:rPr>
            </w:pPr>
            <w:r>
              <w:rPr>
                <w:rFonts w:ascii="Times New Roman" w:hAnsi="Times New Roman" w:cs="Times New Roman" w:hint="eastAsia"/>
                <w:sz w:val="15"/>
                <w:szCs w:val="15"/>
              </w:rPr>
              <w:lastRenderedPageBreak/>
              <w:t>快克股份</w:t>
            </w:r>
          </w:p>
        </w:tc>
        <w:tc>
          <w:tcPr>
            <w:tcW w:w="597" w:type="pct"/>
            <w:shd w:val="clear" w:color="000000" w:fill="FFFFFF"/>
            <w:noWrap/>
            <w:vAlign w:val="center"/>
          </w:tcPr>
          <w:p w14:paraId="1C7FD72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603203</w:t>
            </w:r>
          </w:p>
        </w:tc>
        <w:tc>
          <w:tcPr>
            <w:tcW w:w="427" w:type="pct"/>
            <w:shd w:val="clear" w:color="000000" w:fill="FFFFFF"/>
            <w:noWrap/>
            <w:vAlign w:val="center"/>
          </w:tcPr>
          <w:p w14:paraId="6F6DD15A"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2,944</w:t>
            </w:r>
          </w:p>
        </w:tc>
        <w:tc>
          <w:tcPr>
            <w:tcW w:w="427" w:type="pct"/>
            <w:shd w:val="clear" w:color="000000" w:fill="FFFFFF"/>
            <w:noWrap/>
            <w:vAlign w:val="center"/>
          </w:tcPr>
          <w:p w14:paraId="63054FE5"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0.67</w:t>
            </w:r>
          </w:p>
        </w:tc>
        <w:tc>
          <w:tcPr>
            <w:tcW w:w="512" w:type="pct"/>
            <w:shd w:val="clear" w:color="000000" w:fill="FFFFFF"/>
            <w:noWrap/>
            <w:vAlign w:val="center"/>
          </w:tcPr>
          <w:p w14:paraId="5DD6FB1A"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435,940</w:t>
            </w:r>
          </w:p>
        </w:tc>
        <w:tc>
          <w:tcPr>
            <w:tcW w:w="426" w:type="pct"/>
            <w:shd w:val="clear" w:color="000000" w:fill="FFFFFF"/>
            <w:noWrap/>
            <w:vAlign w:val="center"/>
          </w:tcPr>
          <w:p w14:paraId="1B6BF86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99.3</w:t>
            </w:r>
          </w:p>
        </w:tc>
        <w:tc>
          <w:tcPr>
            <w:tcW w:w="512" w:type="pct"/>
            <w:shd w:val="clear" w:color="000000" w:fill="FFFFFF"/>
            <w:noWrap/>
            <w:vAlign w:val="center"/>
          </w:tcPr>
          <w:p w14:paraId="182546B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1.1967</w:t>
            </w:r>
          </w:p>
        </w:tc>
        <w:tc>
          <w:tcPr>
            <w:tcW w:w="683" w:type="pct"/>
            <w:shd w:val="clear" w:color="000000" w:fill="FFFFFF"/>
            <w:noWrap/>
            <w:vAlign w:val="center"/>
          </w:tcPr>
          <w:p w14:paraId="6917606D"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1.1899</w:t>
            </w:r>
          </w:p>
        </w:tc>
        <w:tc>
          <w:tcPr>
            <w:tcW w:w="427" w:type="pct"/>
            <w:shd w:val="clear" w:color="000000" w:fill="FFFFFF"/>
            <w:noWrap/>
            <w:vAlign w:val="center"/>
          </w:tcPr>
          <w:p w14:paraId="40DB3666"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noWrap/>
            <w:vAlign w:val="center"/>
          </w:tcPr>
          <w:p w14:paraId="34C2CA1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0509D99F" w14:textId="77777777">
        <w:trPr>
          <w:trHeight w:val="397"/>
        </w:trPr>
        <w:tc>
          <w:tcPr>
            <w:tcW w:w="512" w:type="pct"/>
            <w:shd w:val="clear" w:color="000000" w:fill="FFFFFF"/>
            <w:vAlign w:val="center"/>
          </w:tcPr>
          <w:p w14:paraId="6AD6F239" w14:textId="77777777" w:rsidR="00C02929" w:rsidRDefault="006116D1">
            <w:pPr>
              <w:adjustRightInd w:val="0"/>
              <w:snapToGrid w:val="0"/>
              <w:jc w:val="center"/>
              <w:rPr>
                <w:rFonts w:ascii="Times New Roman" w:hAnsi="Times New Roman" w:cs="Times New Roman"/>
                <w:sz w:val="15"/>
                <w:szCs w:val="15"/>
              </w:rPr>
            </w:pPr>
            <w:r>
              <w:rPr>
                <w:rFonts w:ascii="Times New Roman" w:hAnsi="Times New Roman" w:cs="Times New Roman" w:hint="eastAsia"/>
                <w:sz w:val="15"/>
                <w:szCs w:val="15"/>
              </w:rPr>
              <w:t>拓斯达</w:t>
            </w:r>
          </w:p>
        </w:tc>
        <w:tc>
          <w:tcPr>
            <w:tcW w:w="597" w:type="pct"/>
            <w:shd w:val="clear" w:color="000000" w:fill="FFFFFF"/>
            <w:vAlign w:val="center"/>
          </w:tcPr>
          <w:p w14:paraId="53177103"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300607</w:t>
            </w:r>
          </w:p>
        </w:tc>
        <w:tc>
          <w:tcPr>
            <w:tcW w:w="427" w:type="pct"/>
            <w:shd w:val="clear" w:color="000000" w:fill="FFFFFF"/>
            <w:noWrap/>
            <w:vAlign w:val="center"/>
          </w:tcPr>
          <w:p w14:paraId="4557671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33,453</w:t>
            </w:r>
          </w:p>
        </w:tc>
        <w:tc>
          <w:tcPr>
            <w:tcW w:w="427" w:type="pct"/>
            <w:shd w:val="clear" w:color="000000" w:fill="FFFFFF"/>
            <w:noWrap/>
            <w:vAlign w:val="center"/>
          </w:tcPr>
          <w:p w14:paraId="451BBA5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4.52</w:t>
            </w:r>
          </w:p>
        </w:tc>
        <w:tc>
          <w:tcPr>
            <w:tcW w:w="512" w:type="pct"/>
            <w:shd w:val="clear" w:color="000000" w:fill="FFFFFF"/>
            <w:noWrap/>
            <w:vAlign w:val="center"/>
          </w:tcPr>
          <w:p w14:paraId="53C9AB7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707,126</w:t>
            </w:r>
          </w:p>
        </w:tc>
        <w:tc>
          <w:tcPr>
            <w:tcW w:w="426" w:type="pct"/>
            <w:shd w:val="clear" w:color="000000" w:fill="FFFFFF"/>
            <w:noWrap/>
            <w:vAlign w:val="center"/>
          </w:tcPr>
          <w:p w14:paraId="7AC510E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95.5</w:t>
            </w:r>
          </w:p>
        </w:tc>
        <w:tc>
          <w:tcPr>
            <w:tcW w:w="512" w:type="pct"/>
            <w:shd w:val="clear" w:color="000000" w:fill="FFFFFF"/>
            <w:noWrap/>
            <w:vAlign w:val="center"/>
          </w:tcPr>
          <w:p w14:paraId="75278CF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0.8019</w:t>
            </w:r>
          </w:p>
        </w:tc>
        <w:tc>
          <w:tcPr>
            <w:tcW w:w="683" w:type="pct"/>
            <w:shd w:val="clear" w:color="000000" w:fill="FFFFFF"/>
            <w:noWrap/>
            <w:vAlign w:val="center"/>
          </w:tcPr>
          <w:p w14:paraId="0956FDF4"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0.7709</w:t>
            </w:r>
          </w:p>
        </w:tc>
        <w:tc>
          <w:tcPr>
            <w:tcW w:w="427" w:type="pct"/>
            <w:shd w:val="clear" w:color="000000" w:fill="FFFFFF"/>
            <w:noWrap/>
            <w:vAlign w:val="center"/>
          </w:tcPr>
          <w:p w14:paraId="69592B9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vAlign w:val="center"/>
          </w:tcPr>
          <w:p w14:paraId="1CEB2C29"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79708893" w14:textId="77777777">
        <w:trPr>
          <w:trHeight w:val="397"/>
        </w:trPr>
        <w:tc>
          <w:tcPr>
            <w:tcW w:w="1109" w:type="pct"/>
            <w:gridSpan w:val="2"/>
            <w:shd w:val="clear" w:color="000000" w:fill="FFFFFF"/>
            <w:vAlign w:val="center"/>
          </w:tcPr>
          <w:p w14:paraId="65EE4921"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对比公司</w:t>
            </w:r>
            <w:r>
              <w:rPr>
                <w:rFonts w:ascii="Times New Roman" w:hAnsi="Times New Roman" w:cs="Times New Roman"/>
                <w:sz w:val="15"/>
                <w:szCs w:val="15"/>
              </w:rPr>
              <w:t>UnleveredBeta</w:t>
            </w:r>
            <w:r>
              <w:rPr>
                <w:rFonts w:ascii="Times New Roman" w:hAnsi="Times New Roman" w:cs="Times New Roman"/>
                <w:sz w:val="15"/>
                <w:szCs w:val="15"/>
              </w:rPr>
              <w:t>平均值</w:t>
            </w:r>
          </w:p>
        </w:tc>
        <w:tc>
          <w:tcPr>
            <w:tcW w:w="427" w:type="pct"/>
            <w:shd w:val="clear" w:color="000000" w:fill="FFFFFF"/>
            <w:noWrap/>
            <w:vAlign w:val="center"/>
          </w:tcPr>
          <w:p w14:paraId="017862D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027387A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2527CD1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02F3ABE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5916A57B"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54D738BD"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0.9092</w:t>
            </w:r>
          </w:p>
        </w:tc>
        <w:tc>
          <w:tcPr>
            <w:tcW w:w="427" w:type="pct"/>
            <w:shd w:val="clear" w:color="000000" w:fill="FFFFFF"/>
            <w:noWrap/>
            <w:vAlign w:val="center"/>
          </w:tcPr>
          <w:p w14:paraId="5FA883A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5ED0559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1F04B23F" w14:textId="77777777">
        <w:trPr>
          <w:trHeight w:val="397"/>
        </w:trPr>
        <w:tc>
          <w:tcPr>
            <w:tcW w:w="1109" w:type="pct"/>
            <w:gridSpan w:val="2"/>
            <w:shd w:val="clear" w:color="000000" w:fill="FFFFFF"/>
            <w:vAlign w:val="center"/>
          </w:tcPr>
          <w:p w14:paraId="6D345FDE"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对比公司平均资本结构</w:t>
            </w:r>
          </w:p>
        </w:tc>
        <w:tc>
          <w:tcPr>
            <w:tcW w:w="427" w:type="pct"/>
            <w:shd w:val="clear" w:color="000000" w:fill="FFFFFF"/>
            <w:noWrap/>
            <w:vAlign w:val="center"/>
          </w:tcPr>
          <w:p w14:paraId="0D4EBA3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204A9F7B"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6.9</w:t>
            </w:r>
          </w:p>
        </w:tc>
        <w:tc>
          <w:tcPr>
            <w:tcW w:w="512" w:type="pct"/>
            <w:shd w:val="clear" w:color="000000" w:fill="FFFFFF"/>
            <w:noWrap/>
            <w:vAlign w:val="center"/>
          </w:tcPr>
          <w:p w14:paraId="69D500C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2B8CD7D9"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93.1</w:t>
            </w:r>
          </w:p>
        </w:tc>
        <w:tc>
          <w:tcPr>
            <w:tcW w:w="512" w:type="pct"/>
            <w:shd w:val="clear" w:color="000000" w:fill="FFFFFF"/>
            <w:noWrap/>
            <w:vAlign w:val="center"/>
          </w:tcPr>
          <w:p w14:paraId="554160B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48285839"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ECD5354"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3602A87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0A41F096" w14:textId="77777777">
        <w:trPr>
          <w:trHeight w:val="397"/>
        </w:trPr>
        <w:tc>
          <w:tcPr>
            <w:tcW w:w="1109" w:type="pct"/>
            <w:gridSpan w:val="2"/>
            <w:shd w:val="clear" w:color="000000" w:fill="FFFFFF"/>
            <w:vAlign w:val="center"/>
          </w:tcPr>
          <w:p w14:paraId="1236E166"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被评估企业账面资本结构</w:t>
            </w:r>
          </w:p>
        </w:tc>
        <w:tc>
          <w:tcPr>
            <w:tcW w:w="427" w:type="pct"/>
            <w:shd w:val="clear" w:color="000000" w:fill="FFFFFF"/>
            <w:noWrap/>
            <w:vAlign w:val="center"/>
          </w:tcPr>
          <w:p w14:paraId="5E71B69B"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B774D1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0.0</w:t>
            </w:r>
          </w:p>
        </w:tc>
        <w:tc>
          <w:tcPr>
            <w:tcW w:w="512" w:type="pct"/>
            <w:shd w:val="clear" w:color="000000" w:fill="FFFFFF"/>
            <w:noWrap/>
            <w:vAlign w:val="center"/>
          </w:tcPr>
          <w:p w14:paraId="3AD67EEB"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516,177</w:t>
            </w:r>
          </w:p>
        </w:tc>
        <w:tc>
          <w:tcPr>
            <w:tcW w:w="426" w:type="pct"/>
            <w:shd w:val="clear" w:color="000000" w:fill="FFFFFF"/>
            <w:noWrap/>
            <w:vAlign w:val="center"/>
          </w:tcPr>
          <w:p w14:paraId="51CFE359"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100.0</w:t>
            </w:r>
          </w:p>
        </w:tc>
        <w:tc>
          <w:tcPr>
            <w:tcW w:w="512" w:type="pct"/>
            <w:shd w:val="clear" w:color="000000" w:fill="FFFFFF"/>
            <w:noWrap/>
            <w:vAlign w:val="center"/>
          </w:tcPr>
          <w:p w14:paraId="2F51AF5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6BC0668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F2B608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4E2205B6"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22356030" w14:textId="77777777">
        <w:trPr>
          <w:trHeight w:val="397"/>
        </w:trPr>
        <w:tc>
          <w:tcPr>
            <w:tcW w:w="1109" w:type="pct"/>
            <w:gridSpan w:val="2"/>
            <w:shd w:val="clear" w:color="000000" w:fill="FFFFFF"/>
            <w:vAlign w:val="center"/>
          </w:tcPr>
          <w:p w14:paraId="1EB75953"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被评估企业的目标资本结构</w:t>
            </w:r>
          </w:p>
        </w:tc>
        <w:tc>
          <w:tcPr>
            <w:tcW w:w="427" w:type="pct"/>
            <w:shd w:val="clear" w:color="000000" w:fill="FFFFFF"/>
            <w:noWrap/>
            <w:vAlign w:val="center"/>
          </w:tcPr>
          <w:p w14:paraId="7AEA8CC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1327C76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6.9</w:t>
            </w:r>
          </w:p>
        </w:tc>
        <w:tc>
          <w:tcPr>
            <w:tcW w:w="512" w:type="pct"/>
            <w:shd w:val="clear" w:color="000000" w:fill="FFFFFF"/>
            <w:noWrap/>
            <w:vAlign w:val="center"/>
          </w:tcPr>
          <w:p w14:paraId="781864F2"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5AE58529"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93.1</w:t>
            </w:r>
          </w:p>
        </w:tc>
        <w:tc>
          <w:tcPr>
            <w:tcW w:w="512" w:type="pct"/>
            <w:shd w:val="clear" w:color="000000" w:fill="FFFFFF"/>
            <w:noWrap/>
            <w:vAlign w:val="center"/>
          </w:tcPr>
          <w:p w14:paraId="3232497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0.9662</w:t>
            </w:r>
          </w:p>
        </w:tc>
        <w:tc>
          <w:tcPr>
            <w:tcW w:w="683" w:type="pct"/>
            <w:shd w:val="clear" w:color="000000" w:fill="FFFFFF"/>
            <w:noWrap/>
            <w:vAlign w:val="center"/>
          </w:tcPr>
          <w:p w14:paraId="4E383BD5"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5E5C34AA"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15</w:t>
            </w:r>
          </w:p>
        </w:tc>
        <w:tc>
          <w:tcPr>
            <w:tcW w:w="477" w:type="pct"/>
            <w:shd w:val="clear" w:color="000000" w:fill="FFFFFF"/>
            <w:noWrap/>
            <w:vAlign w:val="center"/>
          </w:tcPr>
          <w:p w14:paraId="125D593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0F490B36" w14:textId="77777777">
        <w:trPr>
          <w:trHeight w:val="397"/>
        </w:trPr>
        <w:tc>
          <w:tcPr>
            <w:tcW w:w="1109" w:type="pct"/>
            <w:gridSpan w:val="2"/>
            <w:shd w:val="clear" w:color="000000" w:fill="FFFFFF"/>
            <w:vAlign w:val="center"/>
          </w:tcPr>
          <w:p w14:paraId="74B7E1E8"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sz w:val="15"/>
                <w:szCs w:val="15"/>
              </w:rPr>
              <w:t>Beta</w:t>
            </w:r>
            <w:r>
              <w:rPr>
                <w:rFonts w:ascii="Times New Roman" w:hAnsi="Times New Roman" w:cs="Times New Roman"/>
                <w:sz w:val="15"/>
                <w:szCs w:val="15"/>
              </w:rPr>
              <w:t>系数的</w:t>
            </w:r>
            <w:r>
              <w:rPr>
                <w:rFonts w:ascii="Times New Roman" w:hAnsi="Times New Roman" w:cs="Times New Roman"/>
                <w:sz w:val="15"/>
                <w:szCs w:val="15"/>
              </w:rPr>
              <w:t>Blume</w:t>
            </w:r>
            <w:r>
              <w:rPr>
                <w:rFonts w:ascii="Times New Roman" w:hAnsi="Times New Roman" w:cs="Times New Roman"/>
                <w:sz w:val="15"/>
                <w:szCs w:val="15"/>
              </w:rPr>
              <w:t>调整</w:t>
            </w:r>
          </w:p>
        </w:tc>
        <w:tc>
          <w:tcPr>
            <w:tcW w:w="427" w:type="pct"/>
            <w:shd w:val="clear" w:color="000000" w:fill="FFFFFF"/>
            <w:noWrap/>
            <w:vAlign w:val="center"/>
          </w:tcPr>
          <w:p w14:paraId="4D6284A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5786FE5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70D90282"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5042356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17088EB6"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0.9781</w:t>
            </w:r>
          </w:p>
        </w:tc>
        <w:tc>
          <w:tcPr>
            <w:tcW w:w="683" w:type="pct"/>
            <w:shd w:val="clear" w:color="000000" w:fill="FFFFFF"/>
            <w:noWrap/>
            <w:vAlign w:val="center"/>
          </w:tcPr>
          <w:p w14:paraId="3E57961D"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126A0A4"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01ED7FB6"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r>
      <w:tr w:rsidR="00C02929" w14:paraId="3B3FDB28" w14:textId="77777777">
        <w:trPr>
          <w:trHeight w:val="397"/>
        </w:trPr>
        <w:tc>
          <w:tcPr>
            <w:tcW w:w="1109" w:type="pct"/>
            <w:gridSpan w:val="2"/>
            <w:shd w:val="clear" w:color="000000" w:fill="FFFFFF"/>
            <w:vAlign w:val="center"/>
          </w:tcPr>
          <w:p w14:paraId="003FE2E7"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无风险收益率</w:t>
            </w:r>
            <w:r>
              <w:rPr>
                <w:rFonts w:ascii="Times New Roman" w:hAnsi="Times New Roman" w:cs="Times New Roman"/>
                <w:sz w:val="15"/>
                <w:szCs w:val="15"/>
              </w:rPr>
              <w:t>(Rf)</w:t>
            </w:r>
          </w:p>
        </w:tc>
        <w:tc>
          <w:tcPr>
            <w:tcW w:w="427" w:type="pct"/>
            <w:shd w:val="clear" w:color="000000" w:fill="FFFFFF"/>
            <w:noWrap/>
            <w:vAlign w:val="center"/>
          </w:tcPr>
          <w:p w14:paraId="2DF0589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788353D3"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6133AC0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165A810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2913A04A"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70F8EEB4"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18EA559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70E278C4"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4.06</w:t>
            </w:r>
          </w:p>
        </w:tc>
      </w:tr>
      <w:tr w:rsidR="00C02929" w14:paraId="2C910234" w14:textId="77777777">
        <w:trPr>
          <w:trHeight w:val="397"/>
        </w:trPr>
        <w:tc>
          <w:tcPr>
            <w:tcW w:w="1109" w:type="pct"/>
            <w:gridSpan w:val="2"/>
            <w:shd w:val="clear" w:color="000000" w:fill="FFFFFF"/>
            <w:vAlign w:val="center"/>
          </w:tcPr>
          <w:p w14:paraId="1BC7735D"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超额风险收益率</w:t>
            </w:r>
            <w:r>
              <w:rPr>
                <w:rFonts w:ascii="Times New Roman" w:hAnsi="Times New Roman" w:cs="Times New Roman"/>
                <w:sz w:val="15"/>
                <w:szCs w:val="15"/>
              </w:rPr>
              <w:t>(Rf-Rm)</w:t>
            </w:r>
          </w:p>
        </w:tc>
        <w:tc>
          <w:tcPr>
            <w:tcW w:w="427" w:type="pct"/>
            <w:shd w:val="clear" w:color="000000" w:fill="FFFFFF"/>
            <w:noWrap/>
            <w:vAlign w:val="center"/>
          </w:tcPr>
          <w:p w14:paraId="4DA1647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39907F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60D398E6"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309D874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265C3CF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3B9C693D"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7A7E0CE4"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50C18ED3"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6.33</w:t>
            </w:r>
          </w:p>
        </w:tc>
      </w:tr>
      <w:tr w:rsidR="00C02929" w14:paraId="4E9D5407" w14:textId="77777777">
        <w:trPr>
          <w:trHeight w:val="397"/>
        </w:trPr>
        <w:tc>
          <w:tcPr>
            <w:tcW w:w="1109" w:type="pct"/>
            <w:gridSpan w:val="2"/>
            <w:shd w:val="clear" w:color="000000" w:fill="FFFFFF"/>
            <w:vAlign w:val="center"/>
          </w:tcPr>
          <w:p w14:paraId="520E5EA7"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公司特有风险超额收益率</w:t>
            </w:r>
            <w:r>
              <w:rPr>
                <w:rFonts w:ascii="Times New Roman" w:hAnsi="Times New Roman" w:cs="Times New Roman"/>
                <w:sz w:val="15"/>
                <w:szCs w:val="15"/>
              </w:rPr>
              <w:t>(Rs)</w:t>
            </w:r>
          </w:p>
        </w:tc>
        <w:tc>
          <w:tcPr>
            <w:tcW w:w="427" w:type="pct"/>
            <w:shd w:val="clear" w:color="000000" w:fill="FFFFFF"/>
            <w:noWrap/>
            <w:vAlign w:val="center"/>
          </w:tcPr>
          <w:p w14:paraId="0C521DBD"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54B92C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7F4BDD0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1C6C0B0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77EEB95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1C4A3819"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6656CEC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2B469A6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4.00</w:t>
            </w:r>
          </w:p>
        </w:tc>
      </w:tr>
      <w:tr w:rsidR="00C02929" w14:paraId="1E012DD4" w14:textId="77777777">
        <w:trPr>
          <w:trHeight w:val="397"/>
        </w:trPr>
        <w:tc>
          <w:tcPr>
            <w:tcW w:w="1109" w:type="pct"/>
            <w:gridSpan w:val="2"/>
            <w:shd w:val="clear" w:color="000000" w:fill="FFFFFF"/>
            <w:vAlign w:val="center"/>
          </w:tcPr>
          <w:p w14:paraId="04AD73C1"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股权收益率</w:t>
            </w:r>
            <w:r>
              <w:rPr>
                <w:rFonts w:ascii="Times New Roman" w:hAnsi="Times New Roman" w:cs="Times New Roman"/>
                <w:sz w:val="15"/>
                <w:szCs w:val="15"/>
              </w:rPr>
              <w:t>(Re)</w:t>
            </w:r>
          </w:p>
        </w:tc>
        <w:tc>
          <w:tcPr>
            <w:tcW w:w="427" w:type="pct"/>
            <w:shd w:val="clear" w:color="000000" w:fill="FFFFFF"/>
            <w:noWrap/>
            <w:vAlign w:val="center"/>
          </w:tcPr>
          <w:p w14:paraId="0D3E531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2B07222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4BB608D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217EBFD5"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1692150A"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7D3DDF1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9A594D5"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704B90D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14.25</w:t>
            </w:r>
          </w:p>
        </w:tc>
      </w:tr>
      <w:tr w:rsidR="00C02929" w14:paraId="5CD79707" w14:textId="77777777">
        <w:trPr>
          <w:trHeight w:val="397"/>
        </w:trPr>
        <w:tc>
          <w:tcPr>
            <w:tcW w:w="1109" w:type="pct"/>
            <w:gridSpan w:val="2"/>
            <w:shd w:val="clear" w:color="000000" w:fill="FFFFFF"/>
            <w:vAlign w:val="center"/>
          </w:tcPr>
          <w:p w14:paraId="2E47D2B1"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债权收益率</w:t>
            </w:r>
            <w:r>
              <w:rPr>
                <w:rFonts w:ascii="Times New Roman" w:hAnsi="Times New Roman" w:cs="Times New Roman"/>
                <w:sz w:val="15"/>
                <w:szCs w:val="15"/>
              </w:rPr>
              <w:t>(Rd)</w:t>
            </w:r>
          </w:p>
        </w:tc>
        <w:tc>
          <w:tcPr>
            <w:tcW w:w="427" w:type="pct"/>
            <w:shd w:val="clear" w:color="000000" w:fill="FFFFFF"/>
            <w:noWrap/>
            <w:vAlign w:val="center"/>
          </w:tcPr>
          <w:p w14:paraId="146A9E6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594AAD0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20DDC64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770D7E77"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5BB99D2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7ACEE02B"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6D7ACD40"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1B21055E"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4.35</w:t>
            </w:r>
          </w:p>
        </w:tc>
      </w:tr>
      <w:tr w:rsidR="00C02929" w14:paraId="6E36E62A" w14:textId="77777777">
        <w:trPr>
          <w:trHeight w:val="397"/>
        </w:trPr>
        <w:tc>
          <w:tcPr>
            <w:tcW w:w="1109" w:type="pct"/>
            <w:gridSpan w:val="2"/>
            <w:shd w:val="clear" w:color="000000" w:fill="FFFFFF"/>
            <w:vAlign w:val="center"/>
          </w:tcPr>
          <w:p w14:paraId="55C9C401" w14:textId="77777777" w:rsidR="00C02929" w:rsidRDefault="006116D1">
            <w:pPr>
              <w:adjustRightInd w:val="0"/>
              <w:snapToGrid w:val="0"/>
              <w:rPr>
                <w:rFonts w:ascii="Times New Roman" w:hAnsi="Times New Roman" w:cs="Times New Roman"/>
                <w:sz w:val="15"/>
                <w:szCs w:val="15"/>
              </w:rPr>
            </w:pPr>
            <w:r>
              <w:rPr>
                <w:rFonts w:ascii="Times New Roman" w:hAnsi="Times New Roman" w:cs="Times New Roman" w:hint="eastAsia"/>
                <w:sz w:val="15"/>
                <w:szCs w:val="15"/>
              </w:rPr>
              <w:t>加权资金成本</w:t>
            </w:r>
            <w:r>
              <w:rPr>
                <w:rFonts w:ascii="Times New Roman" w:hAnsi="Times New Roman" w:cs="Times New Roman"/>
                <w:sz w:val="15"/>
                <w:szCs w:val="15"/>
              </w:rPr>
              <w:t>(WACC)</w:t>
            </w:r>
          </w:p>
        </w:tc>
        <w:tc>
          <w:tcPr>
            <w:tcW w:w="427" w:type="pct"/>
            <w:shd w:val="clear" w:color="000000" w:fill="FFFFFF"/>
            <w:noWrap/>
            <w:vAlign w:val="center"/>
          </w:tcPr>
          <w:p w14:paraId="387139B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6AC136FD"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1167899D"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6" w:type="pct"/>
            <w:shd w:val="clear" w:color="000000" w:fill="FFFFFF"/>
            <w:noWrap/>
            <w:vAlign w:val="center"/>
          </w:tcPr>
          <w:p w14:paraId="4C170F9F"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512" w:type="pct"/>
            <w:shd w:val="clear" w:color="000000" w:fill="FFFFFF"/>
            <w:noWrap/>
            <w:vAlign w:val="center"/>
          </w:tcPr>
          <w:p w14:paraId="2BBF1A75"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683" w:type="pct"/>
            <w:shd w:val="clear" w:color="000000" w:fill="FFFFFF"/>
            <w:noWrap/>
            <w:vAlign w:val="center"/>
          </w:tcPr>
          <w:p w14:paraId="5D66D038"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27" w:type="pct"/>
            <w:shd w:val="clear" w:color="000000" w:fill="FFFFFF"/>
            <w:noWrap/>
            <w:vAlign w:val="center"/>
          </w:tcPr>
          <w:p w14:paraId="4C4EECC1"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w:t>
            </w:r>
          </w:p>
        </w:tc>
        <w:tc>
          <w:tcPr>
            <w:tcW w:w="477" w:type="pct"/>
            <w:shd w:val="clear" w:color="000000" w:fill="FFFFFF"/>
            <w:noWrap/>
            <w:vAlign w:val="center"/>
          </w:tcPr>
          <w:p w14:paraId="0ADD7DFC" w14:textId="77777777" w:rsidR="00C02929" w:rsidRDefault="006116D1">
            <w:pPr>
              <w:adjustRightInd w:val="0"/>
              <w:snapToGrid w:val="0"/>
              <w:jc w:val="right"/>
              <w:rPr>
                <w:rFonts w:ascii="Times New Roman" w:hAnsi="Times New Roman" w:cs="Times New Roman"/>
                <w:sz w:val="15"/>
                <w:szCs w:val="15"/>
              </w:rPr>
            </w:pPr>
            <w:r>
              <w:rPr>
                <w:rFonts w:ascii="Times New Roman" w:hAnsi="Times New Roman" w:cs="Times New Roman"/>
                <w:sz w:val="15"/>
                <w:szCs w:val="15"/>
              </w:rPr>
              <w:t>13.5</w:t>
            </w:r>
          </w:p>
        </w:tc>
      </w:tr>
      <w:tr w:rsidR="00C02929" w14:paraId="79F6E21C" w14:textId="77777777">
        <w:trPr>
          <w:trHeight w:val="397"/>
        </w:trPr>
        <w:tc>
          <w:tcPr>
            <w:tcW w:w="1109" w:type="pct"/>
            <w:gridSpan w:val="2"/>
            <w:shd w:val="clear" w:color="000000" w:fill="FFFFFF"/>
            <w:noWrap/>
            <w:vAlign w:val="center"/>
          </w:tcPr>
          <w:p w14:paraId="4B28CD3F" w14:textId="77777777" w:rsidR="00C02929" w:rsidRDefault="006116D1">
            <w:pPr>
              <w:adjustRightInd w:val="0"/>
              <w:snapToGrid w:val="0"/>
              <w:rPr>
                <w:rFonts w:ascii="Times New Roman" w:hAnsi="Times New Roman" w:cs="Times New Roman"/>
                <w:b/>
                <w:bCs/>
                <w:sz w:val="15"/>
                <w:szCs w:val="15"/>
              </w:rPr>
            </w:pPr>
            <w:r>
              <w:rPr>
                <w:rFonts w:ascii="Times New Roman" w:hAnsi="Times New Roman" w:cs="Times New Roman" w:hint="eastAsia"/>
                <w:b/>
                <w:bCs/>
                <w:sz w:val="15"/>
                <w:szCs w:val="15"/>
              </w:rPr>
              <w:t>被评估企业折现率取值</w:t>
            </w:r>
          </w:p>
        </w:tc>
        <w:tc>
          <w:tcPr>
            <w:tcW w:w="427" w:type="pct"/>
            <w:shd w:val="clear" w:color="000000" w:fill="FFFFFF"/>
            <w:noWrap/>
            <w:vAlign w:val="center"/>
          </w:tcPr>
          <w:p w14:paraId="7756CA9E"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27" w:type="pct"/>
            <w:shd w:val="clear" w:color="000000" w:fill="FFFFFF"/>
            <w:noWrap/>
            <w:vAlign w:val="center"/>
          </w:tcPr>
          <w:p w14:paraId="57A7FC58"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512" w:type="pct"/>
            <w:shd w:val="clear" w:color="000000" w:fill="FFFFFF"/>
            <w:noWrap/>
            <w:vAlign w:val="center"/>
          </w:tcPr>
          <w:p w14:paraId="62889A01"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26" w:type="pct"/>
            <w:shd w:val="clear" w:color="000000" w:fill="FFFFFF"/>
            <w:noWrap/>
            <w:vAlign w:val="center"/>
          </w:tcPr>
          <w:p w14:paraId="2D88F0A1"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512" w:type="pct"/>
            <w:shd w:val="clear" w:color="000000" w:fill="FFFFFF"/>
            <w:noWrap/>
            <w:vAlign w:val="center"/>
          </w:tcPr>
          <w:p w14:paraId="79842946"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683" w:type="pct"/>
            <w:shd w:val="clear" w:color="000000" w:fill="FFFFFF"/>
            <w:noWrap/>
            <w:vAlign w:val="center"/>
          </w:tcPr>
          <w:p w14:paraId="5E306BFF"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27" w:type="pct"/>
            <w:shd w:val="clear" w:color="000000" w:fill="FFFFFF"/>
            <w:noWrap/>
            <w:vAlign w:val="center"/>
          </w:tcPr>
          <w:p w14:paraId="02AC025D"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w:t>
            </w:r>
          </w:p>
        </w:tc>
        <w:tc>
          <w:tcPr>
            <w:tcW w:w="477" w:type="pct"/>
            <w:shd w:val="clear" w:color="000000" w:fill="FFFFFF"/>
            <w:noWrap/>
            <w:vAlign w:val="center"/>
          </w:tcPr>
          <w:p w14:paraId="1BE34C68" w14:textId="77777777" w:rsidR="00C02929" w:rsidRDefault="006116D1">
            <w:pPr>
              <w:adjustRightInd w:val="0"/>
              <w:snapToGrid w:val="0"/>
              <w:jc w:val="right"/>
              <w:rPr>
                <w:rFonts w:ascii="Times New Roman" w:hAnsi="Times New Roman" w:cs="Times New Roman"/>
                <w:b/>
                <w:bCs/>
                <w:sz w:val="15"/>
                <w:szCs w:val="15"/>
              </w:rPr>
            </w:pPr>
            <w:r>
              <w:rPr>
                <w:rFonts w:ascii="Times New Roman" w:hAnsi="Times New Roman" w:cs="Times New Roman"/>
                <w:b/>
                <w:bCs/>
                <w:sz w:val="15"/>
                <w:szCs w:val="15"/>
              </w:rPr>
              <w:t>13.5</w:t>
            </w:r>
          </w:p>
        </w:tc>
      </w:tr>
    </w:tbl>
    <w:p w14:paraId="0F4D4316" w14:textId="77777777" w:rsidR="00C02929" w:rsidRDefault="006116D1">
      <w:pPr>
        <w:pStyle w:val="affffd"/>
        <w:spacing w:before="156"/>
        <w:ind w:firstLine="482"/>
        <w:rPr>
          <w:b/>
          <w:bCs/>
        </w:rPr>
      </w:pPr>
      <w:r>
        <w:rPr>
          <w:rFonts w:hint="eastAsia"/>
          <w:b/>
          <w:bCs/>
        </w:rPr>
        <w:t>5</w:t>
      </w:r>
      <w:r>
        <w:rPr>
          <w:rFonts w:hint="eastAsia"/>
          <w:b/>
          <w:bCs/>
        </w:rPr>
        <w:t>、非经营性资产负债的评估</w:t>
      </w:r>
    </w:p>
    <w:bookmarkEnd w:id="131"/>
    <w:bookmarkEnd w:id="132"/>
    <w:p w14:paraId="221360A9"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根据评估机构的分析，标的公司非经营性资产负债的情况如下表：</w:t>
      </w:r>
    </w:p>
    <w:p w14:paraId="5C6FF9AD"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单位：万元</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860"/>
        <w:gridCol w:w="1982"/>
        <w:gridCol w:w="1981"/>
        <w:gridCol w:w="1699"/>
      </w:tblGrid>
      <w:tr w:rsidR="00C02929" w14:paraId="25560EF9" w14:textId="77777777">
        <w:trPr>
          <w:trHeight w:val="397"/>
          <w:tblHeader/>
        </w:trPr>
        <w:tc>
          <w:tcPr>
            <w:tcW w:w="1678" w:type="pct"/>
            <w:shd w:val="clear" w:color="auto" w:fill="auto"/>
            <w:vAlign w:val="center"/>
          </w:tcPr>
          <w:p w14:paraId="4ECA4A39"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项目</w:t>
            </w:r>
          </w:p>
        </w:tc>
        <w:tc>
          <w:tcPr>
            <w:tcW w:w="1163" w:type="pct"/>
            <w:shd w:val="clear" w:color="auto" w:fill="auto"/>
            <w:vAlign w:val="center"/>
          </w:tcPr>
          <w:p w14:paraId="418E4785"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账面价值</w:t>
            </w:r>
          </w:p>
        </w:tc>
        <w:tc>
          <w:tcPr>
            <w:tcW w:w="1162" w:type="pct"/>
            <w:shd w:val="clear" w:color="auto" w:fill="auto"/>
            <w:vAlign w:val="center"/>
          </w:tcPr>
          <w:p w14:paraId="0A5A98DB"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评估值</w:t>
            </w:r>
          </w:p>
        </w:tc>
        <w:tc>
          <w:tcPr>
            <w:tcW w:w="997" w:type="pct"/>
            <w:shd w:val="clear" w:color="auto" w:fill="auto"/>
            <w:vAlign w:val="center"/>
          </w:tcPr>
          <w:p w14:paraId="50A6AD60" w14:textId="77777777" w:rsidR="00C02929" w:rsidRDefault="006116D1">
            <w:pPr>
              <w:jc w:val="center"/>
              <w:rPr>
                <w:rFonts w:ascii="Times New Roman" w:hAnsi="Times New Roman" w:cs="Times New Roman"/>
                <w:b/>
                <w:bCs/>
                <w:sz w:val="21"/>
                <w:szCs w:val="21"/>
              </w:rPr>
            </w:pPr>
            <w:r>
              <w:rPr>
                <w:rFonts w:ascii="Times New Roman" w:hAnsi="Times New Roman" w:cs="Times New Roman" w:hint="eastAsia"/>
                <w:b/>
                <w:bCs/>
                <w:sz w:val="21"/>
                <w:szCs w:val="21"/>
              </w:rPr>
              <w:t>备注</w:t>
            </w:r>
          </w:p>
        </w:tc>
      </w:tr>
      <w:tr w:rsidR="00C02929" w14:paraId="59B557BB" w14:textId="77777777">
        <w:trPr>
          <w:trHeight w:val="397"/>
        </w:trPr>
        <w:tc>
          <w:tcPr>
            <w:tcW w:w="1678" w:type="pct"/>
            <w:shd w:val="clear" w:color="auto" w:fill="auto"/>
            <w:vAlign w:val="center"/>
          </w:tcPr>
          <w:p w14:paraId="71892ACA"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一、现金类非经营性资产</w:t>
            </w:r>
          </w:p>
        </w:tc>
        <w:tc>
          <w:tcPr>
            <w:tcW w:w="1163" w:type="pct"/>
            <w:shd w:val="clear" w:color="auto" w:fill="auto"/>
            <w:vAlign w:val="center"/>
          </w:tcPr>
          <w:p w14:paraId="363B7A66" w14:textId="77777777" w:rsidR="00C02929" w:rsidRDefault="00C02929">
            <w:pPr>
              <w:jc w:val="right"/>
              <w:rPr>
                <w:rFonts w:ascii="Times New Roman" w:hAnsi="Times New Roman" w:cs="Times New Roman"/>
                <w:b/>
                <w:bCs/>
                <w:sz w:val="21"/>
                <w:szCs w:val="21"/>
              </w:rPr>
            </w:pPr>
          </w:p>
        </w:tc>
        <w:tc>
          <w:tcPr>
            <w:tcW w:w="1162" w:type="pct"/>
            <w:shd w:val="clear" w:color="auto" w:fill="auto"/>
            <w:vAlign w:val="center"/>
          </w:tcPr>
          <w:p w14:paraId="22D36E01" w14:textId="77777777" w:rsidR="00C02929" w:rsidRDefault="00C02929">
            <w:pPr>
              <w:jc w:val="right"/>
              <w:rPr>
                <w:rFonts w:ascii="Times New Roman" w:hAnsi="Times New Roman" w:cs="Times New Roman"/>
                <w:b/>
                <w:bCs/>
                <w:sz w:val="21"/>
                <w:szCs w:val="21"/>
              </w:rPr>
            </w:pPr>
          </w:p>
        </w:tc>
        <w:tc>
          <w:tcPr>
            <w:tcW w:w="997" w:type="pct"/>
            <w:shd w:val="clear" w:color="auto" w:fill="auto"/>
            <w:vAlign w:val="center"/>
          </w:tcPr>
          <w:p w14:paraId="242FD2C3" w14:textId="77777777" w:rsidR="00C02929" w:rsidRDefault="00C02929">
            <w:pPr>
              <w:jc w:val="right"/>
              <w:rPr>
                <w:rFonts w:ascii="Times New Roman" w:hAnsi="Times New Roman" w:cs="Times New Roman"/>
                <w:b/>
                <w:bCs/>
                <w:sz w:val="21"/>
                <w:szCs w:val="21"/>
              </w:rPr>
            </w:pPr>
          </w:p>
        </w:tc>
      </w:tr>
      <w:tr w:rsidR="00C02929" w14:paraId="1C394A58" w14:textId="77777777">
        <w:trPr>
          <w:trHeight w:val="397"/>
        </w:trPr>
        <w:tc>
          <w:tcPr>
            <w:tcW w:w="1678" w:type="pct"/>
            <w:shd w:val="clear" w:color="auto" w:fill="auto"/>
            <w:vAlign w:val="center"/>
          </w:tcPr>
          <w:p w14:paraId="1CF3996C"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非正常经营所需货币资金</w:t>
            </w:r>
          </w:p>
        </w:tc>
        <w:tc>
          <w:tcPr>
            <w:tcW w:w="1163" w:type="pct"/>
            <w:shd w:val="clear" w:color="auto" w:fill="auto"/>
            <w:noWrap/>
            <w:vAlign w:val="center"/>
          </w:tcPr>
          <w:p w14:paraId="48517AB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c>
          <w:tcPr>
            <w:tcW w:w="1162" w:type="pct"/>
            <w:shd w:val="clear" w:color="auto" w:fill="auto"/>
            <w:noWrap/>
            <w:vAlign w:val="center"/>
          </w:tcPr>
          <w:p w14:paraId="78DD4D9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0.00</w:t>
            </w:r>
          </w:p>
        </w:tc>
        <w:tc>
          <w:tcPr>
            <w:tcW w:w="997" w:type="pct"/>
            <w:shd w:val="clear" w:color="auto" w:fill="auto"/>
            <w:vAlign w:val="center"/>
          </w:tcPr>
          <w:p w14:paraId="5CF77466" w14:textId="77777777" w:rsidR="00C02929" w:rsidRDefault="006116D1">
            <w:pPr>
              <w:jc w:val="right"/>
              <w:rPr>
                <w:rFonts w:ascii="Times New Roman" w:hAnsi="Times New Roman" w:cs="Times New Roman"/>
                <w:b/>
                <w:bCs/>
                <w:sz w:val="21"/>
                <w:szCs w:val="21"/>
              </w:rPr>
            </w:pPr>
            <w:r>
              <w:rPr>
                <w:rFonts w:ascii="Times New Roman" w:hAnsi="Times New Roman" w:cs="Times New Roman"/>
                <w:sz w:val="21"/>
                <w:szCs w:val="21"/>
              </w:rPr>
              <w:t>-</w:t>
            </w:r>
          </w:p>
        </w:tc>
      </w:tr>
      <w:tr w:rsidR="00C02929" w14:paraId="657E8872" w14:textId="77777777">
        <w:trPr>
          <w:trHeight w:val="397"/>
        </w:trPr>
        <w:tc>
          <w:tcPr>
            <w:tcW w:w="1678" w:type="pct"/>
            <w:shd w:val="clear" w:color="auto" w:fill="auto"/>
            <w:vAlign w:val="center"/>
          </w:tcPr>
          <w:p w14:paraId="5CE5CAEA"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现金类非经营性资产小计</w:t>
            </w:r>
          </w:p>
        </w:tc>
        <w:tc>
          <w:tcPr>
            <w:tcW w:w="1163" w:type="pct"/>
            <w:shd w:val="clear" w:color="auto" w:fill="auto"/>
            <w:noWrap/>
            <w:vAlign w:val="center"/>
          </w:tcPr>
          <w:p w14:paraId="76A64EA4"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0.00</w:t>
            </w:r>
          </w:p>
        </w:tc>
        <w:tc>
          <w:tcPr>
            <w:tcW w:w="1162" w:type="pct"/>
            <w:shd w:val="clear" w:color="auto" w:fill="auto"/>
            <w:noWrap/>
            <w:vAlign w:val="center"/>
          </w:tcPr>
          <w:p w14:paraId="6523EF66"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0.00</w:t>
            </w:r>
          </w:p>
        </w:tc>
        <w:tc>
          <w:tcPr>
            <w:tcW w:w="997" w:type="pct"/>
            <w:shd w:val="clear" w:color="auto" w:fill="auto"/>
            <w:vAlign w:val="center"/>
          </w:tcPr>
          <w:p w14:paraId="2EA405C8" w14:textId="77777777" w:rsidR="00C02929" w:rsidRDefault="006116D1">
            <w:pPr>
              <w:jc w:val="right"/>
              <w:rPr>
                <w:rFonts w:ascii="Times New Roman" w:hAnsi="Times New Roman" w:cs="Times New Roman"/>
                <w:b/>
                <w:bCs/>
                <w:sz w:val="21"/>
                <w:szCs w:val="21"/>
              </w:rPr>
            </w:pPr>
            <w:r>
              <w:rPr>
                <w:rFonts w:ascii="Times New Roman" w:hAnsi="Times New Roman" w:cs="Times New Roman"/>
                <w:sz w:val="21"/>
                <w:szCs w:val="21"/>
              </w:rPr>
              <w:t>-</w:t>
            </w:r>
          </w:p>
        </w:tc>
      </w:tr>
      <w:tr w:rsidR="00C02929" w14:paraId="1ACB1C3A" w14:textId="77777777">
        <w:trPr>
          <w:trHeight w:val="397"/>
        </w:trPr>
        <w:tc>
          <w:tcPr>
            <w:tcW w:w="1678" w:type="pct"/>
            <w:shd w:val="clear" w:color="auto" w:fill="auto"/>
            <w:noWrap/>
            <w:vAlign w:val="center"/>
          </w:tcPr>
          <w:p w14:paraId="42455F7F"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二、非现金类非经营性资产</w:t>
            </w:r>
          </w:p>
        </w:tc>
        <w:tc>
          <w:tcPr>
            <w:tcW w:w="1163" w:type="pct"/>
            <w:shd w:val="clear" w:color="auto" w:fill="auto"/>
            <w:noWrap/>
            <w:vAlign w:val="center"/>
          </w:tcPr>
          <w:p w14:paraId="7A6D5C0E" w14:textId="77777777" w:rsidR="00C02929" w:rsidRDefault="00C02929">
            <w:pPr>
              <w:jc w:val="right"/>
              <w:rPr>
                <w:rFonts w:ascii="Times New Roman" w:hAnsi="Times New Roman" w:cs="Times New Roman"/>
                <w:b/>
                <w:bCs/>
                <w:sz w:val="21"/>
                <w:szCs w:val="21"/>
              </w:rPr>
            </w:pPr>
          </w:p>
        </w:tc>
        <w:tc>
          <w:tcPr>
            <w:tcW w:w="1162" w:type="pct"/>
            <w:shd w:val="clear" w:color="auto" w:fill="auto"/>
            <w:noWrap/>
            <w:vAlign w:val="center"/>
          </w:tcPr>
          <w:p w14:paraId="50718BE2" w14:textId="77777777" w:rsidR="00C02929" w:rsidRDefault="00C02929">
            <w:pPr>
              <w:jc w:val="right"/>
              <w:rPr>
                <w:rFonts w:ascii="Times New Roman" w:hAnsi="Times New Roman" w:cs="Times New Roman"/>
                <w:b/>
                <w:bCs/>
                <w:sz w:val="21"/>
                <w:szCs w:val="21"/>
              </w:rPr>
            </w:pPr>
          </w:p>
        </w:tc>
        <w:tc>
          <w:tcPr>
            <w:tcW w:w="997" w:type="pct"/>
            <w:shd w:val="clear" w:color="auto" w:fill="auto"/>
            <w:noWrap/>
            <w:vAlign w:val="center"/>
          </w:tcPr>
          <w:p w14:paraId="2F102E40" w14:textId="77777777" w:rsidR="00C02929" w:rsidRDefault="00C02929">
            <w:pPr>
              <w:jc w:val="right"/>
              <w:rPr>
                <w:rFonts w:ascii="Times New Roman" w:hAnsi="Times New Roman" w:cs="Times New Roman"/>
                <w:sz w:val="21"/>
                <w:szCs w:val="21"/>
              </w:rPr>
            </w:pPr>
          </w:p>
        </w:tc>
      </w:tr>
      <w:tr w:rsidR="00C02929" w14:paraId="42DA3ADC" w14:textId="77777777">
        <w:trPr>
          <w:trHeight w:val="397"/>
        </w:trPr>
        <w:tc>
          <w:tcPr>
            <w:tcW w:w="1678" w:type="pct"/>
            <w:shd w:val="clear" w:color="auto" w:fill="auto"/>
            <w:noWrap/>
            <w:vAlign w:val="center"/>
          </w:tcPr>
          <w:p w14:paraId="7D06A1C7"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交易性金融资产</w:t>
            </w:r>
          </w:p>
        </w:tc>
        <w:tc>
          <w:tcPr>
            <w:tcW w:w="1163" w:type="pct"/>
            <w:shd w:val="clear" w:color="auto" w:fill="auto"/>
            <w:noWrap/>
            <w:vAlign w:val="center"/>
          </w:tcPr>
          <w:p w14:paraId="02793EC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500.91</w:t>
            </w:r>
          </w:p>
        </w:tc>
        <w:tc>
          <w:tcPr>
            <w:tcW w:w="1162" w:type="pct"/>
            <w:shd w:val="clear" w:color="auto" w:fill="auto"/>
            <w:noWrap/>
            <w:vAlign w:val="center"/>
          </w:tcPr>
          <w:p w14:paraId="006A89A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500.91</w:t>
            </w:r>
          </w:p>
        </w:tc>
        <w:tc>
          <w:tcPr>
            <w:tcW w:w="997" w:type="pct"/>
            <w:shd w:val="clear" w:color="auto" w:fill="auto"/>
            <w:noWrap/>
            <w:vAlign w:val="center"/>
          </w:tcPr>
          <w:p w14:paraId="122F7CFA" w14:textId="77777777" w:rsidR="00C02929" w:rsidRDefault="006116D1">
            <w:pPr>
              <w:jc w:val="both"/>
              <w:rPr>
                <w:rFonts w:ascii="Times New Roman" w:hAnsi="Times New Roman" w:cs="Times New Roman"/>
                <w:sz w:val="21"/>
                <w:szCs w:val="21"/>
              </w:rPr>
            </w:pPr>
            <w:r>
              <w:rPr>
                <w:rFonts w:ascii="Times New Roman" w:hAnsi="Times New Roman" w:cs="Times New Roman" w:hint="eastAsia"/>
                <w:sz w:val="21"/>
                <w:szCs w:val="21"/>
              </w:rPr>
              <w:t>购买的基金理财</w:t>
            </w:r>
          </w:p>
        </w:tc>
      </w:tr>
      <w:tr w:rsidR="00C02929" w14:paraId="788B94D8" w14:textId="77777777">
        <w:trPr>
          <w:trHeight w:val="397"/>
        </w:trPr>
        <w:tc>
          <w:tcPr>
            <w:tcW w:w="1678" w:type="pct"/>
            <w:shd w:val="clear" w:color="auto" w:fill="auto"/>
            <w:noWrap/>
            <w:vAlign w:val="center"/>
          </w:tcPr>
          <w:p w14:paraId="4910F1E7"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递延所得税资产</w:t>
            </w:r>
          </w:p>
        </w:tc>
        <w:tc>
          <w:tcPr>
            <w:tcW w:w="1163" w:type="pct"/>
            <w:shd w:val="clear" w:color="auto" w:fill="auto"/>
            <w:noWrap/>
            <w:vAlign w:val="center"/>
          </w:tcPr>
          <w:p w14:paraId="2A1D111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89.77</w:t>
            </w:r>
          </w:p>
        </w:tc>
        <w:tc>
          <w:tcPr>
            <w:tcW w:w="1162" w:type="pct"/>
            <w:shd w:val="clear" w:color="auto" w:fill="auto"/>
            <w:noWrap/>
            <w:vAlign w:val="center"/>
          </w:tcPr>
          <w:p w14:paraId="3826A2CF"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89.77</w:t>
            </w:r>
          </w:p>
        </w:tc>
        <w:tc>
          <w:tcPr>
            <w:tcW w:w="997" w:type="pct"/>
            <w:shd w:val="clear" w:color="auto" w:fill="auto"/>
            <w:noWrap/>
            <w:vAlign w:val="center"/>
          </w:tcPr>
          <w:p w14:paraId="3D40C32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3FA08F13" w14:textId="77777777">
        <w:trPr>
          <w:trHeight w:val="397"/>
        </w:trPr>
        <w:tc>
          <w:tcPr>
            <w:tcW w:w="1678" w:type="pct"/>
            <w:shd w:val="clear" w:color="auto" w:fill="auto"/>
            <w:noWrap/>
            <w:vAlign w:val="center"/>
          </w:tcPr>
          <w:p w14:paraId="1DDA0EF8"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非现金类非经营性资产小计</w:t>
            </w:r>
          </w:p>
        </w:tc>
        <w:tc>
          <w:tcPr>
            <w:tcW w:w="1163" w:type="pct"/>
            <w:shd w:val="clear" w:color="auto" w:fill="auto"/>
            <w:noWrap/>
            <w:vAlign w:val="center"/>
          </w:tcPr>
          <w:p w14:paraId="517CF42B"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590.68</w:t>
            </w:r>
          </w:p>
        </w:tc>
        <w:tc>
          <w:tcPr>
            <w:tcW w:w="1162" w:type="pct"/>
            <w:shd w:val="clear" w:color="auto" w:fill="auto"/>
            <w:noWrap/>
            <w:vAlign w:val="center"/>
          </w:tcPr>
          <w:p w14:paraId="41AFF8AD"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590.68</w:t>
            </w:r>
          </w:p>
        </w:tc>
        <w:tc>
          <w:tcPr>
            <w:tcW w:w="997" w:type="pct"/>
            <w:shd w:val="clear" w:color="auto" w:fill="auto"/>
            <w:noWrap/>
            <w:vAlign w:val="center"/>
          </w:tcPr>
          <w:p w14:paraId="16E3E3A3"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39CF3180" w14:textId="77777777">
        <w:trPr>
          <w:trHeight w:val="397"/>
        </w:trPr>
        <w:tc>
          <w:tcPr>
            <w:tcW w:w="1678" w:type="pct"/>
            <w:shd w:val="clear" w:color="auto" w:fill="auto"/>
            <w:vAlign w:val="center"/>
          </w:tcPr>
          <w:p w14:paraId="0D9DA1D9"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三、非经营性负债</w:t>
            </w:r>
          </w:p>
        </w:tc>
        <w:tc>
          <w:tcPr>
            <w:tcW w:w="1163" w:type="pct"/>
            <w:shd w:val="clear" w:color="auto" w:fill="auto"/>
            <w:vAlign w:val="center"/>
          </w:tcPr>
          <w:p w14:paraId="7356C26B" w14:textId="77777777" w:rsidR="00C02929" w:rsidRDefault="00C02929">
            <w:pPr>
              <w:jc w:val="right"/>
              <w:rPr>
                <w:rFonts w:ascii="Times New Roman" w:hAnsi="Times New Roman" w:cs="Times New Roman"/>
                <w:b/>
                <w:bCs/>
                <w:sz w:val="21"/>
                <w:szCs w:val="21"/>
              </w:rPr>
            </w:pPr>
          </w:p>
        </w:tc>
        <w:tc>
          <w:tcPr>
            <w:tcW w:w="1162" w:type="pct"/>
            <w:shd w:val="clear" w:color="auto" w:fill="auto"/>
            <w:noWrap/>
            <w:vAlign w:val="center"/>
          </w:tcPr>
          <w:p w14:paraId="626D72BD" w14:textId="77777777" w:rsidR="00C02929" w:rsidRDefault="00C02929">
            <w:pPr>
              <w:jc w:val="right"/>
              <w:rPr>
                <w:rFonts w:ascii="Times New Roman" w:hAnsi="Times New Roman" w:cs="Times New Roman"/>
                <w:sz w:val="21"/>
                <w:szCs w:val="21"/>
              </w:rPr>
            </w:pPr>
          </w:p>
        </w:tc>
        <w:tc>
          <w:tcPr>
            <w:tcW w:w="997" w:type="pct"/>
            <w:shd w:val="clear" w:color="auto" w:fill="auto"/>
            <w:noWrap/>
            <w:vAlign w:val="center"/>
          </w:tcPr>
          <w:p w14:paraId="1BD79DD8" w14:textId="77777777" w:rsidR="00C02929" w:rsidRDefault="00C02929">
            <w:pPr>
              <w:jc w:val="right"/>
              <w:rPr>
                <w:rFonts w:ascii="Times New Roman" w:hAnsi="Times New Roman" w:cs="Times New Roman"/>
                <w:sz w:val="21"/>
                <w:szCs w:val="21"/>
              </w:rPr>
            </w:pPr>
          </w:p>
        </w:tc>
      </w:tr>
      <w:tr w:rsidR="00C02929" w14:paraId="5C9A49E2" w14:textId="77777777">
        <w:trPr>
          <w:trHeight w:val="397"/>
        </w:trPr>
        <w:tc>
          <w:tcPr>
            <w:tcW w:w="1678" w:type="pct"/>
            <w:shd w:val="clear" w:color="auto" w:fill="auto"/>
            <w:vAlign w:val="center"/>
          </w:tcPr>
          <w:p w14:paraId="5CAAC0A8"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预计负债</w:t>
            </w:r>
          </w:p>
        </w:tc>
        <w:tc>
          <w:tcPr>
            <w:tcW w:w="1163" w:type="pct"/>
            <w:shd w:val="clear" w:color="auto" w:fill="auto"/>
            <w:noWrap/>
            <w:vAlign w:val="center"/>
          </w:tcPr>
          <w:p w14:paraId="1DADDFF9"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107.10</w:t>
            </w:r>
          </w:p>
        </w:tc>
        <w:tc>
          <w:tcPr>
            <w:tcW w:w="1162" w:type="pct"/>
            <w:shd w:val="clear" w:color="auto" w:fill="auto"/>
            <w:noWrap/>
            <w:vAlign w:val="center"/>
          </w:tcPr>
          <w:p w14:paraId="32761F5C"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107.10</w:t>
            </w:r>
          </w:p>
        </w:tc>
        <w:tc>
          <w:tcPr>
            <w:tcW w:w="997" w:type="pct"/>
            <w:shd w:val="clear" w:color="auto" w:fill="auto"/>
            <w:noWrap/>
            <w:vAlign w:val="center"/>
          </w:tcPr>
          <w:p w14:paraId="789DE655"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w:t>
            </w:r>
          </w:p>
        </w:tc>
      </w:tr>
      <w:tr w:rsidR="00C02929" w14:paraId="44DC6C2F" w14:textId="77777777">
        <w:trPr>
          <w:trHeight w:val="397"/>
        </w:trPr>
        <w:tc>
          <w:tcPr>
            <w:tcW w:w="1678" w:type="pct"/>
            <w:shd w:val="clear" w:color="auto" w:fill="auto"/>
            <w:noWrap/>
            <w:vAlign w:val="center"/>
          </w:tcPr>
          <w:p w14:paraId="26113872"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非经营性负债小计</w:t>
            </w:r>
          </w:p>
        </w:tc>
        <w:tc>
          <w:tcPr>
            <w:tcW w:w="1163" w:type="pct"/>
            <w:shd w:val="clear" w:color="auto" w:fill="auto"/>
            <w:noWrap/>
            <w:vAlign w:val="center"/>
          </w:tcPr>
          <w:p w14:paraId="7DAF42FB"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107.10</w:t>
            </w:r>
          </w:p>
        </w:tc>
        <w:tc>
          <w:tcPr>
            <w:tcW w:w="1162" w:type="pct"/>
            <w:shd w:val="clear" w:color="auto" w:fill="auto"/>
            <w:noWrap/>
            <w:vAlign w:val="center"/>
          </w:tcPr>
          <w:p w14:paraId="47A981A8"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107.10</w:t>
            </w:r>
          </w:p>
        </w:tc>
        <w:tc>
          <w:tcPr>
            <w:tcW w:w="997" w:type="pct"/>
            <w:shd w:val="clear" w:color="auto" w:fill="auto"/>
            <w:noWrap/>
            <w:vAlign w:val="center"/>
          </w:tcPr>
          <w:p w14:paraId="4CDFE837" w14:textId="77777777" w:rsidR="00C02929" w:rsidRDefault="006116D1">
            <w:pPr>
              <w:jc w:val="right"/>
              <w:rPr>
                <w:rFonts w:ascii="Times New Roman" w:hAnsi="Times New Roman" w:cs="Times New Roman"/>
                <w:b/>
                <w:bCs/>
                <w:sz w:val="21"/>
                <w:szCs w:val="21"/>
              </w:rPr>
            </w:pPr>
            <w:r>
              <w:rPr>
                <w:rFonts w:ascii="Times New Roman" w:hAnsi="Times New Roman" w:cs="Times New Roman"/>
                <w:sz w:val="21"/>
                <w:szCs w:val="21"/>
              </w:rPr>
              <w:t>-</w:t>
            </w:r>
          </w:p>
        </w:tc>
      </w:tr>
      <w:tr w:rsidR="00C02929" w14:paraId="106401FC" w14:textId="77777777">
        <w:trPr>
          <w:trHeight w:val="397"/>
        </w:trPr>
        <w:tc>
          <w:tcPr>
            <w:tcW w:w="1678" w:type="pct"/>
            <w:shd w:val="clear" w:color="auto" w:fill="auto"/>
            <w:vAlign w:val="center"/>
          </w:tcPr>
          <w:p w14:paraId="572F179F" w14:textId="77777777" w:rsidR="00C02929" w:rsidRDefault="006116D1">
            <w:pPr>
              <w:rPr>
                <w:rFonts w:ascii="Times New Roman" w:hAnsi="Times New Roman" w:cs="Times New Roman"/>
                <w:b/>
                <w:bCs/>
                <w:sz w:val="21"/>
                <w:szCs w:val="21"/>
              </w:rPr>
            </w:pPr>
            <w:r>
              <w:rPr>
                <w:rFonts w:ascii="Times New Roman" w:hAnsi="Times New Roman" w:cs="Times New Roman" w:hint="eastAsia"/>
                <w:b/>
                <w:bCs/>
                <w:sz w:val="21"/>
                <w:szCs w:val="21"/>
              </w:rPr>
              <w:t>非经营性资产、负债净值</w:t>
            </w:r>
          </w:p>
        </w:tc>
        <w:tc>
          <w:tcPr>
            <w:tcW w:w="1163" w:type="pct"/>
            <w:shd w:val="clear" w:color="auto" w:fill="auto"/>
            <w:noWrap/>
            <w:vAlign w:val="center"/>
          </w:tcPr>
          <w:p w14:paraId="44AA12B7"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483.59</w:t>
            </w:r>
          </w:p>
        </w:tc>
        <w:tc>
          <w:tcPr>
            <w:tcW w:w="1162" w:type="pct"/>
            <w:shd w:val="clear" w:color="auto" w:fill="auto"/>
            <w:noWrap/>
            <w:vAlign w:val="center"/>
          </w:tcPr>
          <w:p w14:paraId="4B9CDC28"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483.59</w:t>
            </w:r>
          </w:p>
        </w:tc>
        <w:tc>
          <w:tcPr>
            <w:tcW w:w="997" w:type="pct"/>
            <w:shd w:val="clear" w:color="auto" w:fill="auto"/>
            <w:noWrap/>
            <w:vAlign w:val="center"/>
          </w:tcPr>
          <w:p w14:paraId="5BB6D707" w14:textId="77777777" w:rsidR="00C02929" w:rsidRDefault="006116D1">
            <w:pPr>
              <w:jc w:val="right"/>
              <w:rPr>
                <w:rFonts w:ascii="Times New Roman" w:hAnsi="Times New Roman" w:cs="Times New Roman"/>
                <w:b/>
                <w:bCs/>
                <w:sz w:val="21"/>
                <w:szCs w:val="21"/>
              </w:rPr>
            </w:pPr>
            <w:r>
              <w:rPr>
                <w:rFonts w:ascii="Times New Roman" w:hAnsi="Times New Roman" w:cs="Times New Roman"/>
                <w:sz w:val="21"/>
                <w:szCs w:val="21"/>
              </w:rPr>
              <w:t>-</w:t>
            </w:r>
          </w:p>
        </w:tc>
      </w:tr>
    </w:tbl>
    <w:p w14:paraId="67ACDD3D"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lastRenderedPageBreak/>
        <w:t>对于非经营性负债和非经营性资产中的货币资金、其他流动资产、递延所得税资产、预计负债等，按审计后的账面值确定为评估值。</w:t>
      </w:r>
    </w:p>
    <w:p w14:paraId="6DB04BF1" w14:textId="77777777" w:rsidR="00C02929" w:rsidRDefault="006116D1">
      <w:pPr>
        <w:pStyle w:val="affffd"/>
        <w:spacing w:before="156"/>
        <w:ind w:firstLine="482"/>
        <w:rPr>
          <w:b/>
          <w:bCs/>
        </w:rPr>
      </w:pPr>
      <w:r>
        <w:rPr>
          <w:rFonts w:hint="eastAsia"/>
          <w:b/>
          <w:bCs/>
        </w:rPr>
        <w:t>6</w:t>
      </w:r>
      <w:r>
        <w:rPr>
          <w:rFonts w:hint="eastAsia"/>
          <w:b/>
          <w:bCs/>
        </w:rPr>
        <w:t>、付息负债的评估</w:t>
      </w:r>
    </w:p>
    <w:p w14:paraId="1F5E5423" w14:textId="77777777" w:rsidR="00C02929" w:rsidRDefault="006116D1">
      <w:pPr>
        <w:spacing w:beforeLines="50" w:before="156" w:line="360" w:lineRule="auto"/>
        <w:ind w:firstLineChars="200" w:firstLine="480"/>
        <w:jc w:val="both"/>
        <w:rPr>
          <w:rFonts w:ascii="Times New Roman" w:hAnsi="Times New Roman" w:cs="Times New Roman"/>
        </w:rPr>
      </w:pPr>
      <w:r>
        <w:rPr>
          <w:rFonts w:ascii="Times New Roman" w:hAnsi="Times New Roman" w:cs="Times New Roman" w:hint="eastAsia"/>
        </w:rPr>
        <w:t>标的公司基准日无付息负债。</w:t>
      </w:r>
    </w:p>
    <w:p w14:paraId="00CE98A9" w14:textId="77777777" w:rsidR="00C02929" w:rsidRDefault="006116D1">
      <w:pPr>
        <w:pStyle w:val="affffd"/>
        <w:spacing w:before="156"/>
        <w:ind w:firstLine="482"/>
        <w:rPr>
          <w:b/>
          <w:bCs/>
        </w:rPr>
      </w:pPr>
      <w:bookmarkStart w:id="133" w:name="_Toc163542874"/>
      <w:r>
        <w:rPr>
          <w:rFonts w:hint="eastAsia"/>
          <w:b/>
          <w:bCs/>
        </w:rPr>
        <w:t>7</w:t>
      </w:r>
      <w:r>
        <w:rPr>
          <w:rFonts w:hint="eastAsia"/>
          <w:b/>
          <w:bCs/>
        </w:rPr>
        <w:t>、收益法评估</w:t>
      </w:r>
      <w:bookmarkEnd w:id="133"/>
      <w:r>
        <w:rPr>
          <w:rFonts w:hint="eastAsia"/>
          <w:b/>
          <w:bCs/>
        </w:rPr>
        <w:t>结论及分析</w:t>
      </w:r>
    </w:p>
    <w:p w14:paraId="10C34BFC" w14:textId="77777777" w:rsidR="00C02929" w:rsidRDefault="006116D1">
      <w:pPr>
        <w:pStyle w:val="ac"/>
        <w:spacing w:beforeLines="50" w:before="156" w:after="0" w:line="360" w:lineRule="auto"/>
        <w:ind w:firstLineChars="200" w:firstLine="480"/>
        <w:rPr>
          <w:rFonts w:ascii="宋体" w:eastAsia="宋体" w:hAnsi="宋体" w:cs="宋体"/>
          <w:sz w:val="24"/>
        </w:rPr>
      </w:pPr>
      <w:r>
        <w:rPr>
          <w:rFonts w:ascii="宋体" w:eastAsia="宋体" w:hAnsi="宋体" w:cs="宋体" w:hint="eastAsia"/>
          <w:sz w:val="24"/>
        </w:rPr>
        <w:t>经评估，</w:t>
      </w:r>
      <w:r>
        <w:rPr>
          <w:rFonts w:ascii="宋体" w:eastAsia="宋体" w:hAnsi="宋体" w:cs="宋体" w:hint="eastAsia"/>
          <w:sz w:val="24"/>
          <w:lang w:val="en-US"/>
        </w:rPr>
        <w:t>截至</w:t>
      </w:r>
      <w:r>
        <w:rPr>
          <w:rFonts w:ascii="宋体" w:eastAsia="宋体" w:hAnsi="宋体" w:cs="宋体" w:hint="eastAsia"/>
          <w:sz w:val="24"/>
        </w:rPr>
        <w:t>评估基准日</w:t>
      </w:r>
      <w:r>
        <w:rPr>
          <w:rFonts w:ascii="宋体" w:eastAsia="宋体" w:hAnsi="宋体" w:cs="宋体"/>
          <w:sz w:val="24"/>
        </w:rPr>
        <w:t>2020</w:t>
      </w:r>
      <w:r>
        <w:rPr>
          <w:rFonts w:ascii="宋体" w:eastAsia="宋体" w:hAnsi="宋体" w:cs="宋体" w:hint="eastAsia"/>
          <w:sz w:val="24"/>
        </w:rPr>
        <w:t>年</w:t>
      </w:r>
      <w:r>
        <w:rPr>
          <w:rFonts w:ascii="宋体" w:eastAsia="宋体" w:hAnsi="宋体" w:cs="宋体"/>
          <w:sz w:val="24"/>
        </w:rPr>
        <w:t>6</w:t>
      </w:r>
      <w:r>
        <w:rPr>
          <w:rFonts w:ascii="宋体" w:eastAsia="宋体" w:hAnsi="宋体" w:cs="宋体" w:hint="eastAsia"/>
          <w:sz w:val="24"/>
        </w:rPr>
        <w:t>月</w:t>
      </w:r>
      <w:r>
        <w:rPr>
          <w:rFonts w:ascii="宋体" w:eastAsia="宋体" w:hAnsi="宋体" w:cs="宋体"/>
          <w:sz w:val="24"/>
        </w:rPr>
        <w:t>30</w:t>
      </w:r>
      <w:r>
        <w:rPr>
          <w:rFonts w:ascii="宋体" w:eastAsia="宋体" w:hAnsi="宋体" w:cs="宋体" w:hint="eastAsia"/>
          <w:sz w:val="24"/>
        </w:rPr>
        <w:t>日，北洋天青的股东全部权益，在持续经营条件下收益法的评估值为人民币</w:t>
      </w:r>
      <w:r>
        <w:rPr>
          <w:rFonts w:ascii="宋体" w:eastAsia="宋体" w:hAnsi="宋体" w:cs="宋体"/>
          <w:sz w:val="24"/>
        </w:rPr>
        <w:t>30,800.00</w:t>
      </w:r>
      <w:r>
        <w:rPr>
          <w:rFonts w:ascii="宋体" w:eastAsia="宋体" w:hAnsi="宋体" w:cs="宋体" w:hint="eastAsia"/>
          <w:sz w:val="24"/>
        </w:rPr>
        <w:t>万元，即：人民币叁亿零捌佰万元。</w:t>
      </w:r>
    </w:p>
    <w:bookmarkEnd w:id="96"/>
    <w:p w14:paraId="2F46CC0E" w14:textId="77777777" w:rsidR="00C02929" w:rsidRDefault="006116D1">
      <w:pPr>
        <w:pStyle w:val="ac"/>
        <w:spacing w:beforeLines="50" w:before="156" w:after="0" w:line="360" w:lineRule="auto"/>
        <w:ind w:firstLineChars="200" w:firstLine="482"/>
        <w:outlineLvl w:val="3"/>
        <w:rPr>
          <w:rFonts w:eastAsia="宋体"/>
          <w:b/>
          <w:bCs/>
          <w:sz w:val="24"/>
        </w:rPr>
      </w:pPr>
      <w:r>
        <w:rPr>
          <w:rFonts w:eastAsia="宋体" w:hint="eastAsia"/>
          <w:b/>
          <w:bCs/>
          <w:sz w:val="24"/>
        </w:rPr>
        <w:t>（二）补充披露情况</w:t>
      </w:r>
    </w:p>
    <w:p w14:paraId="4A0EFB55" w14:textId="77777777" w:rsidR="00C02929" w:rsidRDefault="006116D1">
      <w:pPr>
        <w:pStyle w:val="ac"/>
        <w:spacing w:beforeLines="50" w:before="156" w:after="0" w:line="360" w:lineRule="auto"/>
        <w:ind w:firstLineChars="200" w:firstLine="480"/>
        <w:rPr>
          <w:rFonts w:eastAsia="宋体"/>
          <w:sz w:val="24"/>
        </w:rPr>
      </w:pPr>
      <w:r>
        <w:rPr>
          <w:rFonts w:eastAsia="宋体" w:hint="eastAsia"/>
          <w:bCs/>
          <w:sz w:val="24"/>
        </w:rPr>
        <w:t>以上内容已于重组报告书“第六节</w:t>
      </w:r>
      <w:r>
        <w:rPr>
          <w:rFonts w:eastAsia="宋体"/>
          <w:bCs/>
          <w:sz w:val="24"/>
        </w:rPr>
        <w:t xml:space="preserve"> </w:t>
      </w:r>
      <w:r>
        <w:rPr>
          <w:rFonts w:eastAsia="宋体" w:hint="eastAsia"/>
          <w:bCs/>
          <w:sz w:val="24"/>
        </w:rPr>
        <w:t>标的资产评估情况”之“三、收益法评估情况”中补充披露。</w:t>
      </w:r>
    </w:p>
    <w:p w14:paraId="3BCCBD97"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二、截至</w:t>
      </w:r>
      <w:r>
        <w:rPr>
          <w:rFonts w:ascii="Times New Roman" w:hAnsi="Times New Roman" w:cs="Times New Roman"/>
          <w:b/>
          <w:bCs/>
          <w:color w:val="000000"/>
          <w:kern w:val="1"/>
        </w:rPr>
        <w:t>2020</w:t>
      </w:r>
      <w:r>
        <w:rPr>
          <w:rFonts w:ascii="Times New Roman" w:hAnsi="Times New Roman" w:cs="Times New Roman" w:hint="eastAsia"/>
          <w:b/>
          <w:bCs/>
          <w:color w:val="000000"/>
          <w:kern w:val="1"/>
        </w:rPr>
        <w:t>年</w:t>
      </w:r>
      <w:r>
        <w:rPr>
          <w:rFonts w:ascii="Times New Roman" w:hAnsi="Times New Roman" w:cs="Times New Roman"/>
          <w:b/>
          <w:bCs/>
          <w:color w:val="000000"/>
          <w:kern w:val="1"/>
        </w:rPr>
        <w:t>12</w:t>
      </w:r>
      <w:r>
        <w:rPr>
          <w:rFonts w:ascii="Times New Roman" w:hAnsi="Times New Roman" w:cs="Times New Roman" w:hint="eastAsia"/>
          <w:b/>
          <w:bCs/>
          <w:color w:val="000000"/>
          <w:kern w:val="1"/>
        </w:rPr>
        <w:t>月</w:t>
      </w:r>
      <w:r>
        <w:rPr>
          <w:rFonts w:ascii="Times New Roman" w:hAnsi="Times New Roman" w:cs="Times New Roman"/>
          <w:b/>
          <w:bCs/>
          <w:color w:val="000000"/>
          <w:kern w:val="1"/>
        </w:rPr>
        <w:t>31</w:t>
      </w:r>
      <w:r>
        <w:rPr>
          <w:rFonts w:ascii="Times New Roman" w:hAnsi="Times New Roman" w:cs="Times New Roman" w:hint="eastAsia"/>
          <w:b/>
          <w:bCs/>
          <w:color w:val="000000"/>
          <w:kern w:val="1"/>
        </w:rPr>
        <w:t>日，标的公司关联方资金占用情况</w:t>
      </w:r>
    </w:p>
    <w:p w14:paraId="38921396"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lang w:val="en-GB"/>
        </w:rPr>
      </w:pPr>
      <w:r>
        <w:rPr>
          <w:rFonts w:ascii="Times New Roman" w:hAnsi="Times New Roman" w:cs="Times New Roman" w:hint="eastAsia"/>
          <w:bCs/>
          <w:color w:val="000000"/>
          <w:szCs w:val="21"/>
          <w:lang w:val="en-GB"/>
        </w:rPr>
        <w:t>截至本核查意见出具日，标的公司不存在关联方采购及销售情况，具体如下：</w:t>
      </w:r>
    </w:p>
    <w:p w14:paraId="57063124" w14:textId="77777777" w:rsidR="00C02929" w:rsidRDefault="006116D1">
      <w:pPr>
        <w:keepNext/>
        <w:jc w:val="right"/>
        <w:rPr>
          <w:rFonts w:ascii="Times New Roman" w:hAnsi="Times New Roman" w:cs="Times New Roman"/>
          <w:bCs/>
          <w:color w:val="000000"/>
          <w:sz w:val="21"/>
          <w:szCs w:val="18"/>
          <w:lang w:val="en-GB"/>
        </w:rPr>
      </w:pPr>
      <w:r>
        <w:rPr>
          <w:rFonts w:ascii="Times New Roman" w:hAnsi="Times New Roman" w:cs="Times New Roman" w:hint="eastAsia"/>
          <w:bCs/>
          <w:color w:val="000000"/>
          <w:sz w:val="21"/>
          <w:szCs w:val="18"/>
          <w:lang w:val="en-GB"/>
        </w:rPr>
        <w:t>单位：元</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17"/>
        <w:gridCol w:w="821"/>
        <w:gridCol w:w="1137"/>
        <w:gridCol w:w="1139"/>
        <w:gridCol w:w="1139"/>
        <w:gridCol w:w="1139"/>
        <w:gridCol w:w="1139"/>
        <w:gridCol w:w="1131"/>
      </w:tblGrid>
      <w:tr w:rsidR="00C02929" w14:paraId="67C6CE8A" w14:textId="77777777">
        <w:trPr>
          <w:cantSplit/>
          <w:trHeight w:val="397"/>
          <w:tblHeader/>
          <w:jc w:val="center"/>
        </w:trPr>
        <w:tc>
          <w:tcPr>
            <w:tcW w:w="428" w:type="pct"/>
            <w:vMerge w:val="restart"/>
            <w:tcBorders>
              <w:top w:val="single" w:sz="12" w:space="0" w:color="auto"/>
              <w:left w:val="nil"/>
              <w:bottom w:val="single" w:sz="4" w:space="0" w:color="auto"/>
              <w:right w:val="single" w:sz="4" w:space="0" w:color="auto"/>
            </w:tcBorders>
            <w:tcMar>
              <w:top w:w="0" w:type="dxa"/>
              <w:left w:w="28" w:type="dxa"/>
              <w:bottom w:w="0" w:type="dxa"/>
              <w:right w:w="28" w:type="dxa"/>
            </w:tcMar>
            <w:vAlign w:val="center"/>
          </w:tcPr>
          <w:p w14:paraId="23980F24" w14:textId="77777777" w:rsidR="00C02929" w:rsidRDefault="006116D1">
            <w:pPr>
              <w:keepNext/>
              <w:jc w:val="center"/>
              <w:rPr>
                <w:rFonts w:ascii="Times New Roman" w:hAnsi="Times New Roman" w:cs="Times New Roman"/>
                <w:b/>
                <w:sz w:val="21"/>
                <w:szCs w:val="21"/>
              </w:rPr>
            </w:pPr>
            <w:bookmarkStart w:id="134" w:name="OLE_LINK2"/>
            <w:r>
              <w:rPr>
                <w:rFonts w:ascii="Times New Roman" w:hAnsi="Times New Roman" w:cs="Times New Roman" w:hint="eastAsia"/>
                <w:b/>
                <w:sz w:val="21"/>
                <w:szCs w:val="21"/>
              </w:rPr>
              <w:t>项目名称</w:t>
            </w:r>
          </w:p>
        </w:tc>
        <w:tc>
          <w:tcPr>
            <w:tcW w:w="491" w:type="pct"/>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89A27C" w14:textId="77777777" w:rsidR="00C02929" w:rsidRDefault="006116D1">
            <w:pPr>
              <w:keepNext/>
              <w:jc w:val="center"/>
              <w:rPr>
                <w:rFonts w:ascii="Times New Roman" w:hAnsi="Times New Roman" w:cs="Times New Roman"/>
                <w:color w:val="000000"/>
                <w:spacing w:val="-10"/>
                <w:sz w:val="21"/>
                <w:szCs w:val="21"/>
              </w:rPr>
            </w:pPr>
            <w:r>
              <w:rPr>
                <w:rFonts w:ascii="Times New Roman" w:hAnsi="Times New Roman" w:cs="Times New Roman" w:hint="eastAsia"/>
                <w:b/>
                <w:bCs/>
                <w:spacing w:val="-10"/>
                <w:sz w:val="21"/>
                <w:szCs w:val="21"/>
              </w:rPr>
              <w:t>关联方</w:t>
            </w:r>
          </w:p>
        </w:tc>
        <w:tc>
          <w:tcPr>
            <w:tcW w:w="1361" w:type="pct"/>
            <w:gridSpan w:val="2"/>
            <w:tcBorders>
              <w:top w:val="single" w:sz="12" w:space="0" w:color="auto"/>
              <w:left w:val="single" w:sz="4" w:space="0" w:color="auto"/>
              <w:bottom w:val="single" w:sz="4" w:space="0" w:color="auto"/>
              <w:right w:val="single" w:sz="4" w:space="0" w:color="auto"/>
            </w:tcBorders>
            <w:vAlign w:val="center"/>
          </w:tcPr>
          <w:p w14:paraId="0A2B30B0"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w:t>
            </w:r>
          </w:p>
        </w:tc>
        <w:tc>
          <w:tcPr>
            <w:tcW w:w="1362" w:type="pct"/>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5F787E9"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2020</w:t>
            </w:r>
            <w:r>
              <w:rPr>
                <w:rFonts w:ascii="Times New Roman" w:hAnsi="Times New Roman" w:cs="Times New Roman" w:hint="eastAsia"/>
                <w:b/>
                <w:sz w:val="21"/>
                <w:szCs w:val="21"/>
              </w:rPr>
              <w:t>年</w:t>
            </w:r>
            <w:r>
              <w:rPr>
                <w:rFonts w:ascii="Times New Roman" w:hAnsi="Times New Roman" w:cs="Times New Roman" w:hint="eastAsia"/>
                <w:b/>
                <w:sz w:val="21"/>
                <w:szCs w:val="21"/>
              </w:rPr>
              <w:t>9</w:t>
            </w:r>
            <w:r>
              <w:rPr>
                <w:rFonts w:ascii="Times New Roman" w:hAnsi="Times New Roman" w:cs="Times New Roman" w:hint="eastAsia"/>
                <w:b/>
                <w:sz w:val="21"/>
                <w:szCs w:val="21"/>
              </w:rPr>
              <w:t>月</w:t>
            </w:r>
            <w:r>
              <w:rPr>
                <w:rFonts w:ascii="Times New Roman" w:hAnsi="Times New Roman" w:cs="Times New Roman" w:hint="eastAsia"/>
                <w:b/>
                <w:sz w:val="21"/>
                <w:szCs w:val="21"/>
              </w:rPr>
              <w:t>30</w:t>
            </w:r>
            <w:r>
              <w:rPr>
                <w:rFonts w:ascii="Times New Roman" w:hAnsi="Times New Roman" w:cs="Times New Roman" w:hint="eastAsia"/>
                <w:b/>
                <w:sz w:val="21"/>
                <w:szCs w:val="21"/>
              </w:rPr>
              <w:t>日</w:t>
            </w:r>
          </w:p>
        </w:tc>
        <w:tc>
          <w:tcPr>
            <w:tcW w:w="1357" w:type="pct"/>
            <w:gridSpan w:val="2"/>
            <w:tcBorders>
              <w:top w:val="single" w:sz="12" w:space="0" w:color="auto"/>
              <w:left w:val="single" w:sz="4" w:space="0" w:color="auto"/>
              <w:bottom w:val="single" w:sz="4" w:space="0" w:color="auto"/>
              <w:right w:val="nil"/>
            </w:tcBorders>
            <w:tcMar>
              <w:top w:w="0" w:type="dxa"/>
              <w:left w:w="28" w:type="dxa"/>
              <w:bottom w:w="0" w:type="dxa"/>
              <w:right w:w="28" w:type="dxa"/>
            </w:tcMar>
            <w:vAlign w:val="center"/>
          </w:tcPr>
          <w:p w14:paraId="7425C36B"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2019</w:t>
            </w:r>
            <w:r>
              <w:rPr>
                <w:rFonts w:ascii="Times New Roman" w:hAnsi="Times New Roman" w:cs="Times New Roman" w:hint="eastAsia"/>
                <w:b/>
                <w:sz w:val="21"/>
                <w:szCs w:val="21"/>
              </w:rPr>
              <w:t>年</w:t>
            </w:r>
            <w:r>
              <w:rPr>
                <w:rFonts w:ascii="Times New Roman" w:hAnsi="Times New Roman" w:cs="Times New Roman" w:hint="eastAsia"/>
                <w:b/>
                <w:sz w:val="21"/>
                <w:szCs w:val="21"/>
              </w:rPr>
              <w:t>12</w:t>
            </w:r>
            <w:r>
              <w:rPr>
                <w:rFonts w:ascii="Times New Roman" w:hAnsi="Times New Roman" w:cs="Times New Roman" w:hint="eastAsia"/>
                <w:b/>
                <w:sz w:val="21"/>
                <w:szCs w:val="21"/>
              </w:rPr>
              <w:t>月</w:t>
            </w:r>
            <w:r>
              <w:rPr>
                <w:rFonts w:ascii="Times New Roman" w:hAnsi="Times New Roman" w:cs="Times New Roman" w:hint="eastAsia"/>
                <w:b/>
                <w:sz w:val="21"/>
                <w:szCs w:val="21"/>
              </w:rPr>
              <w:t>31</w:t>
            </w:r>
            <w:r>
              <w:rPr>
                <w:rFonts w:ascii="Times New Roman" w:hAnsi="Times New Roman" w:cs="Times New Roman" w:hint="eastAsia"/>
                <w:b/>
                <w:sz w:val="21"/>
                <w:szCs w:val="21"/>
              </w:rPr>
              <w:t>日</w:t>
            </w:r>
          </w:p>
        </w:tc>
      </w:tr>
      <w:tr w:rsidR="00C02929" w14:paraId="2ACA0482" w14:textId="77777777">
        <w:trPr>
          <w:cantSplit/>
          <w:trHeight w:val="397"/>
          <w:tblHeader/>
          <w:jc w:val="center"/>
        </w:trPr>
        <w:tc>
          <w:tcPr>
            <w:tcW w:w="428" w:type="pct"/>
            <w:vMerge/>
            <w:tcBorders>
              <w:top w:val="single" w:sz="12" w:space="0" w:color="auto"/>
              <w:left w:val="nil"/>
              <w:bottom w:val="single" w:sz="4" w:space="0" w:color="auto"/>
              <w:right w:val="single" w:sz="4" w:space="0" w:color="auto"/>
            </w:tcBorders>
            <w:vAlign w:val="center"/>
          </w:tcPr>
          <w:p w14:paraId="50EE68E9" w14:textId="77777777" w:rsidR="00C02929" w:rsidRDefault="00C02929">
            <w:pPr>
              <w:rPr>
                <w:rFonts w:ascii="Times New Roman" w:hAnsi="Times New Roman" w:cs="Times New Roman"/>
                <w:b/>
                <w:sz w:val="21"/>
                <w:szCs w:val="21"/>
              </w:rPr>
            </w:pPr>
          </w:p>
        </w:tc>
        <w:tc>
          <w:tcPr>
            <w:tcW w:w="491" w:type="pct"/>
            <w:vMerge/>
            <w:tcBorders>
              <w:top w:val="single" w:sz="12" w:space="0" w:color="auto"/>
              <w:left w:val="single" w:sz="4" w:space="0" w:color="auto"/>
              <w:bottom w:val="single" w:sz="4" w:space="0" w:color="auto"/>
              <w:right w:val="single" w:sz="4" w:space="0" w:color="auto"/>
            </w:tcBorders>
            <w:vAlign w:val="center"/>
          </w:tcPr>
          <w:p w14:paraId="653B983F" w14:textId="77777777" w:rsidR="00C02929" w:rsidRDefault="00C02929">
            <w:pPr>
              <w:rPr>
                <w:rFonts w:ascii="Times New Roman" w:hAnsi="Times New Roman" w:cs="Times New Roman"/>
                <w:color w:val="000000"/>
                <w:spacing w:val="-10"/>
                <w:sz w:val="21"/>
                <w:szCs w:val="21"/>
              </w:rPr>
            </w:pPr>
          </w:p>
        </w:tc>
        <w:tc>
          <w:tcPr>
            <w:tcW w:w="680" w:type="pct"/>
            <w:tcBorders>
              <w:top w:val="single" w:sz="4" w:space="0" w:color="auto"/>
              <w:left w:val="single" w:sz="4" w:space="0" w:color="auto"/>
              <w:bottom w:val="single" w:sz="4" w:space="0" w:color="auto"/>
              <w:right w:val="single" w:sz="4" w:space="0" w:color="auto"/>
            </w:tcBorders>
            <w:vAlign w:val="center"/>
          </w:tcPr>
          <w:p w14:paraId="3A4C8E6A"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681" w:type="pct"/>
            <w:tcBorders>
              <w:top w:val="single" w:sz="4" w:space="0" w:color="auto"/>
              <w:left w:val="single" w:sz="4" w:space="0" w:color="auto"/>
              <w:bottom w:val="single" w:sz="4" w:space="0" w:color="auto"/>
              <w:right w:val="single" w:sz="4" w:space="0" w:color="auto"/>
            </w:tcBorders>
            <w:vAlign w:val="center"/>
          </w:tcPr>
          <w:p w14:paraId="26005712"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61909DA"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9BF8DD"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A71C1D"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账面余额</w:t>
            </w:r>
          </w:p>
        </w:tc>
        <w:tc>
          <w:tcPr>
            <w:tcW w:w="67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38EE589B" w14:textId="77777777" w:rsidR="00C02929" w:rsidRDefault="006116D1">
            <w:pPr>
              <w:keepNext/>
              <w:jc w:val="center"/>
              <w:rPr>
                <w:rFonts w:ascii="Times New Roman" w:hAnsi="Times New Roman" w:cs="Times New Roman"/>
                <w:b/>
                <w:sz w:val="21"/>
                <w:szCs w:val="21"/>
              </w:rPr>
            </w:pPr>
            <w:r>
              <w:rPr>
                <w:rFonts w:ascii="Times New Roman" w:hAnsi="Times New Roman" w:cs="Times New Roman" w:hint="eastAsia"/>
                <w:b/>
                <w:sz w:val="21"/>
                <w:szCs w:val="21"/>
              </w:rPr>
              <w:t>坏账准备</w:t>
            </w:r>
          </w:p>
        </w:tc>
      </w:tr>
      <w:tr w:rsidR="00C02929" w14:paraId="61F6AF85" w14:textId="77777777">
        <w:trPr>
          <w:cantSplit/>
          <w:trHeight w:val="397"/>
          <w:jc w:val="center"/>
        </w:trPr>
        <w:tc>
          <w:tcPr>
            <w:tcW w:w="42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231BACAB"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其他应收款</w:t>
            </w:r>
          </w:p>
        </w:tc>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BBF3DC"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肖中海</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008733A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5DD5B43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0.00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703378"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0.00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73677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0.00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546CFB"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10,145.63</w:t>
            </w:r>
          </w:p>
        </w:tc>
        <w:tc>
          <w:tcPr>
            <w:tcW w:w="67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64E5E10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84.99</w:t>
            </w:r>
          </w:p>
        </w:tc>
      </w:tr>
      <w:tr w:rsidR="00C02929" w14:paraId="056EA040" w14:textId="77777777">
        <w:trPr>
          <w:cantSplit/>
          <w:trHeight w:val="397"/>
          <w:jc w:val="center"/>
        </w:trPr>
        <w:tc>
          <w:tcPr>
            <w:tcW w:w="42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tcPr>
          <w:p w14:paraId="4FB86352" w14:textId="77777777" w:rsidR="00C02929" w:rsidRDefault="006116D1">
            <w:pPr>
              <w:rPr>
                <w:rFonts w:ascii="Times New Roman" w:hAnsi="Times New Roman" w:cs="Times New Roman"/>
                <w:sz w:val="21"/>
                <w:szCs w:val="21"/>
              </w:rPr>
            </w:pPr>
            <w:r>
              <w:rPr>
                <w:rFonts w:ascii="Times New Roman" w:hAnsi="Times New Roman" w:cs="Times New Roman" w:hint="eastAsia"/>
                <w:sz w:val="21"/>
                <w:szCs w:val="21"/>
              </w:rPr>
              <w:t>其他应收款</w:t>
            </w:r>
          </w:p>
        </w:tc>
        <w:tc>
          <w:tcPr>
            <w:tcW w:w="49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FC7311B" w14:textId="77777777" w:rsidR="00C02929" w:rsidRDefault="006116D1">
            <w:pPr>
              <w:jc w:val="center"/>
              <w:rPr>
                <w:rFonts w:ascii="Times New Roman" w:hAnsi="Times New Roman" w:cs="Times New Roman"/>
                <w:sz w:val="21"/>
                <w:szCs w:val="21"/>
              </w:rPr>
            </w:pPr>
            <w:r>
              <w:rPr>
                <w:rFonts w:ascii="Times New Roman" w:hAnsi="Times New Roman" w:cs="Times New Roman" w:hint="eastAsia"/>
                <w:sz w:val="21"/>
                <w:szCs w:val="21"/>
              </w:rPr>
              <w:t>徐炳雷</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47B3BD5D"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11,834.70</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14:paraId="557469A2"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99.14</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E054550"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33,979.70</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41099E"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284.66</w:t>
            </w:r>
          </w:p>
        </w:tc>
        <w:tc>
          <w:tcPr>
            <w:tcW w:w="68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91AE077"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13,000.00</w:t>
            </w:r>
          </w:p>
        </w:tc>
        <w:tc>
          <w:tcPr>
            <w:tcW w:w="676" w:type="pct"/>
            <w:tcBorders>
              <w:top w:val="single" w:sz="4" w:space="0" w:color="auto"/>
              <w:left w:val="single" w:sz="4" w:space="0" w:color="auto"/>
              <w:bottom w:val="single" w:sz="4" w:space="0" w:color="auto"/>
              <w:right w:val="nil"/>
            </w:tcBorders>
            <w:tcMar>
              <w:top w:w="0" w:type="dxa"/>
              <w:left w:w="28" w:type="dxa"/>
              <w:bottom w:w="0" w:type="dxa"/>
              <w:right w:w="28" w:type="dxa"/>
            </w:tcMar>
            <w:vAlign w:val="center"/>
          </w:tcPr>
          <w:p w14:paraId="47222EEA" w14:textId="77777777" w:rsidR="00C02929" w:rsidRDefault="006116D1">
            <w:pPr>
              <w:jc w:val="right"/>
              <w:rPr>
                <w:rFonts w:ascii="Times New Roman" w:hAnsi="Times New Roman" w:cs="Times New Roman"/>
                <w:sz w:val="21"/>
                <w:szCs w:val="21"/>
              </w:rPr>
            </w:pPr>
            <w:r>
              <w:rPr>
                <w:rFonts w:ascii="Times New Roman" w:hAnsi="Times New Roman" w:cs="Times New Roman"/>
                <w:sz w:val="21"/>
                <w:szCs w:val="21"/>
              </w:rPr>
              <w:t>108.90</w:t>
            </w:r>
          </w:p>
        </w:tc>
      </w:tr>
      <w:bookmarkEnd w:id="134"/>
      <w:tr w:rsidR="00C02929" w14:paraId="6CD2607A" w14:textId="77777777">
        <w:trPr>
          <w:cantSplit/>
          <w:trHeight w:val="397"/>
          <w:jc w:val="center"/>
        </w:trPr>
        <w:tc>
          <w:tcPr>
            <w:tcW w:w="428" w:type="pct"/>
            <w:tcBorders>
              <w:top w:val="single" w:sz="4" w:space="0" w:color="auto"/>
              <w:left w:val="nil"/>
              <w:bottom w:val="single" w:sz="12" w:space="0" w:color="auto"/>
              <w:right w:val="single" w:sz="4" w:space="0" w:color="auto"/>
            </w:tcBorders>
            <w:tcMar>
              <w:top w:w="0" w:type="dxa"/>
              <w:left w:w="28" w:type="dxa"/>
              <w:bottom w:w="0" w:type="dxa"/>
              <w:right w:w="28" w:type="dxa"/>
            </w:tcMar>
            <w:vAlign w:val="center"/>
          </w:tcPr>
          <w:p w14:paraId="0006778B" w14:textId="77777777" w:rsidR="00C02929" w:rsidRDefault="006116D1">
            <w:pPr>
              <w:jc w:val="center"/>
              <w:rPr>
                <w:rFonts w:ascii="Times New Roman" w:hAnsi="Times New Roman" w:cs="Times New Roman"/>
                <w:b/>
                <w:sz w:val="21"/>
                <w:szCs w:val="21"/>
              </w:rPr>
            </w:pPr>
            <w:r>
              <w:rPr>
                <w:rFonts w:ascii="Times New Roman" w:hAnsi="Times New Roman" w:cs="Times New Roman" w:hint="eastAsia"/>
                <w:b/>
                <w:sz w:val="21"/>
                <w:szCs w:val="21"/>
              </w:rPr>
              <w:t>合计</w:t>
            </w:r>
          </w:p>
        </w:tc>
        <w:tc>
          <w:tcPr>
            <w:tcW w:w="49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324BD21" w14:textId="77777777" w:rsidR="00C02929" w:rsidRDefault="006116D1">
            <w:pPr>
              <w:jc w:val="center"/>
              <w:rPr>
                <w:rFonts w:ascii="Times New Roman" w:hAnsi="Times New Roman" w:cs="Times New Roman"/>
                <w:b/>
                <w:sz w:val="21"/>
                <w:szCs w:val="21"/>
              </w:rPr>
            </w:pPr>
            <w:r>
              <w:rPr>
                <w:rFonts w:ascii="Times New Roman" w:hAnsi="Times New Roman" w:cs="Times New Roman"/>
                <w:b/>
                <w:sz w:val="21"/>
                <w:szCs w:val="21"/>
              </w:rPr>
              <w:t>—</w:t>
            </w:r>
          </w:p>
        </w:tc>
        <w:tc>
          <w:tcPr>
            <w:tcW w:w="680" w:type="pct"/>
            <w:tcBorders>
              <w:top w:val="single" w:sz="4" w:space="0" w:color="auto"/>
              <w:left w:val="single" w:sz="4" w:space="0" w:color="auto"/>
              <w:bottom w:val="single" w:sz="12" w:space="0" w:color="auto"/>
              <w:right w:val="single" w:sz="4" w:space="0" w:color="auto"/>
            </w:tcBorders>
            <w:shd w:val="clear" w:color="auto" w:fill="auto"/>
            <w:vAlign w:val="center"/>
          </w:tcPr>
          <w:p w14:paraId="03786639"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11,834.70</w:t>
            </w:r>
          </w:p>
        </w:tc>
        <w:tc>
          <w:tcPr>
            <w:tcW w:w="681" w:type="pct"/>
            <w:tcBorders>
              <w:top w:val="single" w:sz="4" w:space="0" w:color="auto"/>
              <w:left w:val="single" w:sz="4" w:space="0" w:color="auto"/>
              <w:bottom w:val="single" w:sz="12" w:space="0" w:color="auto"/>
              <w:right w:val="single" w:sz="4" w:space="0" w:color="auto"/>
            </w:tcBorders>
            <w:shd w:val="clear" w:color="auto" w:fill="auto"/>
            <w:vAlign w:val="center"/>
          </w:tcPr>
          <w:p w14:paraId="3CF64190" w14:textId="77777777" w:rsidR="00C02929" w:rsidRDefault="006116D1">
            <w:pPr>
              <w:jc w:val="right"/>
              <w:rPr>
                <w:rFonts w:ascii="Times New Roman" w:hAnsi="Times New Roman" w:cs="Times New Roman"/>
                <w:b/>
                <w:bCs/>
                <w:sz w:val="21"/>
                <w:szCs w:val="21"/>
              </w:rPr>
            </w:pPr>
            <w:r>
              <w:rPr>
                <w:rFonts w:ascii="Times New Roman" w:hAnsi="Times New Roman" w:cs="Times New Roman"/>
                <w:b/>
                <w:bCs/>
                <w:sz w:val="21"/>
                <w:szCs w:val="21"/>
              </w:rPr>
              <w:t>99.14</w:t>
            </w:r>
          </w:p>
        </w:tc>
        <w:tc>
          <w:tcPr>
            <w:tcW w:w="68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E3E0314" w14:textId="77777777" w:rsidR="00C02929" w:rsidRDefault="006116D1">
            <w:pPr>
              <w:jc w:val="right"/>
              <w:rPr>
                <w:rFonts w:ascii="Times New Roman" w:hAnsi="Times New Roman" w:cs="Times New Roman"/>
                <w:b/>
                <w:sz w:val="21"/>
                <w:szCs w:val="21"/>
              </w:rPr>
            </w:pPr>
            <w:r>
              <w:rPr>
                <w:rFonts w:ascii="Times New Roman" w:hAnsi="Times New Roman" w:cs="Times New Roman"/>
                <w:b/>
                <w:sz w:val="21"/>
                <w:szCs w:val="21"/>
              </w:rPr>
              <w:t>33,979.70</w:t>
            </w:r>
          </w:p>
        </w:tc>
        <w:tc>
          <w:tcPr>
            <w:tcW w:w="68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C08EEC2" w14:textId="77777777" w:rsidR="00C02929" w:rsidRDefault="006116D1">
            <w:pPr>
              <w:jc w:val="right"/>
              <w:rPr>
                <w:rFonts w:ascii="Times New Roman" w:hAnsi="Times New Roman" w:cs="Times New Roman"/>
                <w:b/>
                <w:sz w:val="21"/>
                <w:szCs w:val="21"/>
              </w:rPr>
            </w:pPr>
            <w:r>
              <w:rPr>
                <w:rFonts w:ascii="Times New Roman" w:hAnsi="Times New Roman" w:cs="Times New Roman"/>
                <w:b/>
                <w:sz w:val="21"/>
                <w:szCs w:val="21"/>
              </w:rPr>
              <w:t>284.66</w:t>
            </w:r>
          </w:p>
        </w:tc>
        <w:tc>
          <w:tcPr>
            <w:tcW w:w="681" w:type="pct"/>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DBC4FCF" w14:textId="77777777" w:rsidR="00C02929" w:rsidRDefault="006116D1">
            <w:pPr>
              <w:jc w:val="right"/>
              <w:rPr>
                <w:rFonts w:ascii="Times New Roman" w:hAnsi="Times New Roman" w:cs="Times New Roman"/>
                <w:b/>
                <w:sz w:val="21"/>
                <w:szCs w:val="21"/>
              </w:rPr>
            </w:pPr>
            <w:r>
              <w:rPr>
                <w:rFonts w:ascii="Times New Roman" w:hAnsi="Times New Roman" w:cs="Times New Roman"/>
                <w:b/>
                <w:sz w:val="21"/>
                <w:szCs w:val="21"/>
              </w:rPr>
              <w:t>23,145.63</w:t>
            </w:r>
          </w:p>
        </w:tc>
        <w:tc>
          <w:tcPr>
            <w:tcW w:w="676" w:type="pct"/>
            <w:tcBorders>
              <w:top w:val="single" w:sz="4" w:space="0" w:color="auto"/>
              <w:left w:val="single" w:sz="4" w:space="0" w:color="auto"/>
              <w:bottom w:val="single" w:sz="12" w:space="0" w:color="auto"/>
              <w:right w:val="nil"/>
            </w:tcBorders>
            <w:tcMar>
              <w:top w:w="0" w:type="dxa"/>
              <w:left w:w="28" w:type="dxa"/>
              <w:bottom w:w="0" w:type="dxa"/>
              <w:right w:w="28" w:type="dxa"/>
            </w:tcMar>
            <w:vAlign w:val="center"/>
          </w:tcPr>
          <w:p w14:paraId="7C4E8F0A" w14:textId="77777777" w:rsidR="00C02929" w:rsidRDefault="006116D1">
            <w:pPr>
              <w:jc w:val="right"/>
              <w:rPr>
                <w:rFonts w:ascii="Times New Roman" w:hAnsi="Times New Roman" w:cs="Times New Roman"/>
                <w:b/>
                <w:sz w:val="21"/>
                <w:szCs w:val="21"/>
              </w:rPr>
            </w:pPr>
            <w:r>
              <w:rPr>
                <w:rFonts w:ascii="Times New Roman" w:hAnsi="Times New Roman" w:cs="Times New Roman"/>
                <w:b/>
                <w:sz w:val="21"/>
                <w:szCs w:val="21"/>
              </w:rPr>
              <w:t>193.89</w:t>
            </w:r>
          </w:p>
        </w:tc>
      </w:tr>
    </w:tbl>
    <w:p w14:paraId="5DCC0D3F"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上述内容已在草案“第十一节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同业竞争和关联交易”之“二、本次交易对关联交易的影响”之“（二）标的公司报告期内关联交易情况”中更新披露。</w:t>
      </w:r>
    </w:p>
    <w:p w14:paraId="78251D7F"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三、好品海智向标的资产销售机器人及相关配套服务的情形</w:t>
      </w:r>
    </w:p>
    <w:p w14:paraId="42E99BC1" w14:textId="77777777"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标的资产就川崎机器人等产品可以较青岛好品海智信息技术有限公司获得更优惠的采购价格，因此存在标的公司向好品海智销售机器人及相关配套服务的情形。如</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30</w:t>
      </w:r>
      <w:r>
        <w:rPr>
          <w:rFonts w:ascii="Times New Roman" w:hAnsi="Times New Roman" w:cs="Times New Roman" w:hint="eastAsia"/>
          <w:bCs/>
          <w:color w:val="000000"/>
          <w:szCs w:val="21"/>
        </w:rPr>
        <w:t>日和</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22</w:t>
      </w:r>
      <w:r>
        <w:rPr>
          <w:rFonts w:ascii="Times New Roman" w:hAnsi="Times New Roman" w:cs="Times New Roman" w:hint="eastAsia"/>
          <w:bCs/>
          <w:color w:val="000000"/>
          <w:szCs w:val="21"/>
        </w:rPr>
        <w:t>日，好品海智分别从北洋天青采购各型号川崎机器人</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台和</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台。</w:t>
      </w:r>
    </w:p>
    <w:p w14:paraId="17091674" w14:textId="77777777" w:rsidR="00C02929" w:rsidRDefault="006116D1">
      <w:pPr>
        <w:suppressAutoHyphens/>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rPr>
        <w:lastRenderedPageBreak/>
        <w:t>以上内容已于重组报告书“第四节</w:t>
      </w:r>
      <w:r>
        <w:rPr>
          <w:rFonts w:ascii="Times New Roman" w:hAnsi="Times New Roman" w:cs="Times New Roman"/>
          <w:bCs/>
        </w:rPr>
        <w:t xml:space="preserve"> </w:t>
      </w:r>
      <w:r>
        <w:rPr>
          <w:rFonts w:ascii="Times New Roman" w:hAnsi="Times New Roman" w:cs="Times New Roman"/>
          <w:bCs/>
        </w:rPr>
        <w:t>交易标的基本情况</w:t>
      </w:r>
      <w:r>
        <w:rPr>
          <w:rFonts w:ascii="Times New Roman" w:hAnsi="Times New Roman" w:cs="Times New Roman" w:hint="eastAsia"/>
          <w:bCs/>
        </w:rPr>
        <w:t>”之“五、主营业务发展情况”之“（十）标的公司与海尔集团公司销售及采购情况”中补充披露。</w:t>
      </w:r>
    </w:p>
    <w:p w14:paraId="52AF23BA" w14:textId="77777777" w:rsidR="00C02929" w:rsidRDefault="006116D1">
      <w:pPr>
        <w:spacing w:beforeLines="50" w:before="156" w:line="360" w:lineRule="auto"/>
        <w:ind w:firstLineChars="200" w:firstLine="482"/>
        <w:jc w:val="both"/>
        <w:outlineLvl w:val="2"/>
        <w:rPr>
          <w:rFonts w:ascii="Times New Roman" w:hAnsi="Times New Roman" w:cs="Times New Roman"/>
          <w:b/>
          <w:bCs/>
          <w:color w:val="000000"/>
          <w:kern w:val="1"/>
        </w:rPr>
      </w:pPr>
      <w:r>
        <w:rPr>
          <w:rFonts w:ascii="Times New Roman" w:hAnsi="Times New Roman" w:cs="Times New Roman" w:hint="eastAsia"/>
          <w:b/>
          <w:bCs/>
          <w:color w:val="000000"/>
          <w:kern w:val="1"/>
        </w:rPr>
        <w:t>四、已删除相关风险提示</w:t>
      </w:r>
    </w:p>
    <w:p w14:paraId="23FA6A44" w14:textId="749317CD" w:rsidR="00C02929" w:rsidRDefault="006116D1">
      <w:pPr>
        <w:spacing w:beforeLines="50" w:before="156" w:line="360" w:lineRule="auto"/>
        <w:ind w:firstLineChars="200" w:firstLine="480"/>
        <w:jc w:val="both"/>
        <w:rPr>
          <w:rFonts w:ascii="Times New Roman" w:hAnsi="Times New Roman" w:cs="Times New Roman"/>
          <w:bCs/>
          <w:color w:val="000000"/>
          <w:szCs w:val="21"/>
        </w:rPr>
      </w:pPr>
      <w:r>
        <w:rPr>
          <w:rFonts w:ascii="Times New Roman" w:hAnsi="Times New Roman" w:cs="Times New Roman" w:hint="eastAsia"/>
          <w:bCs/>
          <w:color w:val="000000"/>
          <w:szCs w:val="21"/>
        </w:rPr>
        <w:t>上市公司</w:t>
      </w:r>
      <w:r>
        <w:rPr>
          <w:rFonts w:ascii="Times New Roman" w:hAnsi="Times New Roman" w:cs="Times New Roman" w:hint="eastAsia"/>
          <w:bCs/>
          <w:color w:val="000000"/>
          <w:szCs w:val="21"/>
        </w:rPr>
        <w:t>4</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日公告《关于公司</w:t>
      </w:r>
      <w:r>
        <w:rPr>
          <w:rFonts w:ascii="Times New Roman" w:hAnsi="Times New Roman" w:cs="Times New Roman" w:hint="eastAsia"/>
          <w:bCs/>
          <w:color w:val="000000"/>
          <w:szCs w:val="21"/>
        </w:rPr>
        <w:t>A</w:t>
      </w:r>
      <w:r>
        <w:rPr>
          <w:rFonts w:ascii="Times New Roman" w:hAnsi="Times New Roman" w:cs="Times New Roman" w:hint="eastAsia"/>
          <w:bCs/>
          <w:color w:val="000000"/>
          <w:szCs w:val="21"/>
        </w:rPr>
        <w:t>股股票撤销退市风险警示暨停牌的公告》，上市公司股票已被撤销退市风险警示。根据上交所</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12</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31</w:t>
      </w:r>
      <w:r>
        <w:rPr>
          <w:rFonts w:ascii="Times New Roman" w:hAnsi="Times New Roman" w:cs="Times New Roman" w:hint="eastAsia"/>
          <w:bCs/>
          <w:color w:val="000000"/>
          <w:szCs w:val="21"/>
        </w:rPr>
        <w:t>日发布的《上海证券交易所股票上市规则（</w:t>
      </w:r>
      <w:r>
        <w:rPr>
          <w:rFonts w:ascii="Times New Roman" w:hAnsi="Times New Roman" w:cs="Times New Roman" w:hint="eastAsia"/>
          <w:bCs/>
          <w:color w:val="000000"/>
          <w:szCs w:val="21"/>
        </w:rPr>
        <w:t>2020</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12</w:t>
      </w:r>
      <w:r>
        <w:rPr>
          <w:rFonts w:ascii="Times New Roman" w:hAnsi="Times New Roman" w:cs="Times New Roman" w:hint="eastAsia"/>
          <w:bCs/>
          <w:color w:val="000000"/>
          <w:szCs w:val="21"/>
        </w:rPr>
        <w:t>月修订）》和于</w:t>
      </w:r>
      <w:r>
        <w:rPr>
          <w:rFonts w:ascii="Times New Roman" w:hAnsi="Times New Roman" w:cs="Times New Roman" w:hint="eastAsia"/>
          <w:bCs/>
          <w:color w:val="000000"/>
          <w:szCs w:val="21"/>
        </w:rPr>
        <w:t>2021</w:t>
      </w:r>
      <w:r>
        <w:rPr>
          <w:rFonts w:ascii="Times New Roman" w:hAnsi="Times New Roman" w:cs="Times New Roman" w:hint="eastAsia"/>
          <w:bCs/>
          <w:color w:val="000000"/>
          <w:szCs w:val="21"/>
        </w:rPr>
        <w:t>年</w:t>
      </w: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月</w:t>
      </w:r>
      <w:r>
        <w:rPr>
          <w:rFonts w:ascii="Times New Roman" w:hAnsi="Times New Roman" w:cs="Times New Roman" w:hint="eastAsia"/>
          <w:bCs/>
          <w:color w:val="000000"/>
          <w:szCs w:val="21"/>
        </w:rPr>
        <w:t>19</w:t>
      </w:r>
      <w:r>
        <w:rPr>
          <w:rFonts w:ascii="Times New Roman" w:hAnsi="Times New Roman" w:cs="Times New Roman" w:hint="eastAsia"/>
          <w:bCs/>
          <w:color w:val="000000"/>
          <w:szCs w:val="21"/>
        </w:rPr>
        <w:t>日发布《上海证券交易所主板股票上市和终止上市审核实施细则》，已删除重组报告书“第十二节</w:t>
      </w:r>
      <w:r>
        <w:rPr>
          <w:rFonts w:ascii="Times New Roman" w:hAnsi="Times New Roman" w:cs="Times New Roman"/>
          <w:bCs/>
          <w:color w:val="000000"/>
          <w:szCs w:val="21"/>
        </w:rPr>
        <w:t xml:space="preserve"> </w:t>
      </w:r>
      <w:r>
        <w:rPr>
          <w:rFonts w:ascii="Times New Roman" w:hAnsi="Times New Roman" w:cs="Times New Roman" w:hint="eastAsia"/>
          <w:bCs/>
          <w:color w:val="000000"/>
          <w:szCs w:val="21"/>
        </w:rPr>
        <w:t>风险因素”之“一、与本次交易相关的风险”之“（五）上市公司暂停上市的风险”。</w:t>
      </w:r>
    </w:p>
    <w:p w14:paraId="58CB886B" w14:textId="77777777" w:rsidR="00C02929" w:rsidRDefault="00C02929">
      <w:pPr>
        <w:pStyle w:val="affffd"/>
        <w:spacing w:before="156"/>
        <w:ind w:firstLineChars="0" w:firstLine="0"/>
      </w:pPr>
    </w:p>
    <w:p w14:paraId="133D6949" w14:textId="77777777" w:rsidR="00C02929" w:rsidRDefault="00C02929">
      <w:pPr>
        <w:pStyle w:val="affffd"/>
        <w:spacing w:before="156"/>
        <w:ind w:firstLine="480"/>
        <w:sectPr w:rsidR="00C02929">
          <w:pgSz w:w="11906" w:h="16838"/>
          <w:pgMar w:top="1440" w:right="1800" w:bottom="1440" w:left="1800" w:header="851" w:footer="992" w:gutter="0"/>
          <w:cols w:space="720"/>
          <w:docGrid w:type="lines" w:linePitch="312"/>
        </w:sectPr>
      </w:pPr>
    </w:p>
    <w:p w14:paraId="35FCC506" w14:textId="58B666F0" w:rsidR="00C02929" w:rsidRDefault="006116D1">
      <w:pPr>
        <w:pStyle w:val="affffd"/>
        <w:spacing w:before="156" w:afterLines="50" w:after="156"/>
        <w:ind w:firstLineChars="0" w:firstLine="0"/>
        <w:rPr>
          <w:bCs/>
          <w:lang w:val="en-GB"/>
        </w:rPr>
      </w:pPr>
      <w:r>
        <w:rPr>
          <w:rFonts w:hint="eastAsia"/>
          <w:bCs/>
          <w:lang w:val="en-GB"/>
        </w:rPr>
        <w:lastRenderedPageBreak/>
        <w:t>（此页无正文，为《中信建投证券股份有限公司关于北京京城机电股份有限公司发行股份及支付现金购买资产并募集配套资金一次反馈意见回复之专项核查意见》之签章页）</w:t>
      </w:r>
    </w:p>
    <w:p w14:paraId="3D1F572A" w14:textId="633FF0E9" w:rsidR="00C02929" w:rsidRPr="00D13E2A" w:rsidRDefault="00C02929">
      <w:pPr>
        <w:pStyle w:val="affffd"/>
        <w:spacing w:before="156" w:afterLines="50" w:after="156"/>
        <w:ind w:firstLineChars="0" w:firstLine="0"/>
        <w:rPr>
          <w:bCs/>
          <w:lang w:val="en-GB"/>
        </w:rPr>
      </w:pPr>
    </w:p>
    <w:p w14:paraId="765FB3E1" w14:textId="77777777" w:rsidR="00C02929" w:rsidRDefault="00C02929">
      <w:pPr>
        <w:pStyle w:val="affffd"/>
        <w:spacing w:before="156" w:afterLines="50" w:after="156"/>
        <w:ind w:firstLineChars="0" w:firstLine="0"/>
        <w:rPr>
          <w:bCs/>
          <w:lang w:val="en-GB"/>
        </w:rPr>
      </w:pPr>
    </w:p>
    <w:tbl>
      <w:tblPr>
        <w:tblW w:w="8755" w:type="dxa"/>
        <w:tblLook w:val="04A0" w:firstRow="1" w:lastRow="0" w:firstColumn="1" w:lastColumn="0" w:noHBand="0" w:noVBand="1"/>
      </w:tblPr>
      <w:tblGrid>
        <w:gridCol w:w="3227"/>
        <w:gridCol w:w="2835"/>
        <w:gridCol w:w="2693"/>
      </w:tblGrid>
      <w:tr w:rsidR="00C02929" w14:paraId="68477ADA" w14:textId="77777777">
        <w:tc>
          <w:tcPr>
            <w:tcW w:w="3227" w:type="dxa"/>
            <w:vAlign w:val="bottom"/>
          </w:tcPr>
          <w:p w14:paraId="5084C5D5" w14:textId="77777777" w:rsidR="00C02929" w:rsidRDefault="006116D1">
            <w:pPr>
              <w:spacing w:afterLines="50" w:after="156" w:line="360" w:lineRule="auto"/>
              <w:rPr>
                <w:rFonts w:ascii="Times New Roman" w:hAnsi="Times New Roman"/>
                <w:color w:val="000000"/>
                <w:szCs w:val="22"/>
              </w:rPr>
            </w:pPr>
            <w:r>
              <w:rPr>
                <w:rFonts w:ascii="Times New Roman" w:hAnsi="Times New Roman" w:hint="eastAsia"/>
                <w:color w:val="000000"/>
                <w:szCs w:val="22"/>
              </w:rPr>
              <w:t>独立财务顾问主办人：</w:t>
            </w:r>
          </w:p>
        </w:tc>
        <w:tc>
          <w:tcPr>
            <w:tcW w:w="2835" w:type="dxa"/>
          </w:tcPr>
          <w:p w14:paraId="10A66967" w14:textId="77777777" w:rsidR="00C02929" w:rsidRDefault="006116D1">
            <w:pPr>
              <w:spacing w:afterLines="50" w:after="156" w:line="360" w:lineRule="auto"/>
              <w:rPr>
                <w:rFonts w:ascii="Times New Roman" w:hAnsi="Times New Roman"/>
                <w:color w:val="000000"/>
                <w:szCs w:val="22"/>
              </w:rPr>
            </w:pPr>
            <w:r>
              <w:rPr>
                <w:rFonts w:ascii="Times New Roman" w:hAnsi="Times New Roman"/>
                <w:color w:val="000000"/>
                <w:szCs w:val="22"/>
                <w:u w:val="single"/>
              </w:rPr>
              <w:t xml:space="preserve">               </w:t>
            </w:r>
          </w:p>
        </w:tc>
        <w:tc>
          <w:tcPr>
            <w:tcW w:w="2693" w:type="dxa"/>
          </w:tcPr>
          <w:p w14:paraId="5B2652E8" w14:textId="77777777" w:rsidR="00C02929" w:rsidRDefault="006116D1">
            <w:pPr>
              <w:spacing w:afterLines="50" w:after="156" w:line="360" w:lineRule="auto"/>
              <w:rPr>
                <w:rFonts w:ascii="Times New Roman" w:hAnsi="Times New Roman"/>
                <w:color w:val="000000"/>
                <w:szCs w:val="22"/>
              </w:rPr>
            </w:pPr>
            <w:r>
              <w:rPr>
                <w:rFonts w:ascii="Times New Roman" w:hAnsi="Times New Roman"/>
                <w:color w:val="000000"/>
                <w:szCs w:val="22"/>
                <w:u w:val="single"/>
              </w:rPr>
              <w:t xml:space="preserve">               </w:t>
            </w:r>
          </w:p>
        </w:tc>
      </w:tr>
      <w:tr w:rsidR="00C02929" w14:paraId="71F71B41" w14:textId="77777777">
        <w:tc>
          <w:tcPr>
            <w:tcW w:w="3227" w:type="dxa"/>
          </w:tcPr>
          <w:p w14:paraId="1940DE9B" w14:textId="77777777" w:rsidR="00C02929" w:rsidRDefault="00C02929">
            <w:pPr>
              <w:spacing w:afterLines="50" w:after="156" w:line="360" w:lineRule="auto"/>
              <w:rPr>
                <w:rFonts w:ascii="Times New Roman" w:hAnsi="Times New Roman"/>
                <w:color w:val="000000"/>
                <w:szCs w:val="22"/>
              </w:rPr>
            </w:pPr>
          </w:p>
        </w:tc>
        <w:tc>
          <w:tcPr>
            <w:tcW w:w="2835" w:type="dxa"/>
          </w:tcPr>
          <w:p w14:paraId="68A898E1" w14:textId="77777777" w:rsidR="00C02929" w:rsidRDefault="006116D1">
            <w:pPr>
              <w:spacing w:afterLines="50" w:after="156" w:line="360" w:lineRule="auto"/>
              <w:ind w:firstLineChars="200" w:firstLine="480"/>
              <w:rPr>
                <w:rFonts w:ascii="Times New Roman" w:hAnsi="Times New Roman"/>
                <w:color w:val="000000"/>
                <w:szCs w:val="22"/>
              </w:rPr>
            </w:pPr>
            <w:r>
              <w:rPr>
                <w:rFonts w:ascii="Times New Roman" w:hAnsi="Times New Roman" w:hint="eastAsia"/>
                <w:color w:val="000000"/>
                <w:szCs w:val="22"/>
              </w:rPr>
              <w:t>侯</w:t>
            </w:r>
            <w:r>
              <w:rPr>
                <w:rFonts w:ascii="Times New Roman" w:hAnsi="Times New Roman" w:hint="eastAsia"/>
                <w:color w:val="000000"/>
                <w:szCs w:val="22"/>
              </w:rPr>
              <w:t xml:space="preserve"> </w:t>
            </w:r>
            <w:r>
              <w:rPr>
                <w:rFonts w:ascii="Times New Roman" w:hAnsi="Times New Roman"/>
                <w:color w:val="000000"/>
                <w:szCs w:val="22"/>
              </w:rPr>
              <w:t xml:space="preserve"> </w:t>
            </w:r>
            <w:r>
              <w:rPr>
                <w:rFonts w:ascii="Times New Roman" w:hAnsi="Times New Roman" w:hint="eastAsia"/>
                <w:color w:val="000000"/>
                <w:szCs w:val="22"/>
              </w:rPr>
              <w:t>顺</w:t>
            </w:r>
          </w:p>
        </w:tc>
        <w:tc>
          <w:tcPr>
            <w:tcW w:w="2693" w:type="dxa"/>
          </w:tcPr>
          <w:p w14:paraId="26FDCEE6" w14:textId="77777777" w:rsidR="00C02929" w:rsidRDefault="006116D1">
            <w:pPr>
              <w:spacing w:afterLines="50" w:after="156" w:line="360" w:lineRule="auto"/>
              <w:ind w:firstLineChars="200" w:firstLine="480"/>
              <w:rPr>
                <w:rFonts w:ascii="Times New Roman" w:hAnsi="Times New Roman"/>
                <w:color w:val="000000"/>
                <w:szCs w:val="22"/>
              </w:rPr>
            </w:pPr>
            <w:r>
              <w:rPr>
                <w:rFonts w:ascii="Times New Roman" w:hAnsi="Times New Roman" w:hint="eastAsia"/>
                <w:color w:val="000000"/>
                <w:szCs w:val="22"/>
              </w:rPr>
              <w:t>顾京洪</w:t>
            </w:r>
          </w:p>
        </w:tc>
      </w:tr>
    </w:tbl>
    <w:p w14:paraId="2FDD7451" w14:textId="77777777" w:rsidR="00C02929" w:rsidRDefault="00C02929">
      <w:pPr>
        <w:spacing w:afterLines="50" w:after="156" w:line="360" w:lineRule="auto"/>
        <w:rPr>
          <w:rFonts w:ascii="Times New Roman" w:hAnsi="Times New Roman"/>
          <w:color w:val="000000"/>
          <w:szCs w:val="22"/>
        </w:rPr>
      </w:pPr>
    </w:p>
    <w:p w14:paraId="5DC409E3" w14:textId="77777777" w:rsidR="00C02929" w:rsidRDefault="00C02929">
      <w:pPr>
        <w:spacing w:afterLines="50" w:after="156" w:line="360" w:lineRule="auto"/>
        <w:rPr>
          <w:rFonts w:ascii="Times New Roman" w:hAnsi="Times New Roman"/>
          <w:color w:val="000000"/>
          <w:szCs w:val="22"/>
        </w:rPr>
      </w:pPr>
    </w:p>
    <w:tbl>
      <w:tblPr>
        <w:tblW w:w="0" w:type="auto"/>
        <w:tblLook w:val="04A0" w:firstRow="1" w:lastRow="0" w:firstColumn="1" w:lastColumn="0" w:noHBand="0" w:noVBand="1"/>
      </w:tblPr>
      <w:tblGrid>
        <w:gridCol w:w="3227"/>
        <w:gridCol w:w="2835"/>
      </w:tblGrid>
      <w:tr w:rsidR="00C02929" w14:paraId="7B0942A9" w14:textId="77777777">
        <w:tc>
          <w:tcPr>
            <w:tcW w:w="3227" w:type="dxa"/>
            <w:vAlign w:val="bottom"/>
          </w:tcPr>
          <w:p w14:paraId="44BC27BA" w14:textId="77777777" w:rsidR="00C02929" w:rsidRDefault="006116D1">
            <w:pPr>
              <w:spacing w:afterLines="50" w:after="156" w:line="360" w:lineRule="auto"/>
              <w:rPr>
                <w:rFonts w:ascii="Times New Roman" w:hAnsi="Times New Roman"/>
                <w:color w:val="000000"/>
                <w:szCs w:val="22"/>
              </w:rPr>
            </w:pPr>
            <w:r>
              <w:rPr>
                <w:rFonts w:ascii="Times New Roman" w:hAnsi="Times New Roman" w:hint="eastAsia"/>
                <w:color w:val="000000"/>
                <w:szCs w:val="22"/>
              </w:rPr>
              <w:t>法定代表人或授权代表：</w:t>
            </w:r>
          </w:p>
        </w:tc>
        <w:tc>
          <w:tcPr>
            <w:tcW w:w="2835" w:type="dxa"/>
          </w:tcPr>
          <w:p w14:paraId="014CD162" w14:textId="77777777" w:rsidR="00C02929" w:rsidRDefault="006116D1">
            <w:pPr>
              <w:spacing w:afterLines="50" w:after="156" w:line="360" w:lineRule="auto"/>
              <w:rPr>
                <w:rFonts w:ascii="Times New Roman" w:hAnsi="Times New Roman"/>
                <w:color w:val="000000"/>
                <w:szCs w:val="22"/>
              </w:rPr>
            </w:pPr>
            <w:r>
              <w:rPr>
                <w:rFonts w:ascii="Times New Roman" w:hAnsi="Times New Roman"/>
                <w:color w:val="000000"/>
                <w:szCs w:val="22"/>
                <w:u w:val="single"/>
              </w:rPr>
              <w:t xml:space="preserve">               </w:t>
            </w:r>
          </w:p>
        </w:tc>
      </w:tr>
      <w:tr w:rsidR="00C02929" w14:paraId="27C8E3A7" w14:textId="77777777">
        <w:tc>
          <w:tcPr>
            <w:tcW w:w="3227" w:type="dxa"/>
          </w:tcPr>
          <w:p w14:paraId="2D4F5817" w14:textId="77777777" w:rsidR="00C02929" w:rsidRDefault="00C02929">
            <w:pPr>
              <w:spacing w:afterLines="50" w:after="156" w:line="360" w:lineRule="auto"/>
              <w:rPr>
                <w:rFonts w:ascii="Times New Roman" w:hAnsi="Times New Roman"/>
                <w:color w:val="000000"/>
                <w:szCs w:val="22"/>
              </w:rPr>
            </w:pPr>
          </w:p>
        </w:tc>
        <w:tc>
          <w:tcPr>
            <w:tcW w:w="2835" w:type="dxa"/>
          </w:tcPr>
          <w:p w14:paraId="57F331C3" w14:textId="77777777" w:rsidR="00C02929" w:rsidRDefault="006116D1">
            <w:pPr>
              <w:spacing w:afterLines="50" w:after="156" w:line="360" w:lineRule="auto"/>
              <w:ind w:firstLineChars="200" w:firstLine="480"/>
              <w:rPr>
                <w:rFonts w:ascii="Times New Roman" w:hAnsi="Times New Roman"/>
                <w:color w:val="000000"/>
                <w:szCs w:val="22"/>
              </w:rPr>
            </w:pPr>
            <w:r>
              <w:rPr>
                <w:rFonts w:ascii="Times New Roman" w:hAnsi="Times New Roman" w:hint="eastAsia"/>
                <w:color w:val="000000"/>
                <w:szCs w:val="22"/>
              </w:rPr>
              <w:t>刘乃生</w:t>
            </w:r>
          </w:p>
        </w:tc>
      </w:tr>
    </w:tbl>
    <w:p w14:paraId="60D24107" w14:textId="77777777" w:rsidR="00C02929" w:rsidRDefault="00C02929">
      <w:pPr>
        <w:pStyle w:val="affffd"/>
        <w:spacing w:before="156" w:afterLines="50" w:after="156"/>
        <w:ind w:firstLineChars="0" w:firstLine="0"/>
        <w:jc w:val="right"/>
        <w:rPr>
          <w:bCs/>
          <w:lang w:val="en-GB"/>
        </w:rPr>
      </w:pPr>
    </w:p>
    <w:p w14:paraId="7D158EB1" w14:textId="77777777" w:rsidR="00C02929" w:rsidRDefault="00C02929">
      <w:pPr>
        <w:pStyle w:val="affffd"/>
        <w:spacing w:before="156" w:afterLines="50" w:after="156"/>
        <w:ind w:firstLineChars="0" w:firstLine="0"/>
        <w:jc w:val="right"/>
        <w:rPr>
          <w:bCs/>
          <w:lang w:val="en-GB"/>
        </w:rPr>
      </w:pPr>
    </w:p>
    <w:p w14:paraId="3F1024BF" w14:textId="77777777" w:rsidR="00C02929" w:rsidRDefault="00C02929">
      <w:pPr>
        <w:pStyle w:val="affffd"/>
        <w:spacing w:before="156" w:afterLines="50" w:after="156"/>
        <w:ind w:firstLineChars="0" w:firstLine="0"/>
        <w:jc w:val="right"/>
        <w:rPr>
          <w:bCs/>
          <w:lang w:val="en-GB"/>
        </w:rPr>
      </w:pPr>
    </w:p>
    <w:p w14:paraId="695E8462" w14:textId="77777777" w:rsidR="00C02929" w:rsidRDefault="006116D1">
      <w:pPr>
        <w:pStyle w:val="affffd"/>
        <w:spacing w:before="156" w:afterLines="50" w:after="156"/>
        <w:ind w:firstLineChars="0" w:firstLine="0"/>
        <w:jc w:val="right"/>
        <w:rPr>
          <w:bCs/>
          <w:lang w:val="en-GB"/>
        </w:rPr>
      </w:pPr>
      <w:r>
        <w:rPr>
          <w:rFonts w:hint="eastAsia"/>
          <w:bCs/>
          <w:lang w:val="en-GB"/>
        </w:rPr>
        <w:t>中信建投证券股份有限公司</w:t>
      </w:r>
    </w:p>
    <w:p w14:paraId="6A098B00" w14:textId="77777777" w:rsidR="00C02929" w:rsidRDefault="00C02929">
      <w:pPr>
        <w:pStyle w:val="affffd"/>
        <w:spacing w:before="156" w:afterLines="50" w:after="156"/>
        <w:ind w:firstLineChars="0" w:firstLine="0"/>
        <w:jc w:val="right"/>
        <w:rPr>
          <w:bCs/>
          <w:lang w:val="en-GB"/>
        </w:rPr>
      </w:pPr>
    </w:p>
    <w:p w14:paraId="0B267251" w14:textId="77777777" w:rsidR="00C02929" w:rsidRDefault="006116D1">
      <w:pPr>
        <w:pStyle w:val="affffd"/>
        <w:spacing w:before="156" w:afterLines="50" w:after="156"/>
        <w:ind w:firstLineChars="0" w:firstLine="0"/>
        <w:jc w:val="right"/>
        <w:rPr>
          <w:bCs/>
          <w:lang w:val="en-GB"/>
        </w:rPr>
      </w:pPr>
      <w:r>
        <w:rPr>
          <w:rFonts w:hint="eastAsia"/>
          <w:bCs/>
          <w:lang w:val="en-GB"/>
        </w:rPr>
        <w:t>年</w:t>
      </w:r>
      <w:r>
        <w:rPr>
          <w:bCs/>
          <w:lang w:val="en-GB"/>
        </w:rPr>
        <w:t xml:space="preserve">     </w:t>
      </w:r>
      <w:r>
        <w:rPr>
          <w:rFonts w:hint="eastAsia"/>
          <w:bCs/>
          <w:lang w:val="en-GB"/>
        </w:rPr>
        <w:t>月</w:t>
      </w:r>
      <w:r>
        <w:rPr>
          <w:bCs/>
          <w:lang w:val="en-GB"/>
        </w:rPr>
        <w:t xml:space="preserve">     </w:t>
      </w:r>
      <w:r>
        <w:rPr>
          <w:rFonts w:hint="eastAsia"/>
          <w:bCs/>
          <w:lang w:val="en-GB"/>
        </w:rPr>
        <w:t>日</w:t>
      </w:r>
    </w:p>
    <w:sectPr w:rsidR="00C029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B4630" w14:textId="77777777" w:rsidR="00CD5E41" w:rsidRDefault="00CD5E41">
      <w:r>
        <w:separator/>
      </w:r>
    </w:p>
  </w:endnote>
  <w:endnote w:type="continuationSeparator" w:id="0">
    <w:p w14:paraId="0B5A0E1B" w14:textId="77777777" w:rsidR="00CD5E41" w:rsidRDefault="00CD5E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2">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仿宋_GB2312">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昆仑楷体">
    <w:altName w:val="黑体"/>
    <w:charset w:val="86"/>
    <w:family w:val="modern"/>
    <w:pitch w:val="default"/>
    <w:sig w:usb0="00000000" w:usb1="00000000" w:usb2="00000010" w:usb3="00000000" w:csb0="00040000" w:csb1="00000000"/>
  </w:font>
  <w:font w:name="Sim Sun">
    <w:altName w:val="微软雅黑"/>
    <w:charset w:val="00"/>
    <w:family w:val="roman"/>
    <w:pitch w:val="default"/>
  </w:font>
  <w:font w:name="幼圆">
    <w:charset w:val="86"/>
    <w:family w:val="modern"/>
    <w:pitch w:val="fixed"/>
    <w:sig w:usb0="00000001" w:usb1="080E0000" w:usb2="00000010" w:usb3="00000000" w:csb0="00040000" w:csb1="00000000"/>
  </w:font>
  <w:font w:name="华文中宋">
    <w:charset w:val="86"/>
    <w:family w:val="auto"/>
    <w:pitch w:val="variable"/>
    <w:sig w:usb0="00000287" w:usb1="080F0000" w:usb2="00000010" w:usb3="00000000" w:csb0="0004009F" w:csb1="00000000"/>
  </w:font>
  <w:font w:name="Arial Unicode MS">
    <w:panose1 w:val="020B0604020202020204"/>
    <w:charset w:val="86"/>
    <w:family w:val="roman"/>
    <w:pitch w:val="default"/>
    <w:sig w:usb0="FFFFFFFF" w:usb1="E9FFFFFF" w:usb2="0000003F" w:usb3="00000000" w:csb0="603F01FF" w:csb1="FFFF0000"/>
  </w:font>
  <w:font w:name="方正仿宋简体">
    <w:altName w:val="Arial Unicode MS"/>
    <w:charset w:val="86"/>
    <w:family w:val="roman"/>
    <w:pitch w:val="default"/>
  </w:font>
  <w:font w:name="Garamond">
    <w:charset w:val="00"/>
    <w:family w:val="roman"/>
    <w:pitch w:val="variable"/>
    <w:sig w:usb0="00000287" w:usb1="00000000" w:usb2="00000000" w:usb3="00000000" w:csb0="0000009F" w:csb1="00000000"/>
  </w:font>
  <w:font w:name="MS Sans Serif">
    <w:altName w:val="Arial"/>
    <w:charset w:val="00"/>
    <w:family w:val="roman"/>
    <w:pitch w:val="default"/>
  </w:font>
  <w:font w:name="文鼎小标宋简">
    <w:altName w:val="宋体"/>
    <w:charset w:val="86"/>
    <w:family w:val="roman"/>
    <w:pitch w:val="default"/>
  </w:font>
  <w:font w:name="UBSHeadline">
    <w:altName w:val="Times New Roman"/>
    <w:charset w:val="00"/>
    <w:family w:val="roman"/>
    <w:pitch w:val="default"/>
    <w:sig w:usb0="00000000" w:usb1="00000000" w:usb2="00000000" w:usb3="00000000" w:csb0="0000009F" w:csb1="00000000"/>
  </w:font>
  <w:font w:name="华文楷体">
    <w:charset w:val="86"/>
    <w:family w:val="auto"/>
    <w:pitch w:val="variable"/>
    <w:sig w:usb0="00000287" w:usb1="080F0000" w:usb2="00000010" w:usb3="00000000" w:csb0="0004009F" w:csb1="00000000"/>
  </w:font>
  <w:font w:name="Angsana New">
    <w:panose1 w:val="02020603050405020304"/>
    <w:charset w:val="DE"/>
    <w:family w:val="roman"/>
    <w:pitch w:val="variable"/>
    <w:sig w:usb0="81000003" w:usb1="00000000" w:usb2="00000000" w:usb3="00000000" w:csb0="00010001" w:csb1="00000000"/>
  </w:font>
  <w:font w:name="ˎ̥">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
    <w:altName w:val="等线"/>
    <w:charset w:val="00"/>
    <w:family w:val="auto"/>
    <w:pitch w:val="default"/>
    <w:sig w:usb0="00000000" w:usb1="00000000" w:usb2="00000000" w:usb3="00000000" w:csb0="00040001" w:csb1="00000000"/>
  </w:font>
  <w:font w:name="Times">
    <w:panose1 w:val="02020603050405020304"/>
    <w:charset w:val="00"/>
    <w:family w:val="roman"/>
    <w:pitch w:val="variable"/>
    <w:sig w:usb0="E0002EFF" w:usb1="C000785B" w:usb2="00000009" w:usb3="00000000" w:csb0="000001FF" w:csb1="00000000"/>
  </w:font>
  <w:font w:name="华文仿宋">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pitch w:val="default"/>
    <w:sig w:usb0="00000000"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ZShuSong-Z01">
    <w:altName w:val="宋体"/>
    <w:charset w:val="00"/>
    <w:family w:val="roman"/>
    <w:pitch w:val="default"/>
  </w:font>
  <w:font w:name="Lucida Grande">
    <w:altName w:val="Courier New"/>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1"/>
        <w:szCs w:val="21"/>
      </w:rPr>
      <w:id w:val="838197876"/>
      <w:docPartObj>
        <w:docPartGallery w:val="Page Numbers (Bottom of Page)"/>
        <w:docPartUnique/>
      </w:docPartObj>
    </w:sdtPr>
    <w:sdtEndPr/>
    <w:sdtContent>
      <w:p w14:paraId="1662DEF1" w14:textId="25369A2A" w:rsidR="00B675A2" w:rsidRPr="00D13E2A" w:rsidRDefault="00B675A2">
        <w:pPr>
          <w:pStyle w:val="aff8"/>
          <w:jc w:val="center"/>
          <w:rPr>
            <w:rFonts w:ascii="Times New Roman" w:hAnsi="Times New Roman" w:cs="Times New Roman"/>
            <w:sz w:val="21"/>
            <w:szCs w:val="21"/>
          </w:rPr>
        </w:pPr>
        <w:r w:rsidRPr="00D13E2A">
          <w:rPr>
            <w:rFonts w:ascii="Times New Roman" w:hAnsi="Times New Roman" w:cs="Times New Roman"/>
            <w:sz w:val="21"/>
            <w:szCs w:val="21"/>
          </w:rPr>
          <w:t>1-2-</w:t>
        </w:r>
        <w:r w:rsidRPr="00D13E2A">
          <w:rPr>
            <w:rFonts w:ascii="Times New Roman" w:hAnsi="Times New Roman" w:cs="Times New Roman"/>
            <w:sz w:val="21"/>
            <w:szCs w:val="21"/>
          </w:rPr>
          <w:fldChar w:fldCharType="begin"/>
        </w:r>
        <w:r w:rsidRPr="00D13E2A">
          <w:rPr>
            <w:rFonts w:ascii="Times New Roman" w:hAnsi="Times New Roman" w:cs="Times New Roman"/>
            <w:sz w:val="21"/>
            <w:szCs w:val="21"/>
          </w:rPr>
          <w:instrText>PAGE   \* MERGEFORMAT</w:instrText>
        </w:r>
        <w:r w:rsidRPr="00D13E2A">
          <w:rPr>
            <w:rFonts w:ascii="Times New Roman" w:hAnsi="Times New Roman" w:cs="Times New Roman"/>
            <w:sz w:val="21"/>
            <w:szCs w:val="21"/>
          </w:rPr>
          <w:fldChar w:fldCharType="separate"/>
        </w:r>
        <w:r w:rsidRPr="00D13E2A">
          <w:rPr>
            <w:rFonts w:ascii="Times New Roman" w:hAnsi="Times New Roman" w:cs="Times New Roman"/>
            <w:noProof/>
            <w:sz w:val="21"/>
            <w:szCs w:val="21"/>
            <w:lang w:val="zh-CN"/>
          </w:rPr>
          <w:t>4</w:t>
        </w:r>
        <w:r w:rsidRPr="00D13E2A">
          <w:rPr>
            <w:rFonts w:ascii="Times New Roman" w:hAnsi="Times New Roman" w:cs="Times New Roman"/>
            <w:sz w:val="21"/>
            <w:szCs w:val="21"/>
          </w:rPr>
          <w:fldChar w:fldCharType="end"/>
        </w:r>
      </w:p>
    </w:sdtContent>
  </w:sdt>
  <w:p w14:paraId="16C9183F" w14:textId="77777777" w:rsidR="00B675A2" w:rsidRPr="00D13E2A" w:rsidRDefault="00B675A2" w:rsidP="00D13E2A">
    <w:pPr>
      <w:pStyle w:val="aff8"/>
      <w:rPr>
        <w:rFonts w:ascii="Times New Roman" w:hAnsi="Times New Roman" w:cs="Times New Roman"/>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E4BD3" w14:textId="77777777" w:rsidR="00CD5E41" w:rsidRDefault="00CD5E41">
      <w:r>
        <w:separator/>
      </w:r>
    </w:p>
  </w:footnote>
  <w:footnote w:type="continuationSeparator" w:id="0">
    <w:p w14:paraId="101C0E43" w14:textId="77777777" w:rsidR="00CD5E41" w:rsidRDefault="00CD5E41">
      <w:r>
        <w:continuationSeparator/>
      </w:r>
    </w:p>
  </w:footnote>
  <w:footnote w:id="1">
    <w:p w14:paraId="07E3A630" w14:textId="77777777" w:rsidR="00B675A2" w:rsidRDefault="00B675A2">
      <w:pPr>
        <w:pStyle w:val="afff3"/>
        <w:rPr>
          <w:rFonts w:eastAsia="宋体"/>
        </w:rPr>
      </w:pPr>
      <w:r>
        <w:rPr>
          <w:rStyle w:val="affffc"/>
          <w:rFonts w:eastAsia="宋体"/>
        </w:rPr>
        <w:footnoteRef/>
      </w:r>
      <w:r>
        <w:rPr>
          <w:rFonts w:eastAsia="宋体" w:hint="eastAsia"/>
        </w:rPr>
        <w:t>上市公司</w:t>
      </w:r>
      <w:r>
        <w:rPr>
          <w:rFonts w:eastAsia="宋体"/>
        </w:rPr>
        <w:t>2021</w:t>
      </w:r>
      <w:r>
        <w:rPr>
          <w:rFonts w:eastAsia="宋体" w:hint="eastAsia"/>
        </w:rPr>
        <w:t>年营运资金需求量计算公式为：</w:t>
      </w:r>
      <w:r>
        <w:rPr>
          <w:rFonts w:eastAsia="宋体"/>
        </w:rPr>
        <w:t>2020</w:t>
      </w:r>
      <w:r>
        <w:rPr>
          <w:rFonts w:eastAsia="宋体" w:hint="eastAsia"/>
        </w:rPr>
        <w:t>年度销售收入</w:t>
      </w:r>
      <w:r>
        <w:rPr>
          <w:rFonts w:eastAsia="宋体"/>
        </w:rPr>
        <w:t>*</w:t>
      </w:r>
      <w:r>
        <w:rPr>
          <w:rFonts w:eastAsia="宋体" w:hint="eastAsia"/>
        </w:rPr>
        <w:t>（</w:t>
      </w:r>
      <w:r>
        <w:rPr>
          <w:rFonts w:eastAsia="宋体"/>
        </w:rPr>
        <w:t>1-2020</w:t>
      </w:r>
      <w:r>
        <w:rPr>
          <w:rFonts w:eastAsia="宋体" w:hint="eastAsia"/>
        </w:rPr>
        <w:t>年度销售利润率）</w:t>
      </w:r>
      <w:r>
        <w:rPr>
          <w:rFonts w:eastAsia="宋体"/>
        </w:rPr>
        <w:t>*</w:t>
      </w:r>
      <w:r>
        <w:rPr>
          <w:rFonts w:eastAsia="宋体" w:hint="eastAsia"/>
        </w:rPr>
        <w:t>预计销售收入年增长率（结合上市公司历史情况，取值为</w:t>
      </w:r>
      <w:r>
        <w:rPr>
          <w:rFonts w:eastAsia="宋体"/>
        </w:rPr>
        <w:t>5%</w:t>
      </w:r>
      <w:r>
        <w:rPr>
          <w:rFonts w:eastAsia="宋体" w:hint="eastAsia"/>
        </w:rPr>
        <w:t>计算）</w:t>
      </w:r>
      <w:r>
        <w:rPr>
          <w:rFonts w:eastAsia="宋体"/>
        </w:rPr>
        <w:t>/2020</w:t>
      </w:r>
      <w:r>
        <w:rPr>
          <w:rFonts w:eastAsia="宋体" w:hint="eastAsia"/>
        </w:rPr>
        <w:t>年营运资金周转次数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1F41" w14:textId="77777777" w:rsidR="00B675A2" w:rsidRDefault="00B675A2">
    <w:pPr>
      <w:pStyle w:val="affb"/>
      <w:pBdr>
        <w:bottom w:val="none" w:sz="0" w:space="0" w:color="auto"/>
      </w:pBdr>
      <w:jc w:val="left"/>
      <w:rPr>
        <w:rFonts w:ascii="宋体" w:eastAsia="宋体" w:hAnsi="宋体"/>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3"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4"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5"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6" w15:restartNumberingAfterBreak="0">
    <w:nsid w:val="FFFFFF83"/>
    <w:multiLevelType w:val="singleLevel"/>
    <w:tmpl w:val="FFFFFF83"/>
    <w:lvl w:ilvl="0">
      <w:start w:val="1"/>
      <w:numFmt w:val="bullet"/>
      <w:pStyle w:val="2"/>
      <w:lvlText w:val=""/>
      <w:lvlJc w:val="left"/>
      <w:pPr>
        <w:tabs>
          <w:tab w:val="left" w:pos="567"/>
        </w:tabs>
        <w:ind w:left="851" w:hanging="284"/>
      </w:pPr>
      <w:rPr>
        <w:rFonts w:ascii="Symbol" w:hAnsi="Symbol" w:hint="default"/>
      </w:rPr>
    </w:lvl>
  </w:abstractNum>
  <w:abstractNum w:abstractNumId="7" w15:restartNumberingAfterBreak="0">
    <w:nsid w:val="00000004"/>
    <w:multiLevelType w:val="multilevel"/>
    <w:tmpl w:val="00000004"/>
    <w:lvl w:ilvl="0">
      <w:start w:val="1"/>
      <w:numFmt w:val="decimal"/>
      <w:pStyle w:val="1-1"/>
      <w:suff w:val="space"/>
      <w:lvlText w:val="%1、"/>
      <w:lvlJc w:val="left"/>
      <w:pPr>
        <w:ind w:left="360" w:hanging="360"/>
      </w:pPr>
    </w:lvl>
    <w:lvl w:ilvl="1">
      <w:start w:val="1"/>
      <w:numFmt w:val="decimal"/>
      <w:pStyle w:val="a1"/>
      <w:isLgl/>
      <w:suff w:val="space"/>
      <w:lvlText w:val="%1.%2、"/>
      <w:lvlJc w:val="left"/>
      <w:pPr>
        <w:ind w:left="360" w:hanging="360"/>
      </w:pPr>
      <w:rPr>
        <w:rFonts w:cs="Times New Roman" w:hint="eastAsia"/>
        <w:i w:val="0"/>
        <w:iCs w:val="0"/>
        <w:caps w:val="0"/>
        <w:smallCaps w:val="0"/>
        <w:vanish w:val="0"/>
        <w:color w:val="000000"/>
        <w:spacing w:val="0"/>
        <w:position w:val="0"/>
        <w:u w:val="none"/>
        <w:vertAlign w:val="baseline"/>
      </w:rPr>
    </w:lvl>
    <w:lvl w:ilvl="2">
      <w:start w:val="1"/>
      <w:numFmt w:val="decimal"/>
      <w:pStyle w:val="zhengwen1"/>
      <w:suff w:val="space"/>
      <w:lvlText w:val="%1.%2.%3、"/>
      <w:lvlJc w:val="left"/>
      <w:pPr>
        <w:ind w:left="0" w:firstLine="0"/>
      </w:pPr>
      <w:rPr>
        <w:rFonts w:cs="Times New Roman" w:hint="default"/>
        <w:i w:val="0"/>
        <w:iCs w:val="0"/>
        <w:caps w:val="0"/>
        <w:smallCaps w:val="0"/>
        <w:vanish w:val="0"/>
        <w:color w:val="000000"/>
        <w:spacing w:val="0"/>
        <w:position w:val="0"/>
        <w:u w:val="none"/>
        <w:vertAlign w:val="baseline"/>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8E2797C"/>
    <w:multiLevelType w:val="multilevel"/>
    <w:tmpl w:val="08E2797C"/>
    <w:lvl w:ilvl="0">
      <w:start w:val="1"/>
      <w:numFmt w:val="decimal"/>
      <w:pStyle w:val="KWListNumber"/>
      <w:lvlText w:val="%1"/>
      <w:lvlJc w:val="left"/>
      <w:pPr>
        <w:tabs>
          <w:tab w:val="left" w:pos="1134"/>
        </w:tabs>
        <w:ind w:left="1134" w:hanging="567"/>
      </w:pPr>
      <w:rPr>
        <w:rFonts w:ascii="Arial" w:eastAsia="楷体_GB2312" w:hAnsi="Arial" w:hint="default"/>
        <w:sz w:val="20"/>
      </w:rPr>
    </w:lvl>
    <w:lvl w:ilvl="1">
      <w:start w:val="1"/>
      <w:numFmt w:val="lowerLetter"/>
      <w:lvlText w:val="%2)"/>
      <w:lvlJc w:val="left"/>
      <w:pPr>
        <w:tabs>
          <w:tab w:val="left" w:pos="1701"/>
        </w:tabs>
        <w:ind w:left="1701" w:hanging="567"/>
      </w:pPr>
      <w:rPr>
        <w:rFonts w:ascii="Arial" w:hAnsi="Arial" w:hint="default"/>
        <w:sz w:val="16"/>
      </w:rPr>
    </w:lvl>
    <w:lvl w:ilvl="2">
      <w:start w:val="1"/>
      <w:numFmt w:val="lowerRoman"/>
      <w:lvlText w:val="%3."/>
      <w:lvlJc w:val="left"/>
      <w:pPr>
        <w:tabs>
          <w:tab w:val="left" w:pos="2268"/>
        </w:tabs>
        <w:ind w:left="2268" w:hanging="567"/>
      </w:pPr>
      <w:rPr>
        <w:rFonts w:ascii="Arial" w:hAnsi="Arial" w:hint="default"/>
        <w:sz w:val="16"/>
      </w:rPr>
    </w:lvl>
    <w:lvl w:ilvl="3">
      <w:start w:val="1"/>
      <w:numFmt w:val="none"/>
      <w:lvlText w:val=""/>
      <w:lvlJc w:val="left"/>
      <w:pPr>
        <w:tabs>
          <w:tab w:val="left" w:pos="2268"/>
        </w:tabs>
        <w:ind w:left="2268" w:hanging="567"/>
      </w:pPr>
      <w:rPr>
        <w:rFonts w:hint="eastAsia"/>
      </w:rPr>
    </w:lvl>
    <w:lvl w:ilvl="4">
      <w:start w:val="1"/>
      <w:numFmt w:val="none"/>
      <w:lvlText w:val=""/>
      <w:lvlJc w:val="left"/>
      <w:pPr>
        <w:tabs>
          <w:tab w:val="left" w:pos="2268"/>
        </w:tabs>
        <w:ind w:left="2268" w:hanging="567"/>
      </w:pPr>
      <w:rPr>
        <w:rFonts w:hint="eastAsia"/>
      </w:rPr>
    </w:lvl>
    <w:lvl w:ilvl="5">
      <w:start w:val="1"/>
      <w:numFmt w:val="none"/>
      <w:lvlText w:val=""/>
      <w:lvlJc w:val="left"/>
      <w:pPr>
        <w:tabs>
          <w:tab w:val="left" w:pos="2268"/>
        </w:tabs>
        <w:ind w:left="2268" w:hanging="567"/>
      </w:pPr>
      <w:rPr>
        <w:rFonts w:hint="eastAsia"/>
      </w:rPr>
    </w:lvl>
    <w:lvl w:ilvl="6">
      <w:start w:val="1"/>
      <w:numFmt w:val="none"/>
      <w:lvlText w:val=""/>
      <w:lvlJc w:val="left"/>
      <w:pPr>
        <w:tabs>
          <w:tab w:val="left" w:pos="2268"/>
        </w:tabs>
        <w:ind w:left="2268" w:hanging="567"/>
      </w:pPr>
      <w:rPr>
        <w:rFonts w:hint="eastAsia"/>
      </w:rPr>
    </w:lvl>
    <w:lvl w:ilvl="7">
      <w:start w:val="1"/>
      <w:numFmt w:val="none"/>
      <w:lvlText w:val=""/>
      <w:lvlJc w:val="left"/>
      <w:pPr>
        <w:tabs>
          <w:tab w:val="left" w:pos="2268"/>
        </w:tabs>
        <w:ind w:left="2268" w:hanging="567"/>
      </w:pPr>
      <w:rPr>
        <w:rFonts w:hint="eastAsia"/>
      </w:rPr>
    </w:lvl>
    <w:lvl w:ilvl="8">
      <w:start w:val="1"/>
      <w:numFmt w:val="none"/>
      <w:lvlText w:val=""/>
      <w:lvlJc w:val="left"/>
      <w:pPr>
        <w:tabs>
          <w:tab w:val="left" w:pos="2268"/>
        </w:tabs>
        <w:ind w:left="2268" w:hanging="567"/>
      </w:pPr>
      <w:rPr>
        <w:rFonts w:hint="eastAsia"/>
      </w:rPr>
    </w:lvl>
  </w:abstractNum>
  <w:abstractNum w:abstractNumId="9" w15:restartNumberingAfterBreak="0">
    <w:nsid w:val="26066388"/>
    <w:multiLevelType w:val="multilevel"/>
    <w:tmpl w:val="26066388"/>
    <w:lvl w:ilvl="0">
      <w:start w:val="1"/>
      <w:numFmt w:val="decimal"/>
      <w:pStyle w:val="Schedule1"/>
      <w:lvlText w:val="%1"/>
      <w:lvlJc w:val="left"/>
      <w:pPr>
        <w:tabs>
          <w:tab w:val="left" w:pos="851"/>
        </w:tabs>
        <w:ind w:left="0" w:firstLine="0"/>
      </w:pPr>
      <w:rPr>
        <w:b/>
        <w:i w:val="0"/>
        <w:sz w:val="24"/>
        <w:szCs w:val="24"/>
      </w:rPr>
    </w:lvl>
    <w:lvl w:ilvl="1">
      <w:start w:val="1"/>
      <w:numFmt w:val="decimal"/>
      <w:pStyle w:val="Schedule2"/>
      <w:isLgl/>
      <w:lvlText w:val="3.%2"/>
      <w:lvlJc w:val="left"/>
      <w:pPr>
        <w:tabs>
          <w:tab w:val="left" w:pos="1457"/>
        </w:tabs>
        <w:ind w:left="-131" w:firstLine="851"/>
      </w:pPr>
      <w:rPr>
        <w:rFonts w:ascii="Times New Roman" w:eastAsia="宋体" w:hAnsi="Times New Roman" w:cs="Times New Roman" w:hint="default"/>
        <w:b w:val="0"/>
        <w:i w:val="0"/>
        <w:sz w:val="24"/>
        <w:szCs w:val="24"/>
      </w:rPr>
    </w:lvl>
    <w:lvl w:ilvl="2">
      <w:start w:val="1"/>
      <w:numFmt w:val="lowerLetter"/>
      <w:pStyle w:val="Schedule3"/>
      <w:lvlText w:val="%3）"/>
      <w:lvlJc w:val="left"/>
      <w:pPr>
        <w:tabs>
          <w:tab w:val="left" w:pos="1157"/>
        </w:tabs>
        <w:ind w:left="-261" w:firstLine="1701"/>
      </w:pPr>
      <w:rPr>
        <w:b w:val="0"/>
        <w:i w:val="0"/>
        <w:sz w:val="24"/>
        <w:szCs w:val="24"/>
      </w:rPr>
    </w:lvl>
    <w:lvl w:ilvl="3">
      <w:start w:val="1"/>
      <w:numFmt w:val="lowerRoman"/>
      <w:pStyle w:val="Schedule4"/>
      <w:lvlText w:val="(%4)"/>
      <w:lvlJc w:val="left"/>
      <w:pPr>
        <w:tabs>
          <w:tab w:val="left" w:pos="2721"/>
        </w:tabs>
        <w:ind w:left="2721" w:hanging="680"/>
      </w:pPr>
    </w:lvl>
    <w:lvl w:ilvl="4">
      <w:start w:val="1"/>
      <w:numFmt w:val="lowerLetter"/>
      <w:pStyle w:val="Schedule5"/>
      <w:lvlText w:val="(%5)"/>
      <w:lvlJc w:val="left"/>
      <w:pPr>
        <w:tabs>
          <w:tab w:val="left" w:pos="3288"/>
        </w:tabs>
        <w:ind w:left="3288" w:hanging="567"/>
      </w:pPr>
    </w:lvl>
    <w:lvl w:ilvl="5">
      <w:start w:val="1"/>
      <w:numFmt w:val="upperRoman"/>
      <w:pStyle w:val="Schedule6"/>
      <w:lvlText w:val="(%6)"/>
      <w:lvlJc w:val="left"/>
      <w:pPr>
        <w:tabs>
          <w:tab w:val="left" w:pos="3969"/>
        </w:tabs>
        <w:ind w:left="3969" w:hanging="681"/>
      </w:pPr>
    </w:lvl>
    <w:lvl w:ilvl="6">
      <w:start w:val="1"/>
      <w:numFmt w:val="none"/>
      <w:lvlText w:val=""/>
      <w:lvlJc w:val="left"/>
      <w:pPr>
        <w:tabs>
          <w:tab w:val="left" w:pos="3969"/>
        </w:tabs>
        <w:ind w:left="3969" w:hanging="680"/>
      </w:pPr>
    </w:lvl>
    <w:lvl w:ilvl="7">
      <w:start w:val="1"/>
      <w:numFmt w:val="none"/>
      <w:lvlText w:val=""/>
      <w:lvlJc w:val="left"/>
      <w:pPr>
        <w:tabs>
          <w:tab w:val="left" w:pos="3969"/>
        </w:tabs>
        <w:ind w:left="3969" w:hanging="680"/>
      </w:pPr>
    </w:lvl>
    <w:lvl w:ilvl="8">
      <w:start w:val="1"/>
      <w:numFmt w:val="none"/>
      <w:lvlText w:val=""/>
      <w:lvlJc w:val="left"/>
      <w:pPr>
        <w:tabs>
          <w:tab w:val="left" w:pos="3969"/>
        </w:tabs>
        <w:ind w:left="3969" w:hanging="680"/>
      </w:pPr>
    </w:lvl>
  </w:abstractNum>
  <w:abstractNum w:abstractNumId="10" w15:restartNumberingAfterBreak="0">
    <w:nsid w:val="2F9A7347"/>
    <w:multiLevelType w:val="multilevel"/>
    <w:tmpl w:val="2F9A7347"/>
    <w:lvl w:ilvl="0">
      <w:start w:val="1"/>
      <w:numFmt w:val="decimal"/>
      <w:pStyle w:val="a"/>
      <w:lvlText w:val="%1"/>
      <w:lvlJc w:val="left"/>
      <w:pPr>
        <w:tabs>
          <w:tab w:val="left" w:pos="567"/>
        </w:tabs>
        <w:ind w:left="567" w:hanging="567"/>
      </w:pPr>
      <w:rPr>
        <w:rFonts w:hint="default"/>
      </w:rPr>
    </w:lvl>
    <w:lvl w:ilvl="1">
      <w:start w:val="1"/>
      <w:numFmt w:val="lowerLetter"/>
      <w:lvlText w:val="(%2)"/>
      <w:lvlJc w:val="left"/>
      <w:pPr>
        <w:tabs>
          <w:tab w:val="left" w:pos="1134"/>
        </w:tabs>
        <w:ind w:left="1134" w:hanging="567"/>
      </w:pPr>
      <w:rPr>
        <w:rFonts w:hint="default"/>
      </w:rPr>
    </w:lvl>
    <w:lvl w:ilvl="2">
      <w:start w:val="1"/>
      <w:numFmt w:val="none"/>
      <w:lvlText w:val="%3"/>
      <w:lvlJc w:val="left"/>
      <w:pPr>
        <w:tabs>
          <w:tab w:val="left" w:pos="1701"/>
        </w:tabs>
        <w:ind w:left="1701" w:hanging="567"/>
      </w:pPr>
      <w:rPr>
        <w:rFonts w:hint="default"/>
      </w:rPr>
    </w:lvl>
    <w:lvl w:ilvl="3">
      <w:start w:val="1"/>
      <w:numFmt w:val="none"/>
      <w:lvlText w:val=""/>
      <w:lvlJc w:val="left"/>
      <w:pPr>
        <w:tabs>
          <w:tab w:val="left" w:pos="2268"/>
        </w:tabs>
        <w:ind w:left="2268" w:hanging="567"/>
      </w:pPr>
      <w:rPr>
        <w:rFonts w:hint="default"/>
      </w:rPr>
    </w:lvl>
    <w:lvl w:ilvl="4">
      <w:start w:val="1"/>
      <w:numFmt w:val="none"/>
      <w:lvlText w:val=""/>
      <w:lvlJc w:val="left"/>
      <w:pPr>
        <w:tabs>
          <w:tab w:val="left" w:pos="2835"/>
        </w:tabs>
        <w:ind w:left="2835" w:hanging="567"/>
      </w:pPr>
      <w:rPr>
        <w:rFonts w:hint="default"/>
      </w:rPr>
    </w:lvl>
    <w:lvl w:ilvl="5">
      <w:start w:val="1"/>
      <w:numFmt w:val="none"/>
      <w:lvlText w:val=""/>
      <w:lvlJc w:val="left"/>
      <w:pPr>
        <w:tabs>
          <w:tab w:val="left" w:pos="3402"/>
        </w:tabs>
        <w:ind w:left="3402" w:hanging="567"/>
      </w:pPr>
      <w:rPr>
        <w:rFonts w:hint="default"/>
      </w:rPr>
    </w:lvl>
    <w:lvl w:ilvl="6">
      <w:start w:val="1"/>
      <w:numFmt w:val="none"/>
      <w:lvlText w:val="%7"/>
      <w:lvlJc w:val="left"/>
      <w:pPr>
        <w:tabs>
          <w:tab w:val="left" w:pos="3969"/>
        </w:tabs>
        <w:ind w:left="3969" w:hanging="567"/>
      </w:pPr>
      <w:rPr>
        <w:rFonts w:hint="default"/>
      </w:rPr>
    </w:lvl>
    <w:lvl w:ilvl="7">
      <w:start w:val="1"/>
      <w:numFmt w:val="none"/>
      <w:lvlText w:val="%8"/>
      <w:lvlJc w:val="left"/>
      <w:pPr>
        <w:tabs>
          <w:tab w:val="left" w:pos="4896"/>
        </w:tabs>
        <w:ind w:left="4896" w:hanging="567"/>
      </w:pPr>
      <w:rPr>
        <w:rFonts w:hint="default"/>
      </w:rPr>
    </w:lvl>
    <w:lvl w:ilvl="8">
      <w:start w:val="1"/>
      <w:numFmt w:val="none"/>
      <w:lvlText w:val="%9"/>
      <w:lvlJc w:val="left"/>
      <w:pPr>
        <w:tabs>
          <w:tab w:val="left" w:pos="4536"/>
        </w:tabs>
        <w:ind w:left="4536" w:hanging="567"/>
      </w:pPr>
      <w:rPr>
        <w:rFonts w:hint="default"/>
      </w:rPr>
    </w:lvl>
  </w:abstractNum>
  <w:abstractNum w:abstractNumId="11" w15:restartNumberingAfterBreak="0">
    <w:nsid w:val="475B3203"/>
    <w:multiLevelType w:val="multilevel"/>
    <w:tmpl w:val="475B3203"/>
    <w:lvl w:ilvl="0">
      <w:start w:val="1"/>
      <w:numFmt w:val="none"/>
      <w:pStyle w:val="AODocTxt"/>
      <w:suff w:val="nothing"/>
      <w:lvlText w:val=""/>
      <w:lvlJc w:val="left"/>
      <w:pPr>
        <w:ind w:left="0" w:firstLine="0"/>
      </w:pPr>
    </w:lvl>
    <w:lvl w:ilvl="1">
      <w:start w:val="1"/>
      <w:numFmt w:val="none"/>
      <w:pStyle w:val="AODocTxtL1CharChar"/>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2" w15:restartNumberingAfterBreak="0">
    <w:nsid w:val="482E533D"/>
    <w:multiLevelType w:val="multilevel"/>
    <w:tmpl w:val="482E533D"/>
    <w:lvl w:ilvl="0">
      <w:start w:val="1"/>
      <w:numFmt w:val="bullet"/>
      <w:pStyle w:val="KWListBullet"/>
      <w:lvlText w:val=""/>
      <w:lvlJc w:val="left"/>
      <w:pPr>
        <w:tabs>
          <w:tab w:val="left" w:pos="1134"/>
        </w:tabs>
        <w:ind w:left="1134" w:hanging="567"/>
      </w:pPr>
      <w:rPr>
        <w:rFonts w:ascii="Wingdings 2" w:hAnsi="Wingdings 2" w:hint="default"/>
      </w:rPr>
    </w:lvl>
    <w:lvl w:ilvl="1">
      <w:start w:val="1"/>
      <w:numFmt w:val="bullet"/>
      <w:lvlText w:val=""/>
      <w:lvlJc w:val="left"/>
      <w:pPr>
        <w:tabs>
          <w:tab w:val="left" w:pos="1701"/>
        </w:tabs>
        <w:ind w:left="1701" w:hanging="567"/>
      </w:pPr>
      <w:rPr>
        <w:rFonts w:ascii="Symbol" w:hAnsi="Symbol" w:hint="default"/>
      </w:rPr>
    </w:lvl>
    <w:lvl w:ilvl="2">
      <w:start w:val="1"/>
      <w:numFmt w:val="none"/>
      <w:lvlText w:val=""/>
      <w:lvlJc w:val="left"/>
      <w:pPr>
        <w:tabs>
          <w:tab w:val="left" w:pos="2268"/>
        </w:tabs>
        <w:ind w:left="2268" w:hanging="567"/>
      </w:pPr>
      <w:rPr>
        <w:rFonts w:hint="eastAsia"/>
      </w:rPr>
    </w:lvl>
    <w:lvl w:ilvl="3">
      <w:start w:val="1"/>
      <w:numFmt w:val="none"/>
      <w:lvlText w:val=""/>
      <w:lvlJc w:val="left"/>
      <w:pPr>
        <w:tabs>
          <w:tab w:val="left" w:pos="2268"/>
        </w:tabs>
        <w:ind w:left="2268" w:hanging="567"/>
      </w:pPr>
      <w:rPr>
        <w:rFonts w:hint="eastAsia"/>
      </w:rPr>
    </w:lvl>
    <w:lvl w:ilvl="4">
      <w:start w:val="1"/>
      <w:numFmt w:val="none"/>
      <w:lvlText w:val=""/>
      <w:lvlJc w:val="left"/>
      <w:pPr>
        <w:tabs>
          <w:tab w:val="left" w:pos="2268"/>
        </w:tabs>
        <w:ind w:left="2268" w:hanging="567"/>
      </w:pPr>
      <w:rPr>
        <w:rFonts w:hint="eastAsia"/>
      </w:rPr>
    </w:lvl>
    <w:lvl w:ilvl="5">
      <w:start w:val="1"/>
      <w:numFmt w:val="none"/>
      <w:lvlText w:val=""/>
      <w:lvlJc w:val="left"/>
      <w:pPr>
        <w:tabs>
          <w:tab w:val="left" w:pos="2268"/>
        </w:tabs>
        <w:ind w:left="2268" w:hanging="567"/>
      </w:pPr>
      <w:rPr>
        <w:rFonts w:hint="eastAsia"/>
      </w:rPr>
    </w:lvl>
    <w:lvl w:ilvl="6">
      <w:start w:val="1"/>
      <w:numFmt w:val="none"/>
      <w:lvlText w:val=""/>
      <w:lvlJc w:val="left"/>
      <w:pPr>
        <w:tabs>
          <w:tab w:val="left" w:pos="2268"/>
        </w:tabs>
        <w:ind w:left="2268" w:hanging="567"/>
      </w:pPr>
      <w:rPr>
        <w:rFonts w:hint="eastAsia"/>
      </w:rPr>
    </w:lvl>
    <w:lvl w:ilvl="7">
      <w:start w:val="1"/>
      <w:numFmt w:val="none"/>
      <w:lvlText w:val=""/>
      <w:lvlJc w:val="left"/>
      <w:pPr>
        <w:tabs>
          <w:tab w:val="left" w:pos="2268"/>
        </w:tabs>
        <w:ind w:left="2268" w:hanging="567"/>
      </w:pPr>
      <w:rPr>
        <w:rFonts w:hint="eastAsia"/>
      </w:rPr>
    </w:lvl>
    <w:lvl w:ilvl="8">
      <w:start w:val="1"/>
      <w:numFmt w:val="none"/>
      <w:lvlText w:val=""/>
      <w:lvlJc w:val="left"/>
      <w:pPr>
        <w:tabs>
          <w:tab w:val="left" w:pos="2268"/>
        </w:tabs>
        <w:ind w:left="2268" w:hanging="567"/>
      </w:pPr>
      <w:rPr>
        <w:rFonts w:hint="eastAsia"/>
      </w:rPr>
    </w:lvl>
  </w:abstractNum>
  <w:num w:numId="1">
    <w:abstractNumId w:val="4"/>
  </w:num>
  <w:num w:numId="2">
    <w:abstractNumId w:val="10"/>
  </w:num>
  <w:num w:numId="3">
    <w:abstractNumId w:val="5"/>
  </w:num>
  <w:num w:numId="4">
    <w:abstractNumId w:val="2"/>
  </w:num>
  <w:num w:numId="5">
    <w:abstractNumId w:val="6"/>
  </w:num>
  <w:num w:numId="6">
    <w:abstractNumId w:val="3"/>
  </w:num>
  <w:num w:numId="7">
    <w:abstractNumId w:val="1"/>
  </w:num>
  <w:num w:numId="8">
    <w:abstractNumId w:val="0"/>
  </w:num>
  <w:num w:numId="9">
    <w:abstractNumId w:val="11"/>
  </w:num>
  <w:num w:numId="10">
    <w:abstractNumId w:val="7"/>
  </w:num>
  <w:num w:numId="11">
    <w:abstractNumId w:val="12"/>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documentProtection w:edit="readOnly" w:enforcement="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53F7"/>
    <w:rsid w:val="00020BA9"/>
    <w:rsid w:val="00021201"/>
    <w:rsid w:val="000263F6"/>
    <w:rsid w:val="000300D4"/>
    <w:rsid w:val="00030525"/>
    <w:rsid w:val="0005644C"/>
    <w:rsid w:val="00057047"/>
    <w:rsid w:val="00077A43"/>
    <w:rsid w:val="00081DE1"/>
    <w:rsid w:val="00082AEB"/>
    <w:rsid w:val="0008382C"/>
    <w:rsid w:val="000B2A5F"/>
    <w:rsid w:val="000B46E7"/>
    <w:rsid w:val="000C0441"/>
    <w:rsid w:val="000C50C1"/>
    <w:rsid w:val="000D2542"/>
    <w:rsid w:val="000F2FD7"/>
    <w:rsid w:val="000F5467"/>
    <w:rsid w:val="00111492"/>
    <w:rsid w:val="00137A2B"/>
    <w:rsid w:val="001413C3"/>
    <w:rsid w:val="00142D91"/>
    <w:rsid w:val="00151592"/>
    <w:rsid w:val="00162283"/>
    <w:rsid w:val="0016456E"/>
    <w:rsid w:val="00164D9A"/>
    <w:rsid w:val="00167858"/>
    <w:rsid w:val="00174CA2"/>
    <w:rsid w:val="00181C82"/>
    <w:rsid w:val="00195B97"/>
    <w:rsid w:val="001B3DB4"/>
    <w:rsid w:val="001F159D"/>
    <w:rsid w:val="001F3E46"/>
    <w:rsid w:val="002006A0"/>
    <w:rsid w:val="002006E1"/>
    <w:rsid w:val="00201C96"/>
    <w:rsid w:val="0020675B"/>
    <w:rsid w:val="0021228E"/>
    <w:rsid w:val="00214376"/>
    <w:rsid w:val="00217ADC"/>
    <w:rsid w:val="002218CB"/>
    <w:rsid w:val="002270B0"/>
    <w:rsid w:val="00230885"/>
    <w:rsid w:val="00237406"/>
    <w:rsid w:val="002461F6"/>
    <w:rsid w:val="00256207"/>
    <w:rsid w:val="00261493"/>
    <w:rsid w:val="00263FF1"/>
    <w:rsid w:val="00272F20"/>
    <w:rsid w:val="00280B1F"/>
    <w:rsid w:val="002839BD"/>
    <w:rsid w:val="00287E08"/>
    <w:rsid w:val="00292F40"/>
    <w:rsid w:val="002949AF"/>
    <w:rsid w:val="002A06BE"/>
    <w:rsid w:val="002A330D"/>
    <w:rsid w:val="002A3C21"/>
    <w:rsid w:val="002B5389"/>
    <w:rsid w:val="002C376D"/>
    <w:rsid w:val="002C3BD0"/>
    <w:rsid w:val="002D0D95"/>
    <w:rsid w:val="002D464D"/>
    <w:rsid w:val="002D4945"/>
    <w:rsid w:val="002D51C0"/>
    <w:rsid w:val="002F1958"/>
    <w:rsid w:val="002F5413"/>
    <w:rsid w:val="002F77B5"/>
    <w:rsid w:val="002F7A7A"/>
    <w:rsid w:val="0030335A"/>
    <w:rsid w:val="00313909"/>
    <w:rsid w:val="0031633A"/>
    <w:rsid w:val="00346A0C"/>
    <w:rsid w:val="00352A74"/>
    <w:rsid w:val="00354711"/>
    <w:rsid w:val="00356291"/>
    <w:rsid w:val="003613E3"/>
    <w:rsid w:val="0036622E"/>
    <w:rsid w:val="003701CE"/>
    <w:rsid w:val="00372DC9"/>
    <w:rsid w:val="0037414F"/>
    <w:rsid w:val="003820E2"/>
    <w:rsid w:val="003A2AC1"/>
    <w:rsid w:val="003B058D"/>
    <w:rsid w:val="003B24B9"/>
    <w:rsid w:val="003B3FA1"/>
    <w:rsid w:val="003B48D4"/>
    <w:rsid w:val="003B5527"/>
    <w:rsid w:val="003C7766"/>
    <w:rsid w:val="003D3D43"/>
    <w:rsid w:val="003E0E49"/>
    <w:rsid w:val="0040301F"/>
    <w:rsid w:val="00403479"/>
    <w:rsid w:val="0040478C"/>
    <w:rsid w:val="00404851"/>
    <w:rsid w:val="004172FF"/>
    <w:rsid w:val="00437D56"/>
    <w:rsid w:val="0044601B"/>
    <w:rsid w:val="0044608E"/>
    <w:rsid w:val="00450307"/>
    <w:rsid w:val="00453FFF"/>
    <w:rsid w:val="0045437B"/>
    <w:rsid w:val="004553F7"/>
    <w:rsid w:val="00463501"/>
    <w:rsid w:val="00466A81"/>
    <w:rsid w:val="0047554D"/>
    <w:rsid w:val="00475EFB"/>
    <w:rsid w:val="004961FB"/>
    <w:rsid w:val="00496CB9"/>
    <w:rsid w:val="004A08D5"/>
    <w:rsid w:val="004A0954"/>
    <w:rsid w:val="004B23C5"/>
    <w:rsid w:val="004C2D9E"/>
    <w:rsid w:val="004C313C"/>
    <w:rsid w:val="004C5BD4"/>
    <w:rsid w:val="004C70FA"/>
    <w:rsid w:val="004D6D04"/>
    <w:rsid w:val="004E3790"/>
    <w:rsid w:val="00504445"/>
    <w:rsid w:val="00512087"/>
    <w:rsid w:val="00513FB0"/>
    <w:rsid w:val="0051523D"/>
    <w:rsid w:val="005171B7"/>
    <w:rsid w:val="00527A75"/>
    <w:rsid w:val="00543048"/>
    <w:rsid w:val="00544B71"/>
    <w:rsid w:val="00546E2C"/>
    <w:rsid w:val="005521A1"/>
    <w:rsid w:val="0055454D"/>
    <w:rsid w:val="00554CB8"/>
    <w:rsid w:val="00560698"/>
    <w:rsid w:val="005655DC"/>
    <w:rsid w:val="005674E8"/>
    <w:rsid w:val="005722E1"/>
    <w:rsid w:val="00573B79"/>
    <w:rsid w:val="005752A5"/>
    <w:rsid w:val="00582539"/>
    <w:rsid w:val="005843A7"/>
    <w:rsid w:val="00586483"/>
    <w:rsid w:val="00587BC7"/>
    <w:rsid w:val="0059381E"/>
    <w:rsid w:val="005A0989"/>
    <w:rsid w:val="005B7F83"/>
    <w:rsid w:val="005D4D42"/>
    <w:rsid w:val="005E0CB3"/>
    <w:rsid w:val="005F29B8"/>
    <w:rsid w:val="005F50A7"/>
    <w:rsid w:val="005F5A15"/>
    <w:rsid w:val="00603DA5"/>
    <w:rsid w:val="006116D1"/>
    <w:rsid w:val="006122DA"/>
    <w:rsid w:val="00613378"/>
    <w:rsid w:val="00613A31"/>
    <w:rsid w:val="00616D5E"/>
    <w:rsid w:val="00617567"/>
    <w:rsid w:val="00620526"/>
    <w:rsid w:val="00632BCC"/>
    <w:rsid w:val="00635981"/>
    <w:rsid w:val="0064062C"/>
    <w:rsid w:val="00644EA8"/>
    <w:rsid w:val="00645BD1"/>
    <w:rsid w:val="0065648B"/>
    <w:rsid w:val="00672824"/>
    <w:rsid w:val="00675582"/>
    <w:rsid w:val="00677565"/>
    <w:rsid w:val="0068013B"/>
    <w:rsid w:val="006852F4"/>
    <w:rsid w:val="006876E2"/>
    <w:rsid w:val="00695F07"/>
    <w:rsid w:val="00697EF4"/>
    <w:rsid w:val="006A4199"/>
    <w:rsid w:val="006A6A51"/>
    <w:rsid w:val="006B14FF"/>
    <w:rsid w:val="006B2142"/>
    <w:rsid w:val="006B25DD"/>
    <w:rsid w:val="006B6D2A"/>
    <w:rsid w:val="006C0E79"/>
    <w:rsid w:val="006C5332"/>
    <w:rsid w:val="006C6683"/>
    <w:rsid w:val="006C7FD3"/>
    <w:rsid w:val="006D3F66"/>
    <w:rsid w:val="006F278E"/>
    <w:rsid w:val="0072076C"/>
    <w:rsid w:val="00720C07"/>
    <w:rsid w:val="007256CC"/>
    <w:rsid w:val="00726247"/>
    <w:rsid w:val="00734948"/>
    <w:rsid w:val="00736C7F"/>
    <w:rsid w:val="00744E7D"/>
    <w:rsid w:val="00745E98"/>
    <w:rsid w:val="0075416E"/>
    <w:rsid w:val="00754228"/>
    <w:rsid w:val="00761A26"/>
    <w:rsid w:val="00793693"/>
    <w:rsid w:val="007A6B96"/>
    <w:rsid w:val="007B0898"/>
    <w:rsid w:val="007B08DE"/>
    <w:rsid w:val="007C102A"/>
    <w:rsid w:val="007C151D"/>
    <w:rsid w:val="007C55D0"/>
    <w:rsid w:val="007D21C4"/>
    <w:rsid w:val="007E5C7A"/>
    <w:rsid w:val="007F1C68"/>
    <w:rsid w:val="007F2C12"/>
    <w:rsid w:val="007F56C0"/>
    <w:rsid w:val="007F5A72"/>
    <w:rsid w:val="008169F5"/>
    <w:rsid w:val="008321A5"/>
    <w:rsid w:val="00841879"/>
    <w:rsid w:val="00873B89"/>
    <w:rsid w:val="00876E06"/>
    <w:rsid w:val="008805CF"/>
    <w:rsid w:val="00893043"/>
    <w:rsid w:val="008A0D58"/>
    <w:rsid w:val="008B08A5"/>
    <w:rsid w:val="008B15A7"/>
    <w:rsid w:val="008B6309"/>
    <w:rsid w:val="008D73EC"/>
    <w:rsid w:val="008E0B7D"/>
    <w:rsid w:val="008E605B"/>
    <w:rsid w:val="008F3812"/>
    <w:rsid w:val="008F4E36"/>
    <w:rsid w:val="008F7753"/>
    <w:rsid w:val="00905BA6"/>
    <w:rsid w:val="00907E07"/>
    <w:rsid w:val="00917F9A"/>
    <w:rsid w:val="00923920"/>
    <w:rsid w:val="00924634"/>
    <w:rsid w:val="00924717"/>
    <w:rsid w:val="00925B42"/>
    <w:rsid w:val="00944E22"/>
    <w:rsid w:val="00945F31"/>
    <w:rsid w:val="00956096"/>
    <w:rsid w:val="00957754"/>
    <w:rsid w:val="00981CFC"/>
    <w:rsid w:val="00986D53"/>
    <w:rsid w:val="00986F2E"/>
    <w:rsid w:val="009B477F"/>
    <w:rsid w:val="009B4856"/>
    <w:rsid w:val="009B7649"/>
    <w:rsid w:val="009C2584"/>
    <w:rsid w:val="009C4B24"/>
    <w:rsid w:val="009D067C"/>
    <w:rsid w:val="009D522B"/>
    <w:rsid w:val="009E5612"/>
    <w:rsid w:val="009E7FE8"/>
    <w:rsid w:val="00A047CB"/>
    <w:rsid w:val="00A0613A"/>
    <w:rsid w:val="00A1028D"/>
    <w:rsid w:val="00A104C4"/>
    <w:rsid w:val="00A111E6"/>
    <w:rsid w:val="00A11A39"/>
    <w:rsid w:val="00A12E29"/>
    <w:rsid w:val="00A2041F"/>
    <w:rsid w:val="00A30936"/>
    <w:rsid w:val="00A47A23"/>
    <w:rsid w:val="00A61474"/>
    <w:rsid w:val="00A723C2"/>
    <w:rsid w:val="00A72774"/>
    <w:rsid w:val="00A844FE"/>
    <w:rsid w:val="00A90AFA"/>
    <w:rsid w:val="00A92A6D"/>
    <w:rsid w:val="00A94717"/>
    <w:rsid w:val="00A95EA2"/>
    <w:rsid w:val="00AA3DAA"/>
    <w:rsid w:val="00AA6B2E"/>
    <w:rsid w:val="00AA6CE4"/>
    <w:rsid w:val="00AB23E8"/>
    <w:rsid w:val="00AC35D5"/>
    <w:rsid w:val="00AC6555"/>
    <w:rsid w:val="00AE4F01"/>
    <w:rsid w:val="00AF6850"/>
    <w:rsid w:val="00B04E11"/>
    <w:rsid w:val="00B062BD"/>
    <w:rsid w:val="00B07363"/>
    <w:rsid w:val="00B1170F"/>
    <w:rsid w:val="00B23678"/>
    <w:rsid w:val="00B23FBD"/>
    <w:rsid w:val="00B347B6"/>
    <w:rsid w:val="00B44563"/>
    <w:rsid w:val="00B44705"/>
    <w:rsid w:val="00B47A79"/>
    <w:rsid w:val="00B56406"/>
    <w:rsid w:val="00B675A2"/>
    <w:rsid w:val="00B73930"/>
    <w:rsid w:val="00B73B24"/>
    <w:rsid w:val="00B7427D"/>
    <w:rsid w:val="00B75CD0"/>
    <w:rsid w:val="00B75EF2"/>
    <w:rsid w:val="00B81FFF"/>
    <w:rsid w:val="00B8413F"/>
    <w:rsid w:val="00B8697F"/>
    <w:rsid w:val="00B87AC4"/>
    <w:rsid w:val="00B87DAB"/>
    <w:rsid w:val="00B92B34"/>
    <w:rsid w:val="00B94721"/>
    <w:rsid w:val="00B94ABD"/>
    <w:rsid w:val="00B96BC2"/>
    <w:rsid w:val="00BA1FF6"/>
    <w:rsid w:val="00BA226A"/>
    <w:rsid w:val="00BA7D6A"/>
    <w:rsid w:val="00BB4279"/>
    <w:rsid w:val="00BB46F1"/>
    <w:rsid w:val="00BB648F"/>
    <w:rsid w:val="00BB7F99"/>
    <w:rsid w:val="00BC2BAF"/>
    <w:rsid w:val="00BC4502"/>
    <w:rsid w:val="00BC6963"/>
    <w:rsid w:val="00BD6835"/>
    <w:rsid w:val="00BE10EF"/>
    <w:rsid w:val="00BF399D"/>
    <w:rsid w:val="00BF44B7"/>
    <w:rsid w:val="00C02929"/>
    <w:rsid w:val="00C11E55"/>
    <w:rsid w:val="00C1667C"/>
    <w:rsid w:val="00C413DC"/>
    <w:rsid w:val="00C450F8"/>
    <w:rsid w:val="00C52B4D"/>
    <w:rsid w:val="00C52ED9"/>
    <w:rsid w:val="00C61EF9"/>
    <w:rsid w:val="00C668D4"/>
    <w:rsid w:val="00C776C8"/>
    <w:rsid w:val="00C822CC"/>
    <w:rsid w:val="00C835E4"/>
    <w:rsid w:val="00C87903"/>
    <w:rsid w:val="00C932E4"/>
    <w:rsid w:val="00C976FD"/>
    <w:rsid w:val="00CA32B3"/>
    <w:rsid w:val="00CB5083"/>
    <w:rsid w:val="00CC21FC"/>
    <w:rsid w:val="00CC7487"/>
    <w:rsid w:val="00CD5E41"/>
    <w:rsid w:val="00CE07BE"/>
    <w:rsid w:val="00CE106D"/>
    <w:rsid w:val="00CF51B3"/>
    <w:rsid w:val="00D04D89"/>
    <w:rsid w:val="00D13116"/>
    <w:rsid w:val="00D13E2A"/>
    <w:rsid w:val="00D36851"/>
    <w:rsid w:val="00D36D70"/>
    <w:rsid w:val="00D40B41"/>
    <w:rsid w:val="00D42905"/>
    <w:rsid w:val="00D44634"/>
    <w:rsid w:val="00D469A5"/>
    <w:rsid w:val="00D5702A"/>
    <w:rsid w:val="00D70945"/>
    <w:rsid w:val="00D93510"/>
    <w:rsid w:val="00D93A1E"/>
    <w:rsid w:val="00D94806"/>
    <w:rsid w:val="00D9790C"/>
    <w:rsid w:val="00DA0216"/>
    <w:rsid w:val="00DA1737"/>
    <w:rsid w:val="00DA6417"/>
    <w:rsid w:val="00DA7AF4"/>
    <w:rsid w:val="00DB57FC"/>
    <w:rsid w:val="00DC7554"/>
    <w:rsid w:val="00DD489D"/>
    <w:rsid w:val="00DD513A"/>
    <w:rsid w:val="00DF3A8F"/>
    <w:rsid w:val="00E1225B"/>
    <w:rsid w:val="00E200C0"/>
    <w:rsid w:val="00E23606"/>
    <w:rsid w:val="00E23C94"/>
    <w:rsid w:val="00E24E64"/>
    <w:rsid w:val="00E306C1"/>
    <w:rsid w:val="00E36684"/>
    <w:rsid w:val="00E45EF6"/>
    <w:rsid w:val="00E561D9"/>
    <w:rsid w:val="00E5717B"/>
    <w:rsid w:val="00E77FB6"/>
    <w:rsid w:val="00E97B01"/>
    <w:rsid w:val="00E97EA0"/>
    <w:rsid w:val="00EB2C61"/>
    <w:rsid w:val="00EB4B1F"/>
    <w:rsid w:val="00EB57FC"/>
    <w:rsid w:val="00EB7C82"/>
    <w:rsid w:val="00EC7DF1"/>
    <w:rsid w:val="00ED0E6F"/>
    <w:rsid w:val="00ED1FA3"/>
    <w:rsid w:val="00ED2D8A"/>
    <w:rsid w:val="00ED3756"/>
    <w:rsid w:val="00EE0A24"/>
    <w:rsid w:val="00EF6B7B"/>
    <w:rsid w:val="00F10F0B"/>
    <w:rsid w:val="00F165C5"/>
    <w:rsid w:val="00F22FDE"/>
    <w:rsid w:val="00F23C4C"/>
    <w:rsid w:val="00F34779"/>
    <w:rsid w:val="00F40446"/>
    <w:rsid w:val="00F44B52"/>
    <w:rsid w:val="00F527CA"/>
    <w:rsid w:val="00F52E99"/>
    <w:rsid w:val="00F62EFE"/>
    <w:rsid w:val="00F6380F"/>
    <w:rsid w:val="00F64CCD"/>
    <w:rsid w:val="00F7544F"/>
    <w:rsid w:val="00F91BFA"/>
    <w:rsid w:val="00F94758"/>
    <w:rsid w:val="00F94BEE"/>
    <w:rsid w:val="00FA0954"/>
    <w:rsid w:val="00FA18E1"/>
    <w:rsid w:val="00FA1F40"/>
    <w:rsid w:val="00FB0AB9"/>
    <w:rsid w:val="00FB3221"/>
    <w:rsid w:val="00FB5C3E"/>
    <w:rsid w:val="00FD1E3E"/>
    <w:rsid w:val="00FD5AF6"/>
    <w:rsid w:val="00FD7A66"/>
    <w:rsid w:val="00FE245B"/>
    <w:rsid w:val="00FF2DCA"/>
    <w:rsid w:val="0195254C"/>
    <w:rsid w:val="021F5A67"/>
    <w:rsid w:val="04385DBF"/>
    <w:rsid w:val="05ED5C0B"/>
    <w:rsid w:val="06586764"/>
    <w:rsid w:val="070A4BDE"/>
    <w:rsid w:val="07D57617"/>
    <w:rsid w:val="08E66431"/>
    <w:rsid w:val="09602F79"/>
    <w:rsid w:val="0B8B7444"/>
    <w:rsid w:val="0D3C44E5"/>
    <w:rsid w:val="0E440E95"/>
    <w:rsid w:val="0F4B16D2"/>
    <w:rsid w:val="10270990"/>
    <w:rsid w:val="113C789F"/>
    <w:rsid w:val="13B2430D"/>
    <w:rsid w:val="148C6901"/>
    <w:rsid w:val="15AD6E51"/>
    <w:rsid w:val="1705666A"/>
    <w:rsid w:val="17777044"/>
    <w:rsid w:val="18AE42B5"/>
    <w:rsid w:val="1BC76924"/>
    <w:rsid w:val="1BFB5D9E"/>
    <w:rsid w:val="1FDF5996"/>
    <w:rsid w:val="213A1B12"/>
    <w:rsid w:val="22F06F84"/>
    <w:rsid w:val="239E6F36"/>
    <w:rsid w:val="29A66F06"/>
    <w:rsid w:val="29AE264D"/>
    <w:rsid w:val="2A2A5AB2"/>
    <w:rsid w:val="2CDB10D4"/>
    <w:rsid w:val="2D08515A"/>
    <w:rsid w:val="2D1810F6"/>
    <w:rsid w:val="2E8B0651"/>
    <w:rsid w:val="2F781510"/>
    <w:rsid w:val="30D10AAE"/>
    <w:rsid w:val="350D112A"/>
    <w:rsid w:val="37AB7220"/>
    <w:rsid w:val="393F4369"/>
    <w:rsid w:val="3A2C11F1"/>
    <w:rsid w:val="3AA538B8"/>
    <w:rsid w:val="3D3A06D6"/>
    <w:rsid w:val="3E7B7EF3"/>
    <w:rsid w:val="40D015B0"/>
    <w:rsid w:val="42126F81"/>
    <w:rsid w:val="43B1305E"/>
    <w:rsid w:val="454A0D61"/>
    <w:rsid w:val="455752AB"/>
    <w:rsid w:val="4989609F"/>
    <w:rsid w:val="4C222A5D"/>
    <w:rsid w:val="4D671B7B"/>
    <w:rsid w:val="51DF3643"/>
    <w:rsid w:val="52742AB6"/>
    <w:rsid w:val="52A439B9"/>
    <w:rsid w:val="540C26F6"/>
    <w:rsid w:val="56390631"/>
    <w:rsid w:val="56D7152C"/>
    <w:rsid w:val="5CB23CC3"/>
    <w:rsid w:val="5DDD57DD"/>
    <w:rsid w:val="5FBD7DB1"/>
    <w:rsid w:val="5FDB47C9"/>
    <w:rsid w:val="60ED2772"/>
    <w:rsid w:val="65D87D46"/>
    <w:rsid w:val="65F33839"/>
    <w:rsid w:val="66535FD6"/>
    <w:rsid w:val="6673091E"/>
    <w:rsid w:val="67BB3F13"/>
    <w:rsid w:val="69AE20FD"/>
    <w:rsid w:val="6D5C50BF"/>
    <w:rsid w:val="6D8B3D94"/>
    <w:rsid w:val="6DFD67C9"/>
    <w:rsid w:val="6E041E76"/>
    <w:rsid w:val="6F8620DE"/>
    <w:rsid w:val="7149557A"/>
    <w:rsid w:val="72DD1FEF"/>
    <w:rsid w:val="74D33900"/>
    <w:rsid w:val="756E7C04"/>
    <w:rsid w:val="769F03C3"/>
    <w:rsid w:val="7728653E"/>
    <w:rsid w:val="794A6417"/>
    <w:rsid w:val="7A5B0D88"/>
    <w:rsid w:val="7AD53590"/>
    <w:rsid w:val="7EB636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39A8FE"/>
  <w15:docId w15:val="{2CA420C5-BF29-4ABE-B13B-21D13E43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等线"/>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qFormat="1"/>
    <w:lsdException w:name="caption" w:semiHidden="1" w:uiPriority="35"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qFormat="1"/>
    <w:lsdException w:name="macro" w:semiHidden="1" w:unhideWhenUsed="1" w:qFormat="1"/>
    <w:lsdException w:name="toa heading" w:semiHidden="1" w:unhideWhenUsed="1" w:qFormat="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qFormat="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qFormat="1"/>
    <w:lsdException w:name="List Continue 3" w:qFormat="1"/>
    <w:lsdException w:name="List Continue 4" w:qFormat="1"/>
    <w:lsdException w:name="List Continue 5" w:qFormat="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iPriority="99" w:unhideWhenUsed="1" w:qFormat="1"/>
    <w:lsdException w:name="Body Text First Indent 2" w:semiHidden="1" w:uiPriority="99"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iPriority="99" w:unhideWhenUsed="1" w:qFormat="1"/>
    <w:lsdException w:name="Table 3D effects 2" w:semiHidden="1" w:uiPriority="99" w:unhideWhenUsed="1" w:qFormat="1"/>
    <w:lsdException w:name="Table 3D effects 3" w:semiHidden="1" w:uiPriority="99"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uiPriority="99" w:qFormat="1"/>
    <w:lsdException w:name="Table Grid" w:qFormat="1"/>
    <w:lsdException w:name="Table Theme" w:semiHidden="1" w:unhideWhenUsed="1"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qFormat="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qFormat="1"/>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61" w:qFormat="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7"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4"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rFonts w:ascii="宋体" w:eastAsia="宋体" w:hAnsi="宋体" w:cs="宋体"/>
      <w:sz w:val="24"/>
      <w:szCs w:val="24"/>
    </w:rPr>
  </w:style>
  <w:style w:type="paragraph" w:styleId="1">
    <w:name w:val="heading 1"/>
    <w:basedOn w:val="a0"/>
    <w:next w:val="a0"/>
    <w:link w:val="10"/>
    <w:uiPriority w:val="9"/>
    <w:qFormat/>
    <w:pPr>
      <w:keepNext/>
      <w:keepLines/>
      <w:widowControl w:val="0"/>
      <w:spacing w:before="340" w:after="330" w:line="578" w:lineRule="auto"/>
      <w:jc w:val="both"/>
      <w:outlineLvl w:val="0"/>
    </w:pPr>
    <w:rPr>
      <w:rFonts w:ascii="等线" w:eastAsia="等线" w:hAnsi="等线" w:cs="Times New Roman"/>
      <w:b/>
      <w:bCs/>
      <w:kern w:val="44"/>
      <w:sz w:val="44"/>
      <w:szCs w:val="44"/>
    </w:rPr>
  </w:style>
  <w:style w:type="paragraph" w:styleId="20">
    <w:name w:val="heading 2"/>
    <w:basedOn w:val="a0"/>
    <w:next w:val="a0"/>
    <w:link w:val="21"/>
    <w:uiPriority w:val="9"/>
    <w:qFormat/>
    <w:pPr>
      <w:keepNext/>
      <w:keepLines/>
      <w:widowControl w:val="0"/>
      <w:spacing w:before="260" w:after="260" w:line="416" w:lineRule="auto"/>
      <w:jc w:val="both"/>
      <w:outlineLvl w:val="1"/>
    </w:pPr>
    <w:rPr>
      <w:rFonts w:ascii="等线 Light" w:eastAsia="等线 Light" w:hAnsi="等线 Light" w:cs="Times New Roman"/>
      <w:b/>
      <w:bCs/>
      <w:kern w:val="2"/>
      <w:sz w:val="32"/>
      <w:szCs w:val="32"/>
    </w:rPr>
  </w:style>
  <w:style w:type="paragraph" w:styleId="31">
    <w:name w:val="heading 3"/>
    <w:basedOn w:val="a0"/>
    <w:next w:val="a0"/>
    <w:link w:val="32"/>
    <w:uiPriority w:val="9"/>
    <w:qFormat/>
    <w:pPr>
      <w:keepNext/>
      <w:keepLines/>
      <w:widowControl w:val="0"/>
      <w:spacing w:before="260" w:after="260" w:line="416" w:lineRule="auto"/>
      <w:jc w:val="both"/>
      <w:outlineLvl w:val="2"/>
    </w:pPr>
    <w:rPr>
      <w:rFonts w:ascii="等线" w:eastAsia="等线" w:hAnsi="等线" w:cs="Times New Roman"/>
      <w:b/>
      <w:bCs/>
      <w:kern w:val="2"/>
      <w:sz w:val="32"/>
      <w:szCs w:val="32"/>
    </w:rPr>
  </w:style>
  <w:style w:type="paragraph" w:styleId="41">
    <w:name w:val="heading 4"/>
    <w:basedOn w:val="a0"/>
    <w:next w:val="a0"/>
    <w:link w:val="42"/>
    <w:uiPriority w:val="9"/>
    <w:qFormat/>
    <w:pPr>
      <w:keepNext/>
      <w:keepLines/>
      <w:widowControl w:val="0"/>
      <w:spacing w:before="280" w:after="290" w:line="376" w:lineRule="auto"/>
      <w:jc w:val="both"/>
      <w:outlineLvl w:val="3"/>
    </w:pPr>
    <w:rPr>
      <w:rFonts w:ascii="等线 Light" w:eastAsia="等线 Light" w:hAnsi="等线 Light" w:cs="Times New Roman"/>
      <w:b/>
      <w:bCs/>
      <w:kern w:val="2"/>
      <w:sz w:val="28"/>
      <w:szCs w:val="28"/>
    </w:rPr>
  </w:style>
  <w:style w:type="paragraph" w:styleId="51">
    <w:name w:val="heading 5"/>
    <w:basedOn w:val="a0"/>
    <w:next w:val="a0"/>
    <w:link w:val="52"/>
    <w:uiPriority w:val="9"/>
    <w:qFormat/>
    <w:pPr>
      <w:keepNext/>
      <w:keepLines/>
      <w:widowControl w:val="0"/>
      <w:spacing w:before="280" w:after="290" w:line="376" w:lineRule="auto"/>
      <w:jc w:val="both"/>
      <w:outlineLvl w:val="4"/>
    </w:pPr>
    <w:rPr>
      <w:rFonts w:ascii="等线" w:eastAsia="等线" w:hAnsi="等线" w:cs="Times New Roman"/>
      <w:b/>
      <w:bCs/>
      <w:kern w:val="2"/>
      <w:sz w:val="28"/>
      <w:szCs w:val="28"/>
    </w:rPr>
  </w:style>
  <w:style w:type="paragraph" w:styleId="6">
    <w:name w:val="heading 6"/>
    <w:basedOn w:val="a0"/>
    <w:next w:val="a0"/>
    <w:link w:val="60"/>
    <w:uiPriority w:val="9"/>
    <w:qFormat/>
    <w:pPr>
      <w:keepNext/>
      <w:keepLines/>
      <w:widowControl w:val="0"/>
      <w:spacing w:before="240" w:after="64" w:line="320" w:lineRule="auto"/>
      <w:jc w:val="both"/>
      <w:outlineLvl w:val="5"/>
    </w:pPr>
    <w:rPr>
      <w:rFonts w:ascii="等线 Light" w:eastAsia="等线 Light" w:hAnsi="等线 Light" w:cs="Times New Roman"/>
      <w:b/>
      <w:bCs/>
      <w:kern w:val="2"/>
    </w:rPr>
  </w:style>
  <w:style w:type="paragraph" w:styleId="7">
    <w:name w:val="heading 7"/>
    <w:basedOn w:val="a0"/>
    <w:next w:val="a0"/>
    <w:link w:val="70"/>
    <w:uiPriority w:val="9"/>
    <w:qFormat/>
    <w:pPr>
      <w:keepNext/>
      <w:keepLines/>
      <w:widowControl w:val="0"/>
      <w:spacing w:before="240" w:after="64" w:line="320" w:lineRule="auto"/>
      <w:jc w:val="both"/>
      <w:outlineLvl w:val="6"/>
    </w:pPr>
    <w:rPr>
      <w:rFonts w:ascii="等线" w:eastAsia="等线" w:hAnsi="等线" w:cs="Times New Roman"/>
      <w:b/>
      <w:bCs/>
      <w:kern w:val="2"/>
    </w:rPr>
  </w:style>
  <w:style w:type="paragraph" w:styleId="8">
    <w:name w:val="heading 8"/>
    <w:basedOn w:val="a0"/>
    <w:next w:val="a0"/>
    <w:link w:val="80"/>
    <w:uiPriority w:val="9"/>
    <w:qFormat/>
    <w:pPr>
      <w:keepNext/>
      <w:keepLines/>
      <w:widowControl w:val="0"/>
      <w:spacing w:before="240" w:after="64" w:line="320" w:lineRule="auto"/>
      <w:jc w:val="both"/>
      <w:outlineLvl w:val="7"/>
    </w:pPr>
    <w:rPr>
      <w:rFonts w:ascii="等线 Light" w:eastAsia="等线 Light" w:hAnsi="等线 Light" w:cs="Times New Roman"/>
      <w:kern w:val="2"/>
    </w:rPr>
  </w:style>
  <w:style w:type="paragraph" w:styleId="9">
    <w:name w:val="heading 9"/>
    <w:basedOn w:val="a0"/>
    <w:next w:val="a0"/>
    <w:link w:val="90"/>
    <w:uiPriority w:val="9"/>
    <w:qFormat/>
    <w:pPr>
      <w:keepNext/>
      <w:keepLines/>
      <w:widowControl w:val="0"/>
      <w:spacing w:before="240" w:after="64" w:line="320" w:lineRule="auto"/>
      <w:jc w:val="both"/>
      <w:outlineLvl w:val="8"/>
    </w:pPr>
    <w:rPr>
      <w:rFonts w:ascii="等线 Light" w:eastAsia="等线 Light" w:hAnsi="等线 Light" w:cs="Times New Roman"/>
      <w:kern w:val="2"/>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macro"/>
    <w:link w:val="a6"/>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宋体" w:hAnsi="Courier New" w:cs="Courier New"/>
      <w:color w:val="333333"/>
      <w:lang w:eastAsia="en-US"/>
    </w:rPr>
  </w:style>
  <w:style w:type="paragraph" w:styleId="33">
    <w:name w:val="List 3"/>
    <w:basedOn w:val="a0"/>
    <w:qFormat/>
    <w:pPr>
      <w:widowControl w:val="0"/>
      <w:ind w:left="1260" w:hanging="420"/>
      <w:jc w:val="both"/>
    </w:pPr>
    <w:rPr>
      <w:rFonts w:ascii="Times New Roman" w:hAnsi="Times New Roman" w:cs="Times New Roman"/>
      <w:kern w:val="2"/>
      <w:sz w:val="21"/>
      <w:szCs w:val="20"/>
    </w:rPr>
  </w:style>
  <w:style w:type="paragraph" w:styleId="TOC7">
    <w:name w:val="toc 7"/>
    <w:basedOn w:val="a0"/>
    <w:next w:val="a0"/>
    <w:uiPriority w:val="39"/>
    <w:qFormat/>
    <w:pPr>
      <w:widowControl w:val="0"/>
      <w:ind w:leftChars="1200" w:left="2520"/>
      <w:jc w:val="both"/>
    </w:pPr>
    <w:rPr>
      <w:rFonts w:ascii="Times New Roman" w:eastAsia="等线" w:hAnsi="Times New Roman" w:cs="Times New Roman"/>
      <w:kern w:val="2"/>
      <w:sz w:val="21"/>
    </w:rPr>
  </w:style>
  <w:style w:type="paragraph" w:styleId="22">
    <w:name w:val="List Number 2"/>
    <w:basedOn w:val="a0"/>
    <w:qFormat/>
    <w:pPr>
      <w:widowControl w:val="0"/>
      <w:spacing w:after="240"/>
      <w:jc w:val="both"/>
    </w:pPr>
    <w:rPr>
      <w:rFonts w:ascii="Times New Roman" w:hAnsi="Times New Roman" w:cs="Times New Roman"/>
      <w:kern w:val="2"/>
      <w:sz w:val="21"/>
    </w:rPr>
  </w:style>
  <w:style w:type="paragraph" w:styleId="a7">
    <w:name w:val="table of authorities"/>
    <w:basedOn w:val="a0"/>
    <w:next w:val="a0"/>
    <w:qFormat/>
    <w:pPr>
      <w:widowControl w:val="0"/>
      <w:ind w:left="200" w:hanging="200"/>
      <w:jc w:val="both"/>
    </w:pPr>
    <w:rPr>
      <w:rFonts w:ascii="Times New Roman" w:hAnsi="Times New Roman" w:cs="Times New Roman"/>
      <w:kern w:val="2"/>
      <w:sz w:val="21"/>
    </w:rPr>
  </w:style>
  <w:style w:type="paragraph" w:styleId="a8">
    <w:name w:val="Note Heading"/>
    <w:basedOn w:val="a0"/>
    <w:next w:val="a0"/>
    <w:link w:val="a9"/>
    <w:qFormat/>
    <w:pPr>
      <w:widowControl w:val="0"/>
      <w:jc w:val="both"/>
    </w:pPr>
    <w:rPr>
      <w:rFonts w:ascii="Times New Roman" w:hAnsi="Times New Roman" w:cs="Times New Roman"/>
      <w:kern w:val="2"/>
      <w:sz w:val="21"/>
    </w:rPr>
  </w:style>
  <w:style w:type="paragraph" w:styleId="40">
    <w:name w:val="List Bullet 4"/>
    <w:basedOn w:val="a0"/>
    <w:qFormat/>
    <w:pPr>
      <w:widowControl w:val="0"/>
      <w:numPr>
        <w:numId w:val="1"/>
      </w:numPr>
      <w:jc w:val="both"/>
    </w:pPr>
    <w:rPr>
      <w:rFonts w:ascii="Times New Roman" w:hAnsi="Times New Roman" w:cs="Times New Roman"/>
      <w:kern w:val="2"/>
      <w:sz w:val="21"/>
    </w:rPr>
  </w:style>
  <w:style w:type="paragraph" w:styleId="81">
    <w:name w:val="index 8"/>
    <w:basedOn w:val="a0"/>
    <w:next w:val="a0"/>
    <w:qFormat/>
    <w:pPr>
      <w:widowControl w:val="0"/>
      <w:ind w:left="1600" w:hanging="200"/>
      <w:jc w:val="both"/>
    </w:pPr>
    <w:rPr>
      <w:rFonts w:ascii="Times New Roman" w:hAnsi="Times New Roman" w:cs="Times New Roman"/>
      <w:kern w:val="2"/>
      <w:sz w:val="21"/>
    </w:rPr>
  </w:style>
  <w:style w:type="paragraph" w:styleId="aa">
    <w:name w:val="E-mail Signature"/>
    <w:basedOn w:val="a0"/>
    <w:link w:val="ab"/>
    <w:qFormat/>
    <w:pPr>
      <w:widowControl w:val="0"/>
      <w:jc w:val="both"/>
    </w:pPr>
    <w:rPr>
      <w:rFonts w:ascii="Times New Roman" w:hAnsi="Times New Roman" w:cs="Times New Roman"/>
      <w:kern w:val="2"/>
      <w:sz w:val="21"/>
    </w:rPr>
  </w:style>
  <w:style w:type="paragraph" w:styleId="a">
    <w:name w:val="List Number"/>
    <w:basedOn w:val="ac"/>
    <w:qFormat/>
    <w:pPr>
      <w:numPr>
        <w:numId w:val="2"/>
      </w:numPr>
      <w:spacing w:after="240"/>
    </w:pPr>
    <w:rPr>
      <w:rFonts w:eastAsia="宋体"/>
      <w:lang w:val="en-US"/>
    </w:rPr>
  </w:style>
  <w:style w:type="paragraph" w:styleId="ac">
    <w:name w:val="Body Text"/>
    <w:basedOn w:val="a0"/>
    <w:link w:val="ad"/>
    <w:qFormat/>
    <w:pPr>
      <w:widowControl w:val="0"/>
      <w:spacing w:after="120"/>
      <w:jc w:val="both"/>
    </w:pPr>
    <w:rPr>
      <w:rFonts w:ascii="Times New Roman" w:eastAsia="等线" w:hAnsi="Times New Roman" w:cs="Times New Roman"/>
      <w:kern w:val="2"/>
      <w:sz w:val="21"/>
      <w:lang w:val="zh-CN"/>
    </w:rPr>
  </w:style>
  <w:style w:type="paragraph" w:styleId="ae">
    <w:name w:val="Normal Indent"/>
    <w:basedOn w:val="a0"/>
    <w:link w:val="af"/>
    <w:qFormat/>
    <w:pPr>
      <w:widowControl w:val="0"/>
      <w:jc w:val="both"/>
    </w:pPr>
    <w:rPr>
      <w:rFonts w:ascii="Times New Roman" w:eastAsia="仿宋_GB2312" w:hAnsi="Times New Roman" w:cs="Times New Roman"/>
      <w:kern w:val="2"/>
      <w:szCs w:val="20"/>
    </w:rPr>
  </w:style>
  <w:style w:type="paragraph" w:styleId="af0">
    <w:name w:val="caption"/>
    <w:basedOn w:val="a0"/>
    <w:next w:val="a0"/>
    <w:uiPriority w:val="35"/>
    <w:qFormat/>
    <w:pPr>
      <w:widowControl w:val="0"/>
      <w:jc w:val="both"/>
    </w:pPr>
    <w:rPr>
      <w:rFonts w:ascii="等线 Light" w:eastAsia="黑体" w:hAnsi="等线 Light" w:cs="Times New Roman"/>
      <w:kern w:val="2"/>
      <w:sz w:val="20"/>
      <w:szCs w:val="20"/>
    </w:rPr>
  </w:style>
  <w:style w:type="paragraph" w:styleId="53">
    <w:name w:val="index 5"/>
    <w:basedOn w:val="a0"/>
    <w:next w:val="a0"/>
    <w:qFormat/>
    <w:pPr>
      <w:widowControl w:val="0"/>
      <w:ind w:left="1000" w:hanging="200"/>
      <w:jc w:val="both"/>
    </w:pPr>
    <w:rPr>
      <w:rFonts w:ascii="Times New Roman" w:hAnsi="Times New Roman" w:cs="Times New Roman"/>
      <w:kern w:val="2"/>
      <w:sz w:val="21"/>
    </w:rPr>
  </w:style>
  <w:style w:type="paragraph" w:styleId="af1">
    <w:name w:val="List Bullet"/>
    <w:basedOn w:val="a0"/>
    <w:link w:val="af2"/>
    <w:qFormat/>
    <w:pPr>
      <w:widowControl w:val="0"/>
      <w:tabs>
        <w:tab w:val="left" w:pos="360"/>
      </w:tabs>
      <w:ind w:left="360" w:hangingChars="200" w:hanging="360"/>
      <w:jc w:val="both"/>
    </w:pPr>
    <w:rPr>
      <w:rFonts w:ascii="Times New Roman" w:hAnsi="Times New Roman" w:cs="Times New Roman"/>
      <w:kern w:val="2"/>
      <w:sz w:val="21"/>
    </w:rPr>
  </w:style>
  <w:style w:type="paragraph" w:styleId="af3">
    <w:name w:val="envelope address"/>
    <w:basedOn w:val="a0"/>
    <w:qFormat/>
    <w:pPr>
      <w:framePr w:w="7920" w:h="1980" w:hRule="exact" w:hSpace="180" w:wrap="around" w:hAnchor="page" w:xAlign="center" w:yAlign="bottom"/>
      <w:widowControl w:val="0"/>
      <w:ind w:left="2880"/>
      <w:jc w:val="both"/>
    </w:pPr>
    <w:rPr>
      <w:rFonts w:ascii="Times New Roman" w:hAnsi="Times New Roman" w:cs="Arial"/>
      <w:kern w:val="2"/>
    </w:rPr>
  </w:style>
  <w:style w:type="paragraph" w:styleId="af4">
    <w:name w:val="Document Map"/>
    <w:basedOn w:val="a0"/>
    <w:link w:val="af5"/>
    <w:qFormat/>
    <w:pPr>
      <w:widowControl w:val="0"/>
      <w:shd w:val="clear" w:color="auto" w:fill="000080"/>
      <w:jc w:val="both"/>
    </w:pPr>
    <w:rPr>
      <w:rFonts w:ascii="Times New Roman" w:eastAsia="等线" w:hAnsi="Times New Roman" w:cs="Times New Roman"/>
      <w:kern w:val="2"/>
      <w:sz w:val="21"/>
      <w:lang w:val="zh-CN"/>
    </w:rPr>
  </w:style>
  <w:style w:type="paragraph" w:styleId="af6">
    <w:name w:val="toa heading"/>
    <w:basedOn w:val="a0"/>
    <w:next w:val="a0"/>
    <w:qFormat/>
    <w:pPr>
      <w:widowControl w:val="0"/>
      <w:spacing w:before="120"/>
      <w:jc w:val="both"/>
    </w:pPr>
    <w:rPr>
      <w:rFonts w:ascii="Times New Roman" w:hAnsi="Times New Roman" w:cs="Arial"/>
      <w:b/>
      <w:bCs/>
      <w:kern w:val="2"/>
    </w:rPr>
  </w:style>
  <w:style w:type="paragraph" w:styleId="af7">
    <w:name w:val="annotation text"/>
    <w:basedOn w:val="a0"/>
    <w:link w:val="af8"/>
    <w:uiPriority w:val="99"/>
    <w:qFormat/>
    <w:pPr>
      <w:widowControl w:val="0"/>
    </w:pPr>
    <w:rPr>
      <w:rFonts w:ascii="Times New Roman" w:eastAsia="等线" w:hAnsi="Times New Roman" w:cs="Times New Roman"/>
      <w:kern w:val="2"/>
      <w:sz w:val="21"/>
      <w:lang w:val="zh-CN"/>
    </w:rPr>
  </w:style>
  <w:style w:type="paragraph" w:styleId="61">
    <w:name w:val="index 6"/>
    <w:basedOn w:val="a0"/>
    <w:next w:val="a0"/>
    <w:qFormat/>
    <w:pPr>
      <w:widowControl w:val="0"/>
      <w:ind w:left="1200" w:hanging="200"/>
      <w:jc w:val="both"/>
    </w:pPr>
    <w:rPr>
      <w:rFonts w:ascii="Times New Roman" w:hAnsi="Times New Roman" w:cs="Times New Roman"/>
      <w:kern w:val="2"/>
      <w:sz w:val="21"/>
    </w:rPr>
  </w:style>
  <w:style w:type="paragraph" w:styleId="af9">
    <w:name w:val="Salutation"/>
    <w:basedOn w:val="a0"/>
    <w:next w:val="a0"/>
    <w:link w:val="afa"/>
    <w:qFormat/>
    <w:pPr>
      <w:widowControl w:val="0"/>
      <w:jc w:val="both"/>
    </w:pPr>
    <w:rPr>
      <w:rFonts w:ascii="Times New Roman" w:hAnsi="Times New Roman" w:cs="Times New Roman"/>
      <w:kern w:val="2"/>
      <w:sz w:val="21"/>
    </w:rPr>
  </w:style>
  <w:style w:type="paragraph" w:styleId="34">
    <w:name w:val="Body Text 3"/>
    <w:basedOn w:val="a0"/>
    <w:link w:val="35"/>
    <w:qFormat/>
    <w:pPr>
      <w:spacing w:after="120"/>
    </w:pPr>
    <w:rPr>
      <w:rFonts w:ascii="Times New Roman" w:hAnsi="Times New Roman" w:cs="Times New Roman"/>
      <w:sz w:val="16"/>
      <w:szCs w:val="20"/>
    </w:rPr>
  </w:style>
  <w:style w:type="paragraph" w:styleId="afb">
    <w:name w:val="Closing"/>
    <w:basedOn w:val="a0"/>
    <w:link w:val="afc"/>
    <w:qFormat/>
    <w:pPr>
      <w:widowControl w:val="0"/>
      <w:ind w:left="4252"/>
      <w:jc w:val="both"/>
    </w:pPr>
    <w:rPr>
      <w:rFonts w:ascii="Times New Roman" w:hAnsi="Times New Roman" w:cs="Times New Roman"/>
      <w:kern w:val="2"/>
      <w:sz w:val="21"/>
    </w:rPr>
  </w:style>
  <w:style w:type="paragraph" w:styleId="30">
    <w:name w:val="List Bullet 3"/>
    <w:basedOn w:val="a0"/>
    <w:qFormat/>
    <w:pPr>
      <w:widowControl w:val="0"/>
      <w:numPr>
        <w:numId w:val="3"/>
      </w:numPr>
      <w:jc w:val="both"/>
    </w:pPr>
    <w:rPr>
      <w:rFonts w:ascii="Times New Roman" w:hAnsi="Times New Roman" w:cs="Times New Roman"/>
      <w:kern w:val="2"/>
      <w:sz w:val="21"/>
    </w:rPr>
  </w:style>
  <w:style w:type="paragraph" w:styleId="afd">
    <w:name w:val="Body Text Indent"/>
    <w:basedOn w:val="a0"/>
    <w:link w:val="afe"/>
    <w:qFormat/>
    <w:pPr>
      <w:widowControl w:val="0"/>
      <w:spacing w:after="120"/>
      <w:ind w:leftChars="200" w:left="420"/>
      <w:jc w:val="both"/>
    </w:pPr>
    <w:rPr>
      <w:rFonts w:ascii="Times New Roman" w:eastAsia="等线" w:hAnsi="Times New Roman" w:cs="Times New Roman"/>
      <w:kern w:val="2"/>
      <w:sz w:val="21"/>
      <w:lang w:val="zh-CN"/>
    </w:rPr>
  </w:style>
  <w:style w:type="paragraph" w:styleId="3">
    <w:name w:val="List Number 3"/>
    <w:basedOn w:val="a0"/>
    <w:qFormat/>
    <w:pPr>
      <w:widowControl w:val="0"/>
      <w:numPr>
        <w:numId w:val="4"/>
      </w:numPr>
      <w:jc w:val="both"/>
    </w:pPr>
    <w:rPr>
      <w:rFonts w:ascii="Times New Roman" w:hAnsi="Times New Roman" w:cs="Times New Roman"/>
      <w:kern w:val="2"/>
      <w:sz w:val="21"/>
    </w:rPr>
  </w:style>
  <w:style w:type="paragraph" w:styleId="23">
    <w:name w:val="List 2"/>
    <w:basedOn w:val="a0"/>
    <w:qFormat/>
    <w:pPr>
      <w:widowControl w:val="0"/>
      <w:ind w:leftChars="200" w:left="100" w:hangingChars="200" w:hanging="200"/>
      <w:jc w:val="both"/>
    </w:pPr>
    <w:rPr>
      <w:rFonts w:ascii="Times New Roman" w:eastAsia="等线" w:hAnsi="Times New Roman" w:cs="Times New Roman"/>
      <w:kern w:val="2"/>
      <w:sz w:val="21"/>
    </w:rPr>
  </w:style>
  <w:style w:type="paragraph" w:styleId="aff">
    <w:name w:val="List Continue"/>
    <w:basedOn w:val="a0"/>
    <w:qFormat/>
    <w:pPr>
      <w:widowControl w:val="0"/>
      <w:spacing w:after="120"/>
      <w:ind w:leftChars="200" w:left="420"/>
      <w:jc w:val="both"/>
    </w:pPr>
    <w:rPr>
      <w:rFonts w:ascii="Times New Roman" w:eastAsia="等线" w:hAnsi="Times New Roman" w:cs="Times New Roman"/>
      <w:kern w:val="2"/>
      <w:sz w:val="21"/>
    </w:rPr>
  </w:style>
  <w:style w:type="paragraph" w:styleId="aff0">
    <w:name w:val="Block Text"/>
    <w:basedOn w:val="a0"/>
    <w:qFormat/>
    <w:pPr>
      <w:widowControl w:val="0"/>
      <w:adjustRightInd w:val="0"/>
      <w:snapToGrid w:val="0"/>
      <w:ind w:left="560" w:right="18"/>
      <w:jc w:val="both"/>
    </w:pPr>
    <w:rPr>
      <w:rFonts w:ascii="仿宋_GB2312" w:eastAsia="仿宋_GB2312" w:hAnsi="Times New Roman" w:cs="Times New Roman"/>
      <w:color w:val="000000"/>
      <w:kern w:val="2"/>
      <w:sz w:val="28"/>
      <w:szCs w:val="20"/>
    </w:rPr>
  </w:style>
  <w:style w:type="paragraph" w:styleId="2">
    <w:name w:val="List Bullet 2"/>
    <w:basedOn w:val="ac"/>
    <w:qFormat/>
    <w:pPr>
      <w:widowControl/>
      <w:numPr>
        <w:numId w:val="5"/>
      </w:numPr>
      <w:spacing w:after="240" w:line="240" w:lineRule="atLeast"/>
      <w:jc w:val="left"/>
    </w:pPr>
    <w:rPr>
      <w:rFonts w:ascii="Arial" w:eastAsia="楷体_GB2312" w:hAnsi="Arial"/>
      <w:kern w:val="0"/>
      <w:sz w:val="24"/>
      <w:szCs w:val="32"/>
      <w:lang w:val="en-US" w:eastAsia="en-US"/>
    </w:rPr>
  </w:style>
  <w:style w:type="paragraph" w:styleId="HTML">
    <w:name w:val="HTML Address"/>
    <w:basedOn w:val="a0"/>
    <w:link w:val="HTML0"/>
    <w:qFormat/>
    <w:pPr>
      <w:widowControl w:val="0"/>
      <w:jc w:val="both"/>
    </w:pPr>
    <w:rPr>
      <w:rFonts w:ascii="Times New Roman" w:hAnsi="Times New Roman" w:cs="Times New Roman"/>
      <w:i/>
      <w:iCs/>
      <w:kern w:val="2"/>
      <w:sz w:val="21"/>
    </w:rPr>
  </w:style>
  <w:style w:type="paragraph" w:styleId="43">
    <w:name w:val="index 4"/>
    <w:basedOn w:val="a0"/>
    <w:next w:val="a0"/>
    <w:qFormat/>
    <w:pPr>
      <w:widowControl w:val="0"/>
      <w:ind w:left="800" w:hanging="200"/>
      <w:jc w:val="both"/>
    </w:pPr>
    <w:rPr>
      <w:rFonts w:ascii="Times New Roman" w:hAnsi="Times New Roman" w:cs="Times New Roman"/>
      <w:kern w:val="2"/>
      <w:sz w:val="21"/>
    </w:rPr>
  </w:style>
  <w:style w:type="paragraph" w:styleId="TOC5">
    <w:name w:val="toc 5"/>
    <w:basedOn w:val="a0"/>
    <w:next w:val="a0"/>
    <w:uiPriority w:val="39"/>
    <w:qFormat/>
    <w:pPr>
      <w:widowControl w:val="0"/>
      <w:ind w:leftChars="800" w:left="1680"/>
      <w:jc w:val="both"/>
    </w:pPr>
    <w:rPr>
      <w:rFonts w:ascii="Times New Roman" w:eastAsia="等线" w:hAnsi="Times New Roman" w:cs="Times New Roman"/>
      <w:kern w:val="2"/>
      <w:sz w:val="21"/>
    </w:rPr>
  </w:style>
  <w:style w:type="paragraph" w:styleId="TOC3">
    <w:name w:val="toc 3"/>
    <w:basedOn w:val="a0"/>
    <w:next w:val="a0"/>
    <w:uiPriority w:val="39"/>
    <w:qFormat/>
    <w:pPr>
      <w:widowControl w:val="0"/>
      <w:tabs>
        <w:tab w:val="right" w:leader="dot" w:pos="8302"/>
      </w:tabs>
      <w:spacing w:line="360" w:lineRule="auto"/>
      <w:ind w:leftChars="400" w:left="400"/>
      <w:jc w:val="both"/>
    </w:pPr>
    <w:rPr>
      <w:rFonts w:ascii="Times New Roman" w:eastAsia="等线" w:hAnsi="Times New Roman" w:cs="Times New Roman"/>
      <w:kern w:val="2"/>
      <w:sz w:val="21"/>
    </w:rPr>
  </w:style>
  <w:style w:type="paragraph" w:styleId="aff1">
    <w:name w:val="Plain Text"/>
    <w:basedOn w:val="a0"/>
    <w:link w:val="aff2"/>
    <w:qFormat/>
    <w:pPr>
      <w:widowControl w:val="0"/>
      <w:jc w:val="both"/>
    </w:pPr>
    <w:rPr>
      <w:rFonts w:eastAsia="等线" w:hAnsi="Courier New" w:cs="Times New Roman"/>
      <w:kern w:val="2"/>
      <w:sz w:val="21"/>
      <w:szCs w:val="21"/>
      <w:lang w:val="zh-CN"/>
    </w:rPr>
  </w:style>
  <w:style w:type="paragraph" w:styleId="50">
    <w:name w:val="List Bullet 5"/>
    <w:basedOn w:val="a0"/>
    <w:qFormat/>
    <w:pPr>
      <w:numPr>
        <w:numId w:val="6"/>
      </w:numPr>
      <w:spacing w:line="240" w:lineRule="atLeast"/>
    </w:pPr>
    <w:rPr>
      <w:rFonts w:ascii="Arial" w:eastAsia="楷体_GB2312" w:hAnsi="Arial" w:cs="Times New Roman"/>
      <w:szCs w:val="32"/>
      <w:lang w:eastAsia="en-US"/>
    </w:rPr>
  </w:style>
  <w:style w:type="paragraph" w:styleId="4">
    <w:name w:val="List Number 4"/>
    <w:basedOn w:val="a0"/>
    <w:qFormat/>
    <w:pPr>
      <w:widowControl w:val="0"/>
      <w:numPr>
        <w:numId w:val="7"/>
      </w:numPr>
      <w:jc w:val="both"/>
    </w:pPr>
    <w:rPr>
      <w:rFonts w:ascii="Times New Roman" w:hAnsi="Times New Roman" w:cs="Times New Roman"/>
      <w:kern w:val="2"/>
      <w:sz w:val="21"/>
    </w:rPr>
  </w:style>
  <w:style w:type="paragraph" w:styleId="TOC8">
    <w:name w:val="toc 8"/>
    <w:basedOn w:val="a0"/>
    <w:next w:val="a0"/>
    <w:uiPriority w:val="39"/>
    <w:qFormat/>
    <w:pPr>
      <w:widowControl w:val="0"/>
      <w:ind w:leftChars="1400" w:left="2940"/>
      <w:jc w:val="both"/>
    </w:pPr>
    <w:rPr>
      <w:rFonts w:ascii="Times New Roman" w:eastAsia="等线" w:hAnsi="Times New Roman" w:cs="Times New Roman"/>
      <w:kern w:val="2"/>
      <w:sz w:val="21"/>
    </w:rPr>
  </w:style>
  <w:style w:type="paragraph" w:styleId="36">
    <w:name w:val="index 3"/>
    <w:basedOn w:val="a0"/>
    <w:next w:val="a0"/>
    <w:qFormat/>
    <w:pPr>
      <w:widowControl w:val="0"/>
      <w:ind w:left="600" w:hanging="200"/>
      <w:jc w:val="both"/>
    </w:pPr>
    <w:rPr>
      <w:rFonts w:ascii="Times New Roman" w:hAnsi="Times New Roman" w:cs="Times New Roman"/>
      <w:kern w:val="2"/>
      <w:sz w:val="21"/>
    </w:rPr>
  </w:style>
  <w:style w:type="paragraph" w:styleId="aff3">
    <w:name w:val="Date"/>
    <w:basedOn w:val="a0"/>
    <w:next w:val="a0"/>
    <w:link w:val="aff4"/>
    <w:unhideWhenUsed/>
    <w:qFormat/>
    <w:pPr>
      <w:widowControl w:val="0"/>
      <w:ind w:leftChars="2500" w:left="100"/>
      <w:jc w:val="both"/>
    </w:pPr>
    <w:rPr>
      <w:rFonts w:ascii="等线" w:eastAsia="等线" w:hAnsi="等线" w:cs="Times New Roman"/>
      <w:kern w:val="2"/>
      <w:sz w:val="21"/>
      <w:szCs w:val="21"/>
    </w:rPr>
  </w:style>
  <w:style w:type="paragraph" w:styleId="24">
    <w:name w:val="Body Text Indent 2"/>
    <w:basedOn w:val="a0"/>
    <w:link w:val="25"/>
    <w:unhideWhenUsed/>
    <w:qFormat/>
    <w:pPr>
      <w:widowControl w:val="0"/>
      <w:spacing w:after="120" w:line="480" w:lineRule="auto"/>
      <w:ind w:leftChars="200" w:left="420"/>
      <w:jc w:val="both"/>
    </w:pPr>
    <w:rPr>
      <w:rFonts w:ascii="等线" w:eastAsia="等线" w:hAnsi="等线" w:cs="Times New Roman"/>
      <w:kern w:val="2"/>
      <w:sz w:val="21"/>
      <w:szCs w:val="21"/>
    </w:rPr>
  </w:style>
  <w:style w:type="paragraph" w:styleId="aff5">
    <w:name w:val="endnote text"/>
    <w:basedOn w:val="a0"/>
    <w:link w:val="54"/>
    <w:uiPriority w:val="99"/>
    <w:unhideWhenUsed/>
    <w:qFormat/>
    <w:pPr>
      <w:widowControl w:val="0"/>
      <w:snapToGrid w:val="0"/>
    </w:pPr>
    <w:rPr>
      <w:rFonts w:ascii="等线" w:eastAsia="等线" w:hAnsi="等线" w:cs="Times New Roman"/>
      <w:kern w:val="2"/>
      <w:sz w:val="21"/>
      <w:szCs w:val="21"/>
    </w:rPr>
  </w:style>
  <w:style w:type="paragraph" w:styleId="55">
    <w:name w:val="List Continue 5"/>
    <w:basedOn w:val="a0"/>
    <w:qFormat/>
    <w:pPr>
      <w:widowControl w:val="0"/>
      <w:spacing w:after="120"/>
      <w:ind w:left="1415"/>
      <w:jc w:val="both"/>
    </w:pPr>
    <w:rPr>
      <w:rFonts w:ascii="Times New Roman" w:hAnsi="Times New Roman" w:cs="Times New Roman"/>
      <w:kern w:val="2"/>
      <w:sz w:val="21"/>
    </w:rPr>
  </w:style>
  <w:style w:type="paragraph" w:styleId="aff6">
    <w:name w:val="Balloon Text"/>
    <w:basedOn w:val="a0"/>
    <w:link w:val="aff7"/>
    <w:uiPriority w:val="99"/>
    <w:qFormat/>
    <w:pPr>
      <w:widowControl w:val="0"/>
      <w:jc w:val="both"/>
    </w:pPr>
    <w:rPr>
      <w:rFonts w:ascii="Times New Roman" w:eastAsia="等线" w:hAnsi="Times New Roman" w:cs="Times New Roman"/>
      <w:kern w:val="2"/>
      <w:sz w:val="18"/>
      <w:szCs w:val="18"/>
      <w:lang w:val="zh-CN"/>
    </w:rPr>
  </w:style>
  <w:style w:type="paragraph" w:styleId="aff8">
    <w:name w:val="footer"/>
    <w:basedOn w:val="a0"/>
    <w:link w:val="aff9"/>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ffa">
    <w:name w:val="envelope return"/>
    <w:basedOn w:val="a0"/>
    <w:qFormat/>
    <w:pPr>
      <w:widowControl w:val="0"/>
      <w:jc w:val="both"/>
    </w:pPr>
    <w:rPr>
      <w:rFonts w:ascii="Times New Roman" w:hAnsi="Times New Roman" w:cs="Arial"/>
      <w:kern w:val="2"/>
      <w:sz w:val="21"/>
    </w:rPr>
  </w:style>
  <w:style w:type="paragraph" w:styleId="affb">
    <w:name w:val="header"/>
    <w:basedOn w:val="a0"/>
    <w:link w:val="affc"/>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ffd">
    <w:name w:val="Signature"/>
    <w:basedOn w:val="a0"/>
    <w:link w:val="affe"/>
    <w:qFormat/>
    <w:pPr>
      <w:widowControl w:val="0"/>
      <w:ind w:leftChars="2100" w:left="100"/>
      <w:jc w:val="both"/>
    </w:pPr>
    <w:rPr>
      <w:rFonts w:ascii="Times New Roman" w:hAnsi="Times New Roman" w:cs="Times New Roman"/>
      <w:kern w:val="2"/>
      <w:sz w:val="21"/>
    </w:rPr>
  </w:style>
  <w:style w:type="paragraph" w:styleId="TOC1">
    <w:name w:val="toc 1"/>
    <w:basedOn w:val="a0"/>
    <w:next w:val="a0"/>
    <w:uiPriority w:val="39"/>
    <w:qFormat/>
    <w:pPr>
      <w:widowControl w:val="0"/>
      <w:tabs>
        <w:tab w:val="right" w:leader="dot" w:pos="8302"/>
      </w:tabs>
      <w:spacing w:line="360" w:lineRule="auto"/>
      <w:jc w:val="both"/>
    </w:pPr>
    <w:rPr>
      <w:rFonts w:ascii="Times New Roman" w:hAnsi="Times New Roman" w:cs="Times New Roman"/>
      <w:b/>
      <w:bCs/>
      <w:kern w:val="2"/>
    </w:rPr>
  </w:style>
  <w:style w:type="paragraph" w:styleId="44">
    <w:name w:val="List Continue 4"/>
    <w:basedOn w:val="a0"/>
    <w:qFormat/>
    <w:pPr>
      <w:widowControl w:val="0"/>
      <w:spacing w:after="120"/>
      <w:ind w:left="1132"/>
      <w:jc w:val="both"/>
    </w:pPr>
    <w:rPr>
      <w:rFonts w:ascii="Times New Roman" w:hAnsi="Times New Roman" w:cs="Times New Roman"/>
      <w:kern w:val="2"/>
      <w:sz w:val="21"/>
    </w:rPr>
  </w:style>
  <w:style w:type="paragraph" w:styleId="TOC4">
    <w:name w:val="toc 4"/>
    <w:basedOn w:val="a0"/>
    <w:next w:val="a0"/>
    <w:uiPriority w:val="39"/>
    <w:qFormat/>
    <w:pPr>
      <w:widowControl w:val="0"/>
      <w:ind w:leftChars="600" w:left="1260"/>
      <w:jc w:val="both"/>
    </w:pPr>
    <w:rPr>
      <w:rFonts w:ascii="Times New Roman" w:eastAsia="等线" w:hAnsi="Times New Roman" w:cs="Times New Roman"/>
      <w:kern w:val="2"/>
      <w:sz w:val="21"/>
    </w:rPr>
  </w:style>
  <w:style w:type="paragraph" w:styleId="afff">
    <w:name w:val="index heading"/>
    <w:basedOn w:val="a0"/>
    <w:next w:val="11"/>
    <w:qFormat/>
    <w:pPr>
      <w:widowControl w:val="0"/>
      <w:jc w:val="both"/>
    </w:pPr>
    <w:rPr>
      <w:rFonts w:ascii="Times New Roman" w:hAnsi="Times New Roman" w:cs="Arial"/>
      <w:b/>
      <w:bCs/>
      <w:kern w:val="2"/>
      <w:sz w:val="21"/>
    </w:rPr>
  </w:style>
  <w:style w:type="paragraph" w:styleId="11">
    <w:name w:val="index 1"/>
    <w:basedOn w:val="a0"/>
    <w:next w:val="a0"/>
    <w:qFormat/>
    <w:pPr>
      <w:widowControl w:val="0"/>
      <w:spacing w:line="360" w:lineRule="auto"/>
      <w:jc w:val="center"/>
    </w:pPr>
    <w:rPr>
      <w:rFonts w:ascii="Arial Narrow" w:eastAsia="仿宋_GB2312" w:hAnsi="Arial Narrow" w:cs="Times New Roman"/>
      <w:kern w:val="2"/>
      <w:sz w:val="21"/>
    </w:rPr>
  </w:style>
  <w:style w:type="paragraph" w:styleId="afff0">
    <w:name w:val="Subtitle"/>
    <w:basedOn w:val="a0"/>
    <w:next w:val="a0"/>
    <w:link w:val="afff1"/>
    <w:uiPriority w:val="11"/>
    <w:qFormat/>
    <w:pPr>
      <w:widowControl w:val="0"/>
      <w:spacing w:before="240" w:after="60" w:line="312" w:lineRule="auto"/>
      <w:jc w:val="center"/>
      <w:outlineLvl w:val="1"/>
    </w:pPr>
    <w:rPr>
      <w:rFonts w:ascii="等线 Light" w:hAnsi="等线 Light" w:cs="Times New Roman"/>
      <w:b/>
      <w:bCs/>
      <w:kern w:val="28"/>
      <w:sz w:val="32"/>
      <w:szCs w:val="32"/>
    </w:rPr>
  </w:style>
  <w:style w:type="paragraph" w:styleId="5">
    <w:name w:val="List Number 5"/>
    <w:basedOn w:val="a0"/>
    <w:qFormat/>
    <w:pPr>
      <w:widowControl w:val="0"/>
      <w:numPr>
        <w:numId w:val="8"/>
      </w:numPr>
      <w:jc w:val="both"/>
    </w:pPr>
    <w:rPr>
      <w:rFonts w:ascii="Times New Roman" w:hAnsi="Times New Roman" w:cs="Times New Roman"/>
      <w:kern w:val="2"/>
      <w:sz w:val="21"/>
    </w:rPr>
  </w:style>
  <w:style w:type="paragraph" w:styleId="afff2">
    <w:name w:val="List"/>
    <w:basedOn w:val="a0"/>
    <w:qFormat/>
    <w:pPr>
      <w:widowControl w:val="0"/>
      <w:ind w:left="200" w:hangingChars="200" w:hanging="200"/>
      <w:jc w:val="both"/>
    </w:pPr>
    <w:rPr>
      <w:rFonts w:ascii="Times New Roman" w:eastAsia="等线" w:hAnsi="Times New Roman" w:cs="Times New Roman"/>
      <w:kern w:val="2"/>
      <w:sz w:val="21"/>
    </w:rPr>
  </w:style>
  <w:style w:type="paragraph" w:styleId="afff3">
    <w:name w:val="footnote text"/>
    <w:basedOn w:val="a0"/>
    <w:link w:val="afff4"/>
    <w:uiPriority w:val="99"/>
    <w:qFormat/>
    <w:pPr>
      <w:widowControl w:val="0"/>
      <w:snapToGrid w:val="0"/>
    </w:pPr>
    <w:rPr>
      <w:rFonts w:ascii="Times New Roman" w:eastAsia="等线" w:hAnsi="Times New Roman" w:cs="Times New Roman"/>
      <w:kern w:val="2"/>
      <w:sz w:val="18"/>
      <w:szCs w:val="18"/>
      <w:lang w:val="zh-CN"/>
    </w:rPr>
  </w:style>
  <w:style w:type="paragraph" w:styleId="TOC6">
    <w:name w:val="toc 6"/>
    <w:basedOn w:val="a0"/>
    <w:next w:val="a0"/>
    <w:uiPriority w:val="39"/>
    <w:qFormat/>
    <w:pPr>
      <w:widowControl w:val="0"/>
      <w:ind w:leftChars="1000" w:left="2100"/>
      <w:jc w:val="both"/>
    </w:pPr>
    <w:rPr>
      <w:rFonts w:ascii="Times New Roman" w:eastAsia="等线" w:hAnsi="Times New Roman" w:cs="Times New Roman"/>
      <w:kern w:val="2"/>
      <w:sz w:val="21"/>
    </w:rPr>
  </w:style>
  <w:style w:type="paragraph" w:styleId="56">
    <w:name w:val="List 5"/>
    <w:basedOn w:val="a0"/>
    <w:qFormat/>
    <w:pPr>
      <w:widowControl w:val="0"/>
      <w:ind w:left="1415" w:hanging="283"/>
      <w:jc w:val="both"/>
    </w:pPr>
    <w:rPr>
      <w:rFonts w:ascii="Times New Roman" w:hAnsi="Times New Roman" w:cs="Times New Roman"/>
      <w:kern w:val="2"/>
      <w:sz w:val="21"/>
    </w:rPr>
  </w:style>
  <w:style w:type="paragraph" w:styleId="37">
    <w:name w:val="Body Text Indent 3"/>
    <w:basedOn w:val="a0"/>
    <w:link w:val="38"/>
    <w:qFormat/>
    <w:pPr>
      <w:adjustRightInd w:val="0"/>
      <w:spacing w:line="360" w:lineRule="auto"/>
      <w:ind w:firstLine="570"/>
      <w:textAlignment w:val="baseline"/>
    </w:pPr>
    <w:rPr>
      <w:rFonts w:hAnsi="Times New Roman" w:cs="Times New Roman"/>
      <w:b/>
      <w:kern w:val="2"/>
      <w:sz w:val="32"/>
      <w:szCs w:val="20"/>
    </w:rPr>
  </w:style>
  <w:style w:type="paragraph" w:styleId="71">
    <w:name w:val="index 7"/>
    <w:basedOn w:val="a0"/>
    <w:next w:val="a0"/>
    <w:qFormat/>
    <w:pPr>
      <w:widowControl w:val="0"/>
      <w:ind w:left="1400" w:hanging="200"/>
      <w:jc w:val="both"/>
    </w:pPr>
    <w:rPr>
      <w:rFonts w:ascii="Times New Roman" w:hAnsi="Times New Roman" w:cs="Times New Roman"/>
      <w:kern w:val="2"/>
      <w:sz w:val="21"/>
    </w:rPr>
  </w:style>
  <w:style w:type="paragraph" w:styleId="91">
    <w:name w:val="index 9"/>
    <w:basedOn w:val="a0"/>
    <w:next w:val="a0"/>
    <w:qFormat/>
    <w:pPr>
      <w:widowControl w:val="0"/>
      <w:ind w:left="1800" w:hanging="200"/>
      <w:jc w:val="both"/>
    </w:pPr>
    <w:rPr>
      <w:rFonts w:ascii="Times New Roman" w:hAnsi="Times New Roman" w:cs="Times New Roman"/>
      <w:kern w:val="2"/>
      <w:sz w:val="21"/>
    </w:rPr>
  </w:style>
  <w:style w:type="paragraph" w:styleId="afff5">
    <w:name w:val="table of figures"/>
    <w:basedOn w:val="a0"/>
    <w:next w:val="a0"/>
    <w:qFormat/>
    <w:pPr>
      <w:widowControl w:val="0"/>
      <w:ind w:left="400" w:hanging="400"/>
      <w:jc w:val="both"/>
    </w:pPr>
    <w:rPr>
      <w:rFonts w:ascii="Times New Roman" w:hAnsi="Times New Roman" w:cs="Times New Roman"/>
      <w:kern w:val="2"/>
      <w:sz w:val="21"/>
    </w:rPr>
  </w:style>
  <w:style w:type="paragraph" w:styleId="TOC2">
    <w:name w:val="toc 2"/>
    <w:basedOn w:val="a0"/>
    <w:next w:val="a0"/>
    <w:uiPriority w:val="39"/>
    <w:qFormat/>
    <w:pPr>
      <w:widowControl w:val="0"/>
      <w:tabs>
        <w:tab w:val="right" w:leader="dot" w:pos="8296"/>
      </w:tabs>
      <w:spacing w:line="360" w:lineRule="auto"/>
      <w:ind w:leftChars="200" w:left="420"/>
      <w:jc w:val="both"/>
    </w:pPr>
    <w:rPr>
      <w:rFonts w:ascii="Times New Roman" w:hAnsi="Times New Roman" w:cs="Times New Roman"/>
      <w:b/>
      <w:bCs/>
      <w:kern w:val="2"/>
    </w:rPr>
  </w:style>
  <w:style w:type="paragraph" w:styleId="TOC9">
    <w:name w:val="toc 9"/>
    <w:basedOn w:val="a0"/>
    <w:next w:val="a0"/>
    <w:uiPriority w:val="39"/>
    <w:qFormat/>
    <w:pPr>
      <w:widowControl w:val="0"/>
      <w:ind w:leftChars="1600" w:left="3360"/>
      <w:jc w:val="both"/>
    </w:pPr>
    <w:rPr>
      <w:rFonts w:ascii="Times New Roman" w:eastAsia="等线" w:hAnsi="Times New Roman" w:cs="Times New Roman"/>
      <w:kern w:val="2"/>
      <w:sz w:val="21"/>
    </w:rPr>
  </w:style>
  <w:style w:type="paragraph" w:styleId="26">
    <w:name w:val="Body Text 2"/>
    <w:basedOn w:val="a0"/>
    <w:link w:val="27"/>
    <w:qFormat/>
    <w:pPr>
      <w:widowControl w:val="0"/>
      <w:spacing w:after="120" w:line="480" w:lineRule="auto"/>
      <w:jc w:val="both"/>
    </w:pPr>
    <w:rPr>
      <w:rFonts w:ascii="Times New Roman" w:eastAsia="等线" w:hAnsi="Times New Roman" w:cs="Times New Roman"/>
      <w:kern w:val="2"/>
      <w:sz w:val="21"/>
      <w:lang w:val="zh-CN"/>
    </w:rPr>
  </w:style>
  <w:style w:type="paragraph" w:styleId="45">
    <w:name w:val="List 4"/>
    <w:basedOn w:val="a0"/>
    <w:qFormat/>
    <w:pPr>
      <w:widowControl w:val="0"/>
      <w:ind w:left="1132" w:hanging="283"/>
      <w:jc w:val="both"/>
    </w:pPr>
    <w:rPr>
      <w:rFonts w:ascii="Times New Roman" w:hAnsi="Times New Roman" w:cs="Times New Roman"/>
      <w:kern w:val="2"/>
      <w:sz w:val="21"/>
    </w:rPr>
  </w:style>
  <w:style w:type="paragraph" w:styleId="28">
    <w:name w:val="List Continue 2"/>
    <w:basedOn w:val="a0"/>
    <w:qFormat/>
    <w:pPr>
      <w:widowControl w:val="0"/>
      <w:spacing w:after="120"/>
      <w:ind w:left="566"/>
      <w:jc w:val="both"/>
    </w:pPr>
    <w:rPr>
      <w:rFonts w:ascii="Times New Roman" w:hAnsi="Times New Roman" w:cs="Times New Roman"/>
      <w:kern w:val="2"/>
      <w:sz w:val="21"/>
    </w:rPr>
  </w:style>
  <w:style w:type="paragraph" w:styleId="afff6">
    <w:name w:val="Message Header"/>
    <w:basedOn w:val="a0"/>
    <w:link w:val="afff7"/>
    <w:qFormat/>
    <w:pPr>
      <w:widowControl w:val="0"/>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Times New Roman" w:hAnsi="Times New Roman" w:cs="Arial"/>
      <w:kern w:val="2"/>
    </w:rPr>
  </w:style>
  <w:style w:type="paragraph" w:styleId="HTML1">
    <w:name w:val="HTML Preformatted"/>
    <w:basedOn w:val="a0"/>
    <w:link w:val="HTML1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eastAsiaTheme="minorEastAsia"/>
      <w:kern w:val="2"/>
    </w:rPr>
  </w:style>
  <w:style w:type="paragraph" w:styleId="afff8">
    <w:name w:val="Normal (Web)"/>
    <w:basedOn w:val="a0"/>
    <w:link w:val="afff9"/>
    <w:uiPriority w:val="99"/>
    <w:qFormat/>
    <w:pPr>
      <w:spacing w:before="100" w:beforeAutospacing="1" w:after="100" w:afterAutospacing="1"/>
    </w:pPr>
    <w:rPr>
      <w:rFonts w:eastAsia="等线" w:cs="Times New Roman"/>
    </w:rPr>
  </w:style>
  <w:style w:type="paragraph" w:styleId="39">
    <w:name w:val="List Continue 3"/>
    <w:basedOn w:val="a0"/>
    <w:qFormat/>
    <w:pPr>
      <w:widowControl w:val="0"/>
      <w:spacing w:after="120"/>
      <w:ind w:left="849"/>
      <w:jc w:val="both"/>
    </w:pPr>
    <w:rPr>
      <w:rFonts w:ascii="Times New Roman" w:hAnsi="Times New Roman" w:cs="Times New Roman"/>
      <w:kern w:val="2"/>
      <w:sz w:val="21"/>
    </w:rPr>
  </w:style>
  <w:style w:type="paragraph" w:styleId="29">
    <w:name w:val="index 2"/>
    <w:basedOn w:val="a0"/>
    <w:next w:val="a0"/>
    <w:qFormat/>
    <w:pPr>
      <w:widowControl w:val="0"/>
      <w:ind w:left="400" w:hanging="200"/>
      <w:jc w:val="both"/>
    </w:pPr>
    <w:rPr>
      <w:rFonts w:ascii="Times New Roman" w:hAnsi="Times New Roman" w:cs="Times New Roman"/>
      <w:kern w:val="2"/>
      <w:sz w:val="21"/>
    </w:rPr>
  </w:style>
  <w:style w:type="paragraph" w:styleId="afffa">
    <w:name w:val="Title"/>
    <w:basedOn w:val="af4"/>
    <w:link w:val="afffb"/>
    <w:qFormat/>
    <w:pPr>
      <w:spacing w:before="240" w:after="60"/>
      <w:jc w:val="center"/>
      <w:outlineLvl w:val="0"/>
    </w:pPr>
    <w:rPr>
      <w:rFonts w:ascii="Arial" w:eastAsia="宋体" w:hAnsi="Arial" w:cs="Arial"/>
      <w:b/>
      <w:bCs/>
      <w:sz w:val="32"/>
      <w:szCs w:val="32"/>
      <w:lang w:val="en-US"/>
    </w:rPr>
  </w:style>
  <w:style w:type="paragraph" w:styleId="afffc">
    <w:name w:val="annotation subject"/>
    <w:basedOn w:val="af7"/>
    <w:next w:val="af7"/>
    <w:link w:val="afffd"/>
    <w:qFormat/>
    <w:rPr>
      <w:b/>
      <w:bCs/>
    </w:rPr>
  </w:style>
  <w:style w:type="paragraph" w:styleId="afffe">
    <w:name w:val="Body Text First Indent"/>
    <w:basedOn w:val="ac"/>
    <w:link w:val="57"/>
    <w:uiPriority w:val="99"/>
    <w:unhideWhenUsed/>
    <w:qFormat/>
    <w:pPr>
      <w:ind w:firstLineChars="100" w:firstLine="420"/>
    </w:pPr>
    <w:rPr>
      <w:rFonts w:ascii="Calibri" w:hAnsi="Calibri"/>
      <w:szCs w:val="22"/>
      <w:lang w:val="en-US"/>
    </w:rPr>
  </w:style>
  <w:style w:type="paragraph" w:styleId="2a">
    <w:name w:val="Body Text First Indent 2"/>
    <w:basedOn w:val="afd"/>
    <w:link w:val="2b"/>
    <w:uiPriority w:val="99"/>
    <w:qFormat/>
    <w:pPr>
      <w:ind w:leftChars="0" w:left="283" w:firstLine="210"/>
    </w:pPr>
    <w:rPr>
      <w:rFonts w:eastAsia="宋体"/>
      <w:lang w:val="en-US"/>
    </w:rPr>
  </w:style>
  <w:style w:type="table" w:styleId="affff">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0">
    <w:name w:val="Table Theme"/>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olorful 1"/>
    <w:basedOn w:val="a3"/>
    <w:semiHidden/>
    <w:qFormat/>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2c">
    <w:name w:val="Table Colorful 2"/>
    <w:basedOn w:val="a3"/>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3a">
    <w:name w:val="Table Colorful 3"/>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affff1">
    <w:name w:val="Table Elegant"/>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3">
    <w:name w:val="Table Classic 1"/>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3b">
    <w:name w:val="Table Classic 3"/>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46">
    <w:name w:val="Table Classic 4"/>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4">
    <w:name w:val="Table Simple 1"/>
    <w:basedOn w:val="a3"/>
    <w:qFormat/>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2e">
    <w:name w:val="Table Simple 2"/>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3c">
    <w:name w:val="Table Simple 3"/>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5">
    <w:name w:val="Table Subtle 1"/>
    <w:basedOn w:val="a3"/>
    <w:semiHidden/>
    <w:qFormat/>
    <w:rPr>
      <w:rFonts w:ascii="Times New Roman" w:eastAsia="宋体" w:hAnsi="Times New Roman" w:cs="Times New Roman"/>
    </w:r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
    <w:name w:val="Table Subtle 2"/>
    <w:basedOn w:val="a3"/>
    <w:semiHidden/>
    <w:qFormat/>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6">
    <w:name w:val="Table 3D effects 1"/>
    <w:basedOn w:val="a3"/>
    <w:uiPriority w:val="99"/>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2f0">
    <w:name w:val="Table 3D effects 2"/>
    <w:basedOn w:val="a3"/>
    <w:uiPriority w:val="99"/>
    <w:qFormat/>
    <w:rPr>
      <w:rFonts w:ascii="Times New Roman" w:eastAsia="宋体" w:hAnsi="Times New Roman" w:cs="Times New Roman"/>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3d">
    <w:name w:val="Table 3D effects 3"/>
    <w:basedOn w:val="a3"/>
    <w:uiPriority w:val="99"/>
    <w:semiHidden/>
    <w:qFormat/>
    <w:rPr>
      <w:rFonts w:ascii="Times New Roman" w:eastAsia="宋体" w:hAnsi="Times New Roman" w:cs="Times New Roman"/>
    </w:r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17">
    <w:name w:val="Table List 1"/>
    <w:basedOn w:val="a3"/>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2f1">
    <w:name w:val="Table List 2"/>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3e">
    <w:name w:val="Table List 3"/>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47">
    <w:name w:val="Table List 4"/>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58">
    <w:name w:val="Table List 5"/>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62">
    <w:name w:val="Table List 6"/>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72">
    <w:name w:val="Table List 7"/>
    <w:basedOn w:val="a3"/>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82">
    <w:name w:val="Table List 8"/>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affff2">
    <w:name w:val="Table Contemporary"/>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8">
    <w:name w:val="Table Columns 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2">
    <w:name w:val="Table Columns 2"/>
    <w:basedOn w:val="a3"/>
    <w:semiHidden/>
    <w:qFormat/>
    <w:rPr>
      <w:rFonts w:ascii="Times New Roman" w:eastAsia="宋体" w:hAnsi="Times New Roman" w:cs="Times New Roman"/>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3f">
    <w:name w:val="Table Columns 3"/>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48">
    <w:name w:val="Table Columns 4"/>
    <w:basedOn w:val="a3"/>
    <w:semiHidden/>
    <w:qFormat/>
    <w:rPr>
      <w:rFonts w:ascii="Times New Roman" w:eastAsia="宋体" w:hAnsi="Times New Roman" w:cs="Times New Roman"/>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9">
    <w:name w:val="Table Grid 1"/>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2f3">
    <w:name w:val="Table Grid 2"/>
    <w:basedOn w:val="a3"/>
    <w:semiHidden/>
    <w:qFormat/>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f0">
    <w:name w:val="Table Grid 3"/>
    <w:basedOn w:val="a3"/>
    <w:semiHidden/>
    <w:qFormat/>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9">
    <w:name w:val="Table Grid 4"/>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5a">
    <w:name w:val="Table Grid 5"/>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63">
    <w:name w:val="Table Grid 6"/>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73">
    <w:name w:val="Table Grid 7"/>
    <w:basedOn w:val="a3"/>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83">
    <w:name w:val="Table Grid 8"/>
    <w:basedOn w:val="a3"/>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a">
    <w:name w:val="Table Web 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2f4">
    <w:name w:val="Table Web 2"/>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3f1">
    <w:name w:val="Table Web 3"/>
    <w:basedOn w:val="a3"/>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affff3">
    <w:name w:val="Table Professional"/>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3">
    <w:name w:val="Light List Accent 3"/>
    <w:basedOn w:val="a3"/>
    <w:uiPriority w:val="61"/>
    <w:qFormat/>
    <w:rPr>
      <w:rFonts w:ascii="Calibri" w:eastAsia="宋体" w:hAnsi="Calibri" w:cs="Times New Roman"/>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4">
    <w:name w:val="Light Grid Accent 4"/>
    <w:basedOn w:val="a3"/>
    <w:uiPriority w:val="67"/>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1-2">
    <w:name w:val="Medium Shading 1 Accent 2"/>
    <w:basedOn w:val="a3"/>
    <w:uiPriority w:val="63"/>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2-5">
    <w:name w:val="Medium Shading 2 Accent 5"/>
    <w:basedOn w:val="a3"/>
    <w:uiPriority w:val="64"/>
    <w:qFormat/>
    <w:rPr>
      <w:rFonts w:ascii="Calibri" w:eastAsia="宋体" w:hAnsi="Calibri" w:cs="Times New Roman"/>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3">
    <w:name w:val="Medium Grid 1 Accent 3"/>
    <w:basedOn w:val="a3"/>
    <w:uiPriority w:val="67"/>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2-1">
    <w:name w:val="Medium Grid 2 Accent 1"/>
    <w:basedOn w:val="a3"/>
    <w:uiPriority w:val="68"/>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styleId="-30">
    <w:name w:val="Dark List Accent 3"/>
    <w:basedOn w:val="a3"/>
    <w:uiPriority w:val="61"/>
    <w:qFormat/>
    <w:rPr>
      <w:rFonts w:ascii="Calibri" w:eastAsia="宋体" w:hAnsi="Calibri" w:cs="Times New Roman"/>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2">
    <w:name w:val="Colorful List Accent 2"/>
    <w:basedOn w:val="a3"/>
    <w:uiPriority w:val="72"/>
    <w:qFormat/>
    <w:rPr>
      <w:rFonts w:ascii="Calibri" w:eastAsia="宋体" w:hAnsi="Calibri" w:cs="Times New Roman"/>
      <w:color w:val="000000"/>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5">
    <w:name w:val="Colorful Grid Accent 5"/>
    <w:basedOn w:val="a3"/>
    <w:uiPriority w:val="64"/>
    <w:qFormat/>
    <w:rPr>
      <w:rFonts w:ascii="Calibri" w:eastAsia="宋体" w:hAnsi="Calibri" w:cs="Times New Roman"/>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fff4">
    <w:name w:val="Strong"/>
    <w:uiPriority w:val="22"/>
    <w:qFormat/>
    <w:rPr>
      <w:b/>
      <w:bCs/>
    </w:rPr>
  </w:style>
  <w:style w:type="character" w:styleId="affff5">
    <w:name w:val="endnote reference"/>
    <w:uiPriority w:val="99"/>
    <w:unhideWhenUsed/>
    <w:qFormat/>
    <w:rPr>
      <w:vertAlign w:val="superscript"/>
    </w:rPr>
  </w:style>
  <w:style w:type="character" w:styleId="affff6">
    <w:name w:val="page number"/>
    <w:qFormat/>
  </w:style>
  <w:style w:type="character" w:styleId="affff7">
    <w:name w:val="FollowedHyperlink"/>
    <w:uiPriority w:val="99"/>
    <w:qFormat/>
    <w:rPr>
      <w:color w:val="800080"/>
      <w:u w:val="single"/>
    </w:rPr>
  </w:style>
  <w:style w:type="character" w:styleId="affff8">
    <w:name w:val="Emphasis"/>
    <w:uiPriority w:val="20"/>
    <w:qFormat/>
    <w:rPr>
      <w:i/>
      <w:iCs/>
    </w:rPr>
  </w:style>
  <w:style w:type="character" w:styleId="affff9">
    <w:name w:val="line number"/>
    <w:qFormat/>
  </w:style>
  <w:style w:type="character" w:styleId="HTML2">
    <w:name w:val="HTML Definition"/>
    <w:qFormat/>
    <w:rPr>
      <w:i/>
      <w:iCs/>
    </w:rPr>
  </w:style>
  <w:style w:type="character" w:styleId="HTML3">
    <w:name w:val="HTML Typewriter"/>
    <w:qFormat/>
    <w:rPr>
      <w:rFonts w:ascii="Courier New" w:hAnsi="Courier New" w:cs="Courier New"/>
      <w:sz w:val="20"/>
      <w:szCs w:val="20"/>
    </w:rPr>
  </w:style>
  <w:style w:type="character" w:styleId="HTML4">
    <w:name w:val="HTML Acronym"/>
    <w:qFormat/>
  </w:style>
  <w:style w:type="character" w:styleId="HTML5">
    <w:name w:val="HTML Variable"/>
    <w:qFormat/>
    <w:rPr>
      <w:i/>
      <w:iCs/>
    </w:rPr>
  </w:style>
  <w:style w:type="character" w:styleId="affffa">
    <w:name w:val="Hyperlink"/>
    <w:uiPriority w:val="99"/>
    <w:qFormat/>
    <w:rPr>
      <w:color w:val="0000FF"/>
      <w:u w:val="single"/>
    </w:rPr>
  </w:style>
  <w:style w:type="character" w:styleId="HTML6">
    <w:name w:val="HTML Code"/>
    <w:qFormat/>
    <w:rPr>
      <w:rFonts w:ascii="Courier New" w:hAnsi="Courier New" w:cs="Courier New"/>
      <w:sz w:val="20"/>
      <w:szCs w:val="20"/>
    </w:rPr>
  </w:style>
  <w:style w:type="character" w:styleId="affffb">
    <w:name w:val="annotation reference"/>
    <w:qFormat/>
    <w:rPr>
      <w:sz w:val="21"/>
      <w:szCs w:val="21"/>
    </w:rPr>
  </w:style>
  <w:style w:type="character" w:styleId="HTML7">
    <w:name w:val="HTML Cite"/>
    <w:qFormat/>
    <w:rPr>
      <w:i/>
      <w:iCs/>
    </w:rPr>
  </w:style>
  <w:style w:type="character" w:styleId="affffc">
    <w:name w:val="footnote reference"/>
    <w:qFormat/>
    <w:rPr>
      <w:vertAlign w:val="superscript"/>
    </w:rPr>
  </w:style>
  <w:style w:type="character" w:styleId="HTML8">
    <w:name w:val="HTML Keyboard"/>
    <w:qFormat/>
    <w:rPr>
      <w:rFonts w:ascii="Courier New" w:hAnsi="Courier New" w:cs="Courier New"/>
      <w:sz w:val="20"/>
      <w:szCs w:val="20"/>
    </w:rPr>
  </w:style>
  <w:style w:type="character" w:styleId="HTML9">
    <w:name w:val="HTML Sample"/>
    <w:qFormat/>
    <w:rPr>
      <w:rFonts w:ascii="Courier New" w:hAnsi="Courier New" w:cs="Courier New"/>
    </w:rPr>
  </w:style>
  <w:style w:type="character" w:customStyle="1" w:styleId="42">
    <w:name w:val="标题 4 字符"/>
    <w:basedOn w:val="a2"/>
    <w:link w:val="41"/>
    <w:uiPriority w:val="9"/>
    <w:qFormat/>
    <w:rPr>
      <w:rFonts w:ascii="等线 Light" w:eastAsia="等线 Light" w:hAnsi="等线 Light" w:cs="Times New Roman"/>
      <w:b/>
      <w:bCs/>
      <w:sz w:val="28"/>
      <w:szCs w:val="28"/>
    </w:rPr>
  </w:style>
  <w:style w:type="paragraph" w:customStyle="1" w:styleId="affffd">
    <w:name w:val="文件正文"/>
    <w:link w:val="Char"/>
    <w:qFormat/>
    <w:pPr>
      <w:spacing w:beforeLines="50" w:line="360" w:lineRule="auto"/>
      <w:ind w:firstLineChars="200" w:firstLine="200"/>
      <w:jc w:val="both"/>
    </w:pPr>
    <w:rPr>
      <w:rFonts w:ascii="Times New Roman" w:eastAsia="宋体" w:hAnsi="Times New Roman" w:cs="Times New Roman"/>
      <w:color w:val="000000"/>
      <w:sz w:val="24"/>
      <w:szCs w:val="21"/>
    </w:rPr>
  </w:style>
  <w:style w:type="character" w:customStyle="1" w:styleId="Char">
    <w:name w:val="文件正文 Char"/>
    <w:link w:val="affffd"/>
    <w:qFormat/>
    <w:rPr>
      <w:rFonts w:ascii="Times New Roman" w:eastAsia="宋体" w:hAnsi="Times New Roman" w:cs="Times New Roman"/>
      <w:color w:val="000000"/>
      <w:kern w:val="0"/>
      <w:sz w:val="24"/>
      <w:szCs w:val="21"/>
    </w:rPr>
  </w:style>
  <w:style w:type="paragraph" w:styleId="affffe">
    <w:name w:val="List Paragraph"/>
    <w:basedOn w:val="a0"/>
    <w:link w:val="4a"/>
    <w:qFormat/>
    <w:pPr>
      <w:widowControl w:val="0"/>
      <w:ind w:firstLineChars="200" w:firstLine="420"/>
      <w:jc w:val="both"/>
    </w:pPr>
    <w:rPr>
      <w:rFonts w:asciiTheme="minorHAnsi" w:eastAsiaTheme="minorEastAsia" w:hAnsiTheme="minorHAnsi" w:cstheme="minorBidi"/>
      <w:kern w:val="2"/>
      <w:sz w:val="21"/>
      <w:szCs w:val="22"/>
    </w:rPr>
  </w:style>
  <w:style w:type="paragraph" w:customStyle="1" w:styleId="afffff">
    <w:name w:val="二级标题"/>
    <w:next w:val="affffd"/>
    <w:link w:val="Char0"/>
    <w:uiPriority w:val="1"/>
    <w:qFormat/>
    <w:pPr>
      <w:spacing w:beforeLines="50" w:before="156" w:line="360" w:lineRule="auto"/>
      <w:ind w:firstLineChars="200" w:firstLine="562"/>
      <w:jc w:val="both"/>
      <w:outlineLvl w:val="0"/>
    </w:pPr>
    <w:rPr>
      <w:rFonts w:ascii="Times New Roman" w:eastAsia="黑体" w:hAnsi="Times New Roman" w:cs="Times New Roman"/>
      <w:b/>
      <w:color w:val="000000"/>
      <w:sz w:val="28"/>
      <w:szCs w:val="28"/>
    </w:rPr>
  </w:style>
  <w:style w:type="character" w:customStyle="1" w:styleId="Char0">
    <w:name w:val="二级标题 Char"/>
    <w:link w:val="afffff"/>
    <w:uiPriority w:val="1"/>
    <w:qFormat/>
    <w:rPr>
      <w:rFonts w:ascii="Times New Roman" w:eastAsia="黑体" w:hAnsi="Times New Roman" w:cs="Times New Roman"/>
      <w:b/>
      <w:color w:val="000000"/>
      <w:kern w:val="0"/>
      <w:sz w:val="28"/>
      <w:szCs w:val="28"/>
    </w:rPr>
  </w:style>
  <w:style w:type="character" w:customStyle="1" w:styleId="affc">
    <w:name w:val="页眉 字符"/>
    <w:basedOn w:val="a2"/>
    <w:link w:val="affb"/>
    <w:uiPriority w:val="99"/>
    <w:qFormat/>
    <w:rPr>
      <w:sz w:val="18"/>
      <w:szCs w:val="18"/>
    </w:rPr>
  </w:style>
  <w:style w:type="character" w:customStyle="1" w:styleId="aff9">
    <w:name w:val="页脚 字符"/>
    <w:basedOn w:val="a2"/>
    <w:link w:val="aff8"/>
    <w:uiPriority w:val="99"/>
    <w:qFormat/>
    <w:rPr>
      <w:sz w:val="18"/>
      <w:szCs w:val="18"/>
    </w:rPr>
  </w:style>
  <w:style w:type="table" w:customStyle="1" w:styleId="1b">
    <w:name w:val="网格型1"/>
    <w:basedOn w:val="a3"/>
    <w:uiPriority w:val="39"/>
    <w:qFormat/>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2"/>
    <w:link w:val="1"/>
    <w:uiPriority w:val="9"/>
    <w:qFormat/>
    <w:rPr>
      <w:rFonts w:ascii="等线" w:eastAsia="等线" w:hAnsi="等线" w:cs="Times New Roman"/>
      <w:b/>
      <w:bCs/>
      <w:kern w:val="44"/>
      <w:sz w:val="44"/>
      <w:szCs w:val="44"/>
    </w:rPr>
  </w:style>
  <w:style w:type="character" w:customStyle="1" w:styleId="21">
    <w:name w:val="标题 2 字符"/>
    <w:basedOn w:val="a2"/>
    <w:link w:val="20"/>
    <w:uiPriority w:val="9"/>
    <w:qFormat/>
    <w:rPr>
      <w:rFonts w:ascii="等线 Light" w:eastAsia="等线 Light" w:hAnsi="等线 Light" w:cs="Times New Roman"/>
      <w:b/>
      <w:bCs/>
      <w:sz w:val="32"/>
      <w:szCs w:val="32"/>
    </w:rPr>
  </w:style>
  <w:style w:type="character" w:customStyle="1" w:styleId="32">
    <w:name w:val="标题 3 字符"/>
    <w:basedOn w:val="a2"/>
    <w:link w:val="31"/>
    <w:uiPriority w:val="9"/>
    <w:qFormat/>
    <w:rPr>
      <w:rFonts w:ascii="等线" w:eastAsia="等线" w:hAnsi="等线" w:cs="Times New Roman"/>
      <w:b/>
      <w:bCs/>
      <w:sz w:val="32"/>
      <w:szCs w:val="32"/>
    </w:rPr>
  </w:style>
  <w:style w:type="character" w:customStyle="1" w:styleId="52">
    <w:name w:val="标题 5 字符"/>
    <w:basedOn w:val="a2"/>
    <w:link w:val="51"/>
    <w:uiPriority w:val="9"/>
    <w:qFormat/>
    <w:rPr>
      <w:rFonts w:ascii="等线" w:eastAsia="等线" w:hAnsi="等线" w:cs="Times New Roman"/>
      <w:b/>
      <w:bCs/>
      <w:sz w:val="28"/>
      <w:szCs w:val="28"/>
    </w:rPr>
  </w:style>
  <w:style w:type="character" w:customStyle="1" w:styleId="60">
    <w:name w:val="标题 6 字符"/>
    <w:basedOn w:val="a2"/>
    <w:link w:val="6"/>
    <w:uiPriority w:val="9"/>
    <w:qFormat/>
    <w:rPr>
      <w:rFonts w:ascii="等线 Light" w:eastAsia="等线 Light" w:hAnsi="等线 Light" w:cs="Times New Roman"/>
      <w:b/>
      <w:bCs/>
      <w:sz w:val="24"/>
      <w:szCs w:val="24"/>
    </w:rPr>
  </w:style>
  <w:style w:type="character" w:customStyle="1" w:styleId="70">
    <w:name w:val="标题 7 字符"/>
    <w:basedOn w:val="a2"/>
    <w:link w:val="7"/>
    <w:uiPriority w:val="9"/>
    <w:qFormat/>
    <w:rPr>
      <w:rFonts w:ascii="等线" w:eastAsia="等线" w:hAnsi="等线" w:cs="Times New Roman"/>
      <w:b/>
      <w:bCs/>
      <w:sz w:val="24"/>
      <w:szCs w:val="24"/>
    </w:rPr>
  </w:style>
  <w:style w:type="character" w:customStyle="1" w:styleId="80">
    <w:name w:val="标题 8 字符"/>
    <w:basedOn w:val="a2"/>
    <w:link w:val="8"/>
    <w:uiPriority w:val="9"/>
    <w:qFormat/>
    <w:rPr>
      <w:rFonts w:ascii="等线 Light" w:eastAsia="等线 Light" w:hAnsi="等线 Light" w:cs="Times New Roman"/>
      <w:sz w:val="24"/>
      <w:szCs w:val="24"/>
    </w:rPr>
  </w:style>
  <w:style w:type="character" w:customStyle="1" w:styleId="90">
    <w:name w:val="标题 9 字符"/>
    <w:basedOn w:val="a2"/>
    <w:link w:val="9"/>
    <w:uiPriority w:val="9"/>
    <w:qFormat/>
    <w:rPr>
      <w:rFonts w:ascii="等线 Light" w:eastAsia="等线 Light" w:hAnsi="等线 Light" w:cs="Times New Roman"/>
      <w:szCs w:val="21"/>
    </w:rPr>
  </w:style>
  <w:style w:type="paragraph" w:customStyle="1" w:styleId="afffff0">
    <w:name w:val="一级标题"/>
    <w:next w:val="affffd"/>
    <w:link w:val="1Char2"/>
    <w:qFormat/>
    <w:pPr>
      <w:widowControl w:val="0"/>
      <w:tabs>
        <w:tab w:val="center" w:pos="4153"/>
        <w:tab w:val="left" w:pos="6390"/>
      </w:tabs>
      <w:spacing w:beforeLines="50" w:before="156" w:afterLines="100" w:after="312"/>
      <w:jc w:val="center"/>
      <w:outlineLvl w:val="0"/>
    </w:pPr>
    <w:rPr>
      <w:rFonts w:ascii="黑体" w:eastAsia="黑体" w:hAnsi="黑体" w:cs="Arial"/>
      <w:b/>
      <w:bCs/>
      <w:kern w:val="2"/>
      <w:sz w:val="32"/>
      <w:szCs w:val="24"/>
    </w:rPr>
  </w:style>
  <w:style w:type="character" w:customStyle="1" w:styleId="1Char2">
    <w:name w:val="标题 1 Char2"/>
    <w:link w:val="afffff0"/>
    <w:qFormat/>
    <w:rPr>
      <w:rFonts w:ascii="黑体" w:eastAsia="黑体" w:hAnsi="黑体" w:cs="Arial"/>
      <w:b/>
      <w:bCs/>
      <w:sz w:val="32"/>
      <w:szCs w:val="24"/>
    </w:rPr>
  </w:style>
  <w:style w:type="paragraph" w:customStyle="1" w:styleId="afffff1">
    <w:name w:val="三级标题"/>
    <w:next w:val="affffd"/>
    <w:link w:val="Char1"/>
    <w:uiPriority w:val="2"/>
    <w:qFormat/>
    <w:pPr>
      <w:spacing w:beforeLines="50" w:before="156" w:after="120" w:line="360" w:lineRule="auto"/>
      <w:ind w:firstLineChars="200" w:firstLine="480"/>
      <w:jc w:val="both"/>
    </w:pPr>
    <w:rPr>
      <w:rFonts w:ascii="Times New Roman" w:eastAsia="宋体" w:hAnsi="Times New Roman" w:cs="Times New Roman"/>
      <w:bCs/>
      <w:color w:val="000000"/>
      <w:kern w:val="2"/>
      <w:sz w:val="24"/>
      <w:szCs w:val="22"/>
      <w:lang w:val="en-GB"/>
    </w:rPr>
  </w:style>
  <w:style w:type="character" w:customStyle="1" w:styleId="Char1">
    <w:name w:val="三级标题 Char"/>
    <w:link w:val="afffff1"/>
    <w:uiPriority w:val="2"/>
    <w:qFormat/>
    <w:rPr>
      <w:rFonts w:ascii="Times New Roman" w:eastAsia="宋体" w:hAnsi="Times New Roman" w:cs="Times New Roman"/>
      <w:bCs/>
      <w:color w:val="000000"/>
      <w:sz w:val="24"/>
      <w:lang w:val="en-GB"/>
    </w:rPr>
  </w:style>
  <w:style w:type="paragraph" w:customStyle="1" w:styleId="afffff2">
    <w:name w:val="四级标题"/>
    <w:next w:val="affffd"/>
    <w:link w:val="Char2"/>
    <w:uiPriority w:val="4"/>
    <w:qFormat/>
    <w:pPr>
      <w:widowControl w:val="0"/>
      <w:spacing w:afterLines="50" w:after="156" w:line="360" w:lineRule="auto"/>
      <w:ind w:firstLineChars="200" w:firstLine="420"/>
    </w:pPr>
    <w:rPr>
      <w:rFonts w:ascii="Times New Roman" w:eastAsia="宋体" w:hAnsi="Times New Roman" w:cs="Times New Roman"/>
      <w:bCs/>
      <w:color w:val="000000"/>
      <w:kern w:val="2"/>
      <w:sz w:val="21"/>
      <w:szCs w:val="21"/>
      <w:lang w:val="en-GB"/>
    </w:rPr>
  </w:style>
  <w:style w:type="character" w:customStyle="1" w:styleId="Char2">
    <w:name w:val="四级标题 Char"/>
    <w:link w:val="afffff2"/>
    <w:uiPriority w:val="4"/>
    <w:qFormat/>
    <w:rPr>
      <w:rFonts w:ascii="Times New Roman" w:eastAsia="宋体" w:hAnsi="Times New Roman" w:cs="Times New Roman"/>
      <w:bCs/>
      <w:color w:val="000000"/>
      <w:szCs w:val="21"/>
      <w:lang w:val="en-GB"/>
    </w:rPr>
  </w:style>
  <w:style w:type="paragraph" w:customStyle="1" w:styleId="afffff3">
    <w:name w:val="文件更新"/>
    <w:next w:val="affffd"/>
    <w:link w:val="Char3"/>
    <w:uiPriority w:val="5"/>
    <w:qFormat/>
    <w:pPr>
      <w:spacing w:beforeLines="50" w:before="50" w:line="360" w:lineRule="auto"/>
      <w:ind w:firstLineChars="200" w:firstLine="200"/>
    </w:pPr>
    <w:rPr>
      <w:rFonts w:ascii="楷体" w:eastAsia="楷体" w:hAnsi="楷体" w:cs="Times New Roman"/>
      <w:b/>
      <w:color w:val="000000"/>
      <w:kern w:val="2"/>
      <w:sz w:val="24"/>
      <w:szCs w:val="22"/>
    </w:rPr>
  </w:style>
  <w:style w:type="character" w:customStyle="1" w:styleId="Char3">
    <w:name w:val="文件更新 Char"/>
    <w:link w:val="afffff3"/>
    <w:uiPriority w:val="5"/>
    <w:qFormat/>
    <w:rPr>
      <w:rFonts w:ascii="楷体" w:eastAsia="楷体" w:hAnsi="楷体" w:cs="Times New Roman"/>
      <w:b/>
      <w:color w:val="000000"/>
      <w:sz w:val="24"/>
    </w:rPr>
  </w:style>
  <w:style w:type="paragraph" w:customStyle="1" w:styleId="afffff4">
    <w:name w:val="文件小注"/>
    <w:next w:val="affffd"/>
    <w:link w:val="Char4"/>
    <w:uiPriority w:val="7"/>
    <w:qFormat/>
    <w:pPr>
      <w:ind w:firstLineChars="200" w:firstLine="200"/>
    </w:pPr>
    <w:rPr>
      <w:rFonts w:ascii="Times New Roman" w:eastAsia="宋体" w:hAnsi="Times New Roman" w:cs="Times New Roman"/>
      <w:kern w:val="2"/>
      <w:sz w:val="21"/>
      <w:szCs w:val="22"/>
    </w:rPr>
  </w:style>
  <w:style w:type="character" w:customStyle="1" w:styleId="Char4">
    <w:name w:val="文件小注 Char"/>
    <w:link w:val="afffff4"/>
    <w:uiPriority w:val="7"/>
    <w:qFormat/>
    <w:rPr>
      <w:rFonts w:ascii="Times New Roman" w:eastAsia="宋体" w:hAnsi="Times New Roman" w:cs="Times New Roman"/>
    </w:rPr>
  </w:style>
  <w:style w:type="paragraph" w:customStyle="1" w:styleId="afffff5">
    <w:name w:val="文件单位"/>
    <w:next w:val="affffd"/>
    <w:link w:val="Char5"/>
    <w:uiPriority w:val="6"/>
    <w:qFormat/>
    <w:pPr>
      <w:spacing w:beforeLines="50" w:before="50"/>
      <w:jc w:val="right"/>
    </w:pPr>
    <w:rPr>
      <w:rFonts w:ascii="Times New Roman" w:eastAsia="宋体" w:hAnsi="Times New Roman" w:cs="Times New Roman"/>
      <w:kern w:val="2"/>
      <w:sz w:val="21"/>
      <w:szCs w:val="22"/>
    </w:rPr>
  </w:style>
  <w:style w:type="character" w:customStyle="1" w:styleId="Char5">
    <w:name w:val="文件单位 Char"/>
    <w:link w:val="afffff5"/>
    <w:uiPriority w:val="6"/>
    <w:qFormat/>
    <w:rPr>
      <w:rFonts w:ascii="Times New Roman" w:eastAsia="宋体" w:hAnsi="Times New Roman" w:cs="Times New Roman"/>
    </w:rPr>
  </w:style>
  <w:style w:type="character" w:customStyle="1" w:styleId="aff4">
    <w:name w:val="日期 字符"/>
    <w:basedOn w:val="a2"/>
    <w:link w:val="aff3"/>
    <w:qFormat/>
    <w:rPr>
      <w:rFonts w:ascii="等线" w:eastAsia="等线" w:hAnsi="等线" w:cs="Times New Roman"/>
      <w:szCs w:val="21"/>
    </w:rPr>
  </w:style>
  <w:style w:type="paragraph" w:customStyle="1" w:styleId="TableParagraph">
    <w:name w:val="Table Paragraph"/>
    <w:basedOn w:val="a0"/>
    <w:uiPriority w:val="1"/>
    <w:qFormat/>
    <w:pPr>
      <w:widowControl w:val="0"/>
    </w:pPr>
    <w:rPr>
      <w:rFonts w:ascii="等线" w:eastAsia="等线" w:hAnsi="等线" w:cs="Times New Roman"/>
      <w:sz w:val="22"/>
      <w:szCs w:val="22"/>
      <w:lang w:eastAsia="en-US"/>
    </w:rPr>
  </w:style>
  <w:style w:type="paragraph" w:customStyle="1" w:styleId="afffff6">
    <w:name w:val="二级大标题"/>
    <w:basedOn w:val="a0"/>
    <w:link w:val="Char6"/>
    <w:qFormat/>
    <w:pPr>
      <w:keepNext/>
      <w:widowControl w:val="0"/>
      <w:spacing w:before="260" w:after="260" w:line="360" w:lineRule="auto"/>
      <w:outlineLvl w:val="1"/>
    </w:pPr>
    <w:rPr>
      <w:rFonts w:ascii="Times New Roman" w:eastAsia="等线" w:hAnsi="Times New Roman" w:cs="Times New Roman"/>
      <w:b/>
      <w:kern w:val="2"/>
      <w:sz w:val="28"/>
      <w:szCs w:val="32"/>
      <w:lang w:val="en-GB"/>
    </w:rPr>
  </w:style>
  <w:style w:type="character" w:customStyle="1" w:styleId="Char6">
    <w:name w:val="二级大标题 Char"/>
    <w:link w:val="afffff6"/>
    <w:qFormat/>
    <w:rPr>
      <w:rFonts w:ascii="Times New Roman" w:eastAsia="等线" w:hAnsi="Times New Roman" w:cs="Times New Roman"/>
      <w:b/>
      <w:sz w:val="28"/>
      <w:szCs w:val="32"/>
      <w:lang w:val="en-GB" w:eastAsia="zh-CN"/>
    </w:rPr>
  </w:style>
  <w:style w:type="paragraph" w:customStyle="1" w:styleId="afffff7">
    <w:name w:val="一级大标题"/>
    <w:basedOn w:val="1"/>
    <w:link w:val="Char7"/>
    <w:qFormat/>
    <w:pPr>
      <w:spacing w:before="300" w:after="300" w:line="360" w:lineRule="auto"/>
      <w:jc w:val="center"/>
    </w:pPr>
    <w:rPr>
      <w:rFonts w:ascii="Arial" w:hAnsi="Arial"/>
      <w:kern w:val="2"/>
      <w:sz w:val="36"/>
      <w:szCs w:val="36"/>
      <w:lang w:val="zh-CN"/>
    </w:rPr>
  </w:style>
  <w:style w:type="character" w:customStyle="1" w:styleId="Char7">
    <w:name w:val="一级大标题 Char"/>
    <w:link w:val="afffff7"/>
    <w:qFormat/>
    <w:rPr>
      <w:rFonts w:ascii="Arial" w:eastAsia="等线" w:hAnsi="Arial" w:cs="Times New Roman"/>
      <w:b/>
      <w:bCs/>
      <w:sz w:val="36"/>
      <w:szCs w:val="36"/>
      <w:lang w:val="zh-CN" w:eastAsia="zh-CN"/>
    </w:rPr>
  </w:style>
  <w:style w:type="character" w:customStyle="1" w:styleId="aff2">
    <w:name w:val="纯文本 字符"/>
    <w:basedOn w:val="a2"/>
    <w:link w:val="aff1"/>
    <w:qFormat/>
    <w:rPr>
      <w:rFonts w:ascii="宋体" w:eastAsia="等线" w:hAnsi="Courier New" w:cs="Times New Roman"/>
      <w:szCs w:val="21"/>
      <w:lang w:val="zh-CN" w:eastAsia="zh-CN"/>
    </w:rPr>
  </w:style>
  <w:style w:type="paragraph" w:customStyle="1" w:styleId="afffff8">
    <w:name w:val="三级大标题"/>
    <w:basedOn w:val="31"/>
    <w:link w:val="Char8"/>
    <w:qFormat/>
    <w:pPr>
      <w:spacing w:before="200" w:after="200" w:line="360" w:lineRule="auto"/>
    </w:pPr>
    <w:rPr>
      <w:rFonts w:ascii="黑体" w:hAnsi="宋体"/>
      <w:color w:val="000000"/>
      <w:sz w:val="24"/>
      <w:szCs w:val="30"/>
      <w:lang w:val="zh-CN"/>
    </w:rPr>
  </w:style>
  <w:style w:type="character" w:customStyle="1" w:styleId="Char8">
    <w:name w:val="三级大标题 Char"/>
    <w:link w:val="afffff8"/>
    <w:qFormat/>
    <w:rPr>
      <w:rFonts w:ascii="黑体" w:eastAsia="等线" w:hAnsi="宋体" w:cs="Times New Roman"/>
      <w:b/>
      <w:bCs/>
      <w:color w:val="000000"/>
      <w:sz w:val="24"/>
      <w:szCs w:val="30"/>
      <w:lang w:val="zh-CN" w:eastAsia="zh-CN"/>
    </w:rPr>
  </w:style>
  <w:style w:type="character" w:customStyle="1" w:styleId="aff7">
    <w:name w:val="批注框文本 字符"/>
    <w:basedOn w:val="a2"/>
    <w:link w:val="aff6"/>
    <w:uiPriority w:val="99"/>
    <w:qFormat/>
    <w:rPr>
      <w:rFonts w:ascii="Times New Roman" w:eastAsia="等线" w:hAnsi="Times New Roman" w:cs="Times New Roman"/>
      <w:sz w:val="18"/>
      <w:szCs w:val="18"/>
      <w:lang w:val="zh-CN" w:eastAsia="zh-CN"/>
    </w:rPr>
  </w:style>
  <w:style w:type="paragraph" w:customStyle="1" w:styleId="GS">
    <w:name w:val="GS.段落"/>
    <w:basedOn w:val="a0"/>
    <w:qFormat/>
    <w:pPr>
      <w:widowControl w:val="0"/>
      <w:spacing w:beforeLines="50" w:before="50" w:line="360" w:lineRule="auto"/>
      <w:ind w:firstLineChars="200" w:firstLine="200"/>
      <w:jc w:val="both"/>
    </w:pPr>
    <w:rPr>
      <w:rFonts w:eastAsia="等线" w:cs="Times New Roman"/>
      <w:kern w:val="2"/>
      <w:szCs w:val="21"/>
    </w:rPr>
  </w:style>
  <w:style w:type="character" w:customStyle="1" w:styleId="af8">
    <w:name w:val="批注文字 字符"/>
    <w:basedOn w:val="a2"/>
    <w:link w:val="af7"/>
    <w:uiPriority w:val="99"/>
    <w:qFormat/>
    <w:rPr>
      <w:rFonts w:ascii="Times New Roman" w:eastAsia="等线" w:hAnsi="Times New Roman" w:cs="Times New Roman"/>
      <w:szCs w:val="24"/>
      <w:lang w:val="zh-CN" w:eastAsia="zh-CN"/>
    </w:rPr>
  </w:style>
  <w:style w:type="paragraph" w:customStyle="1" w:styleId="1c">
    <w:name w:val="列出段落1"/>
    <w:basedOn w:val="a0"/>
    <w:qFormat/>
    <w:pPr>
      <w:widowControl w:val="0"/>
      <w:ind w:firstLineChars="200" w:firstLine="420"/>
      <w:jc w:val="both"/>
    </w:pPr>
    <w:rPr>
      <w:rFonts w:ascii="Times New Roman" w:eastAsia="等线" w:hAnsi="Times New Roman" w:cs="Times New Roman"/>
      <w:kern w:val="2"/>
      <w:sz w:val="21"/>
    </w:rPr>
  </w:style>
  <w:style w:type="character" w:customStyle="1" w:styleId="afont1">
    <w:name w:val="afont1"/>
    <w:qFormat/>
    <w:rPr>
      <w:rFonts w:ascii="Arial Narrow" w:hAnsi="Arial Narrow" w:hint="default"/>
      <w:sz w:val="22"/>
      <w:szCs w:val="22"/>
    </w:rPr>
  </w:style>
  <w:style w:type="paragraph" w:customStyle="1" w:styleId="2f5">
    <w:name w:val="正文首行缩进2字符"/>
    <w:basedOn w:val="a0"/>
    <w:link w:val="2Char1"/>
    <w:qFormat/>
    <w:pPr>
      <w:widowControl w:val="0"/>
      <w:adjustRightInd w:val="0"/>
      <w:spacing w:line="360" w:lineRule="auto"/>
      <w:ind w:firstLineChars="200" w:firstLine="200"/>
      <w:jc w:val="both"/>
    </w:pPr>
    <w:rPr>
      <w:rFonts w:ascii="Times New Roman" w:eastAsia="等线" w:hAnsi="Times New Roman" w:cs="Times New Roman"/>
      <w:kern w:val="2"/>
    </w:rPr>
  </w:style>
  <w:style w:type="character" w:customStyle="1" w:styleId="2Char1">
    <w:name w:val="正文首行缩进2字符 Char1"/>
    <w:link w:val="2f5"/>
    <w:qFormat/>
    <w:rPr>
      <w:rFonts w:ascii="Times New Roman" w:eastAsia="等线" w:hAnsi="Times New Roman" w:cs="Times New Roman"/>
      <w:sz w:val="24"/>
      <w:szCs w:val="24"/>
    </w:rPr>
  </w:style>
  <w:style w:type="table" w:customStyle="1" w:styleId="1d">
    <w:name w:val="定制网格型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CharCharCharCharCharCharChar">
    <w:name w:val="默认段落字体 Para Char Char Char Char Char Char Char"/>
    <w:basedOn w:val="a0"/>
    <w:qFormat/>
    <w:pPr>
      <w:widowControl w:val="0"/>
      <w:jc w:val="both"/>
    </w:pPr>
    <w:rPr>
      <w:rFonts w:ascii="Tahoma" w:eastAsia="等线" w:hAnsi="Tahoma" w:cs="Times New Roman"/>
      <w:kern w:val="2"/>
      <w:szCs w:val="20"/>
    </w:rPr>
  </w:style>
  <w:style w:type="paragraph" w:customStyle="1" w:styleId="Char1CharCharChar">
    <w:name w:val="Char1 Char Char Char"/>
    <w:basedOn w:val="a0"/>
    <w:qFormat/>
    <w:pPr>
      <w:widowControl w:val="0"/>
      <w:jc w:val="both"/>
    </w:pPr>
    <w:rPr>
      <w:rFonts w:ascii="Tahoma" w:eastAsia="等线" w:hAnsi="Tahoma" w:cs="Times New Roman"/>
      <w:kern w:val="2"/>
      <w:szCs w:val="20"/>
    </w:rPr>
  </w:style>
  <w:style w:type="character" w:customStyle="1" w:styleId="af5">
    <w:name w:val="文档结构图 字符"/>
    <w:basedOn w:val="a2"/>
    <w:link w:val="af4"/>
    <w:qFormat/>
    <w:rPr>
      <w:rFonts w:ascii="Times New Roman" w:eastAsia="等线" w:hAnsi="Times New Roman" w:cs="Times New Roman"/>
      <w:szCs w:val="24"/>
      <w:shd w:val="clear" w:color="auto" w:fill="000080"/>
      <w:lang w:val="zh-CN" w:eastAsia="zh-CN"/>
    </w:rPr>
  </w:style>
  <w:style w:type="paragraph" w:customStyle="1" w:styleId="CharCharCharChar">
    <w:name w:val="Char Char Char Char"/>
    <w:basedOn w:val="a0"/>
    <w:qFormat/>
    <w:pPr>
      <w:widowControl w:val="0"/>
      <w:jc w:val="both"/>
    </w:pPr>
    <w:rPr>
      <w:rFonts w:ascii="Tahoma" w:eastAsia="等线" w:hAnsi="Tahoma" w:cs="Times New Roman"/>
      <w:kern w:val="2"/>
      <w:szCs w:val="20"/>
    </w:rPr>
  </w:style>
  <w:style w:type="paragraph" w:customStyle="1" w:styleId="AODocTxt">
    <w:name w:val="AODocTxt"/>
    <w:basedOn w:val="a0"/>
    <w:qFormat/>
    <w:pPr>
      <w:numPr>
        <w:numId w:val="9"/>
      </w:numPr>
      <w:spacing w:before="240" w:line="260" w:lineRule="atLeast"/>
      <w:jc w:val="both"/>
    </w:pPr>
    <w:rPr>
      <w:rFonts w:ascii="Times New Roman" w:eastAsia="等线" w:hAnsi="Times New Roman" w:cs="Times New Roman"/>
      <w:sz w:val="22"/>
      <w:szCs w:val="20"/>
      <w:lang w:val="en-GB"/>
    </w:rPr>
  </w:style>
  <w:style w:type="paragraph" w:customStyle="1" w:styleId="AODocTxtL1CharChar">
    <w:name w:val="AODocTxtL1 Char Char"/>
    <w:basedOn w:val="AODocTxt"/>
    <w:qFormat/>
    <w:pPr>
      <w:numPr>
        <w:ilvl w:val="1"/>
      </w:numPr>
    </w:pPr>
  </w:style>
  <w:style w:type="paragraph" w:customStyle="1" w:styleId="AODocTxtL2">
    <w:name w:val="AODocTxtL2"/>
    <w:basedOn w:val="AODocTxt"/>
    <w:qFormat/>
    <w:pPr>
      <w:numPr>
        <w:ilvl w:val="2"/>
      </w:numPr>
    </w:pPr>
  </w:style>
  <w:style w:type="paragraph" w:customStyle="1" w:styleId="AODocTxtL3">
    <w:name w:val="AODocTxtL3"/>
    <w:basedOn w:val="AODocTxt"/>
    <w:qFormat/>
    <w:pPr>
      <w:numPr>
        <w:ilvl w:val="3"/>
      </w:numPr>
    </w:pPr>
  </w:style>
  <w:style w:type="paragraph" w:customStyle="1" w:styleId="AODocTxtL4">
    <w:name w:val="AODocTxtL4"/>
    <w:basedOn w:val="AODocTxt"/>
    <w:qFormat/>
    <w:pPr>
      <w:numPr>
        <w:ilvl w:val="4"/>
      </w:numPr>
    </w:pPr>
  </w:style>
  <w:style w:type="paragraph" w:customStyle="1" w:styleId="AODocTxtL5">
    <w:name w:val="AODocTxtL5"/>
    <w:basedOn w:val="AODocTxt"/>
    <w:qFormat/>
    <w:pPr>
      <w:numPr>
        <w:ilvl w:val="5"/>
      </w:numPr>
    </w:pPr>
  </w:style>
  <w:style w:type="paragraph" w:customStyle="1" w:styleId="AODocTxtL6">
    <w:name w:val="AODocTxtL6"/>
    <w:basedOn w:val="AODocTxt"/>
    <w:qFormat/>
    <w:pPr>
      <w:numPr>
        <w:ilvl w:val="6"/>
      </w:numPr>
    </w:pPr>
  </w:style>
  <w:style w:type="paragraph" w:customStyle="1" w:styleId="AODocTxtL7">
    <w:name w:val="AODocTxtL7"/>
    <w:basedOn w:val="AODocTxt"/>
    <w:qFormat/>
    <w:pPr>
      <w:numPr>
        <w:ilvl w:val="7"/>
      </w:numPr>
    </w:pPr>
  </w:style>
  <w:style w:type="paragraph" w:customStyle="1" w:styleId="AODocTxtL8">
    <w:name w:val="AODocTxtL8"/>
    <w:basedOn w:val="AODocTxt"/>
    <w:qFormat/>
    <w:pPr>
      <w:numPr>
        <w:ilvl w:val="8"/>
      </w:numPr>
    </w:pPr>
  </w:style>
  <w:style w:type="character" w:customStyle="1" w:styleId="afffd">
    <w:name w:val="批注主题 字符"/>
    <w:basedOn w:val="af8"/>
    <w:link w:val="afffc"/>
    <w:qFormat/>
    <w:rPr>
      <w:rFonts w:ascii="Times New Roman" w:eastAsia="等线" w:hAnsi="Times New Roman" w:cs="Times New Roman"/>
      <w:b/>
      <w:bCs/>
      <w:szCs w:val="24"/>
      <w:lang w:val="zh-CN" w:eastAsia="zh-CN"/>
    </w:rPr>
  </w:style>
  <w:style w:type="paragraph" w:customStyle="1" w:styleId="ParaCharCharCharChar">
    <w:name w:val="默认段落字体 Para Char Char Char Char"/>
    <w:basedOn w:val="a0"/>
    <w:qFormat/>
    <w:pPr>
      <w:widowControl w:val="0"/>
      <w:jc w:val="both"/>
    </w:pPr>
    <w:rPr>
      <w:rFonts w:ascii="Times New Roman" w:eastAsia="等线" w:hAnsi="Times New Roman" w:cs="Times New Roman"/>
      <w:kern w:val="2"/>
      <w:sz w:val="21"/>
    </w:rPr>
  </w:style>
  <w:style w:type="paragraph" w:customStyle="1" w:styleId="CharCharChar">
    <w:name w:val="Char Char Char"/>
    <w:basedOn w:val="a0"/>
    <w:qFormat/>
    <w:pPr>
      <w:widowControl w:val="0"/>
      <w:jc w:val="both"/>
    </w:pPr>
    <w:rPr>
      <w:rFonts w:ascii="Tahoma" w:eastAsia="等线" w:hAnsi="Tahoma" w:cs="Times New Roman"/>
      <w:kern w:val="2"/>
      <w:szCs w:val="20"/>
    </w:rPr>
  </w:style>
  <w:style w:type="paragraph" w:customStyle="1" w:styleId="Char9">
    <w:name w:val="Char"/>
    <w:basedOn w:val="a0"/>
    <w:qFormat/>
    <w:pPr>
      <w:widowControl w:val="0"/>
      <w:jc w:val="both"/>
    </w:pPr>
    <w:rPr>
      <w:rFonts w:ascii="Tahoma" w:eastAsia="等线" w:hAnsi="Tahoma" w:cs="Tahoma"/>
      <w:kern w:val="2"/>
    </w:rPr>
  </w:style>
  <w:style w:type="paragraph" w:customStyle="1" w:styleId="NoSpacing1">
    <w:name w:val="No Spacing1"/>
    <w:uiPriority w:val="1"/>
    <w:qFormat/>
    <w:pPr>
      <w:widowControl w:val="0"/>
    </w:pPr>
    <w:rPr>
      <w:rFonts w:eastAsia="PMingLiU" w:cs="Times New Roman"/>
      <w:kern w:val="2"/>
      <w:sz w:val="24"/>
      <w:szCs w:val="22"/>
      <w:lang w:eastAsia="zh-TW"/>
    </w:rPr>
  </w:style>
  <w:style w:type="paragraph" w:customStyle="1" w:styleId="ListParagraph1">
    <w:name w:val="List Paragraph1"/>
    <w:basedOn w:val="a0"/>
    <w:uiPriority w:val="34"/>
    <w:qFormat/>
    <w:pPr>
      <w:ind w:leftChars="200" w:left="480"/>
    </w:pPr>
    <w:rPr>
      <w:rFonts w:ascii="Times New Roman" w:eastAsia="等线" w:hAnsi="Times New Roman" w:cs="Times New Roman"/>
      <w:lang w:eastAsia="en-US"/>
    </w:rPr>
  </w:style>
  <w:style w:type="character" w:customStyle="1" w:styleId="ad">
    <w:name w:val="正文文本 字符"/>
    <w:basedOn w:val="a2"/>
    <w:link w:val="ac"/>
    <w:qFormat/>
    <w:rPr>
      <w:rFonts w:ascii="Times New Roman" w:eastAsia="等线" w:hAnsi="Times New Roman" w:cs="Times New Roman"/>
      <w:szCs w:val="24"/>
      <w:lang w:val="zh-CN" w:eastAsia="zh-CN"/>
    </w:rPr>
  </w:style>
  <w:style w:type="character" w:customStyle="1" w:styleId="afe">
    <w:name w:val="正文文本缩进 字符"/>
    <w:basedOn w:val="a2"/>
    <w:link w:val="afd"/>
    <w:qFormat/>
    <w:rPr>
      <w:rFonts w:ascii="Times New Roman" w:eastAsia="等线" w:hAnsi="Times New Roman" w:cs="Times New Roman"/>
      <w:szCs w:val="24"/>
      <w:lang w:val="zh-CN" w:eastAsia="zh-CN"/>
    </w:rPr>
  </w:style>
  <w:style w:type="paragraph" w:customStyle="1" w:styleId="2f6">
    <w:name w:val="列出段落2"/>
    <w:basedOn w:val="a0"/>
    <w:qFormat/>
    <w:pPr>
      <w:widowControl w:val="0"/>
      <w:ind w:firstLineChars="200" w:firstLine="420"/>
      <w:jc w:val="both"/>
    </w:pPr>
    <w:rPr>
      <w:rFonts w:ascii="Times New Roman" w:eastAsia="等线" w:hAnsi="Times New Roman" w:cs="Times New Roman"/>
      <w:kern w:val="2"/>
      <w:sz w:val="21"/>
    </w:rPr>
  </w:style>
  <w:style w:type="paragraph" w:customStyle="1" w:styleId="1e">
    <w:name w:val="无间隔1"/>
    <w:uiPriority w:val="1"/>
    <w:qFormat/>
    <w:pPr>
      <w:widowControl w:val="0"/>
    </w:pPr>
    <w:rPr>
      <w:rFonts w:eastAsia="PMingLiU" w:cs="Times New Roman"/>
      <w:kern w:val="2"/>
      <w:sz w:val="24"/>
      <w:szCs w:val="22"/>
      <w:lang w:eastAsia="zh-TW"/>
    </w:rPr>
  </w:style>
  <w:style w:type="paragraph" w:customStyle="1" w:styleId="TOC10">
    <w:name w:val="TOC 标题1"/>
    <w:basedOn w:val="1"/>
    <w:next w:val="a0"/>
    <w:uiPriority w:val="39"/>
    <w:qFormat/>
    <w:pPr>
      <w:widowControl/>
      <w:spacing w:before="480" w:after="0" w:line="276" w:lineRule="auto"/>
      <w:jc w:val="left"/>
      <w:outlineLvl w:val="9"/>
    </w:pPr>
    <w:rPr>
      <w:rFonts w:ascii="Cambria" w:hAnsi="Cambria"/>
      <w:color w:val="365F91"/>
      <w:kern w:val="0"/>
      <w:sz w:val="28"/>
      <w:szCs w:val="28"/>
      <w:lang w:val="zh-CN" w:eastAsia="en-US"/>
    </w:rPr>
  </w:style>
  <w:style w:type="character" w:customStyle="1" w:styleId="da">
    <w:name w:val="da"/>
    <w:qFormat/>
  </w:style>
  <w:style w:type="paragraph" w:customStyle="1" w:styleId="1f">
    <w:name w:val="修订1"/>
    <w:hidden/>
    <w:uiPriority w:val="99"/>
    <w:qFormat/>
    <w:rPr>
      <w:rFonts w:ascii="Times New Roman" w:hAnsi="Times New Roman" w:cs="Times New Roman"/>
      <w:kern w:val="2"/>
      <w:sz w:val="21"/>
      <w:szCs w:val="24"/>
    </w:rPr>
  </w:style>
  <w:style w:type="character" w:customStyle="1" w:styleId="font101">
    <w:name w:val="font101"/>
    <w:qFormat/>
    <w:rPr>
      <w:color w:val="0036B0"/>
    </w:rPr>
  </w:style>
  <w:style w:type="paragraph" w:customStyle="1" w:styleId="ParaChar">
    <w:name w:val="默认段落字体 Para Char"/>
    <w:basedOn w:val="a0"/>
    <w:qFormat/>
    <w:pPr>
      <w:widowControl w:val="0"/>
      <w:adjustRightInd w:val="0"/>
      <w:spacing w:line="360" w:lineRule="auto"/>
      <w:jc w:val="both"/>
    </w:pPr>
    <w:rPr>
      <w:rFonts w:ascii="Times New Roman" w:eastAsia="等线" w:hAnsi="Times New Roman" w:cs="Times New Roman"/>
      <w:szCs w:val="20"/>
    </w:rPr>
  </w:style>
  <w:style w:type="character" w:customStyle="1" w:styleId="27">
    <w:name w:val="正文文本 2 字符"/>
    <w:basedOn w:val="a2"/>
    <w:link w:val="26"/>
    <w:qFormat/>
    <w:rPr>
      <w:rFonts w:ascii="Times New Roman" w:eastAsia="等线" w:hAnsi="Times New Roman" w:cs="Times New Roman"/>
      <w:szCs w:val="24"/>
      <w:lang w:val="zh-CN" w:eastAsia="zh-CN"/>
    </w:rPr>
  </w:style>
  <w:style w:type="paragraph" w:customStyle="1" w:styleId="CharChar1CharCharCharCharCharCharCharCharCharCharCharCharCharChar">
    <w:name w:val="Char Char1 Char Char Char Char Char Char Char Char Char Char Char Char Char Char"/>
    <w:basedOn w:val="a0"/>
    <w:qFormat/>
    <w:pPr>
      <w:spacing w:beforeLines="100" w:before="100" w:after="160" w:line="240" w:lineRule="exact"/>
    </w:pPr>
    <w:rPr>
      <w:rFonts w:ascii="Verdana" w:eastAsia="等线" w:hAnsi="Verdana" w:cs="Times New Roman"/>
      <w:sz w:val="32"/>
      <w:szCs w:val="32"/>
      <w:lang w:eastAsia="en-US"/>
    </w:rPr>
  </w:style>
  <w:style w:type="paragraph" w:customStyle="1" w:styleId="CharCharCharCharCharChar1Char">
    <w:name w:val="Char Char Char Char Char Char1 Char"/>
    <w:basedOn w:val="a0"/>
    <w:qFormat/>
    <w:pPr>
      <w:widowControl w:val="0"/>
      <w:jc w:val="both"/>
    </w:pPr>
    <w:rPr>
      <w:rFonts w:ascii="Times New Roman" w:eastAsia="等线" w:hAnsi="Times New Roman" w:cs="Times New Roman"/>
      <w:kern w:val="2"/>
      <w:sz w:val="21"/>
    </w:rPr>
  </w:style>
  <w:style w:type="paragraph" w:customStyle="1" w:styleId="CharCharCharCharCharCharCharChar">
    <w:name w:val="Char Char Char Char Char Char Char Char"/>
    <w:basedOn w:val="a0"/>
    <w:qFormat/>
    <w:pPr>
      <w:spacing w:after="160" w:line="240" w:lineRule="exact"/>
    </w:pPr>
    <w:rPr>
      <w:rFonts w:ascii="Verdana" w:eastAsia="Times New Roman" w:hAnsi="Verdana" w:cs="Times New Roman"/>
      <w:sz w:val="20"/>
      <w:szCs w:val="20"/>
      <w:lang w:eastAsia="en-US"/>
    </w:rPr>
  </w:style>
  <w:style w:type="paragraph" w:customStyle="1" w:styleId="2f7">
    <w:name w:val="修订2"/>
    <w:hidden/>
    <w:uiPriority w:val="99"/>
    <w:qFormat/>
    <w:rPr>
      <w:rFonts w:ascii="Times New Roman" w:hAnsi="Times New Roman" w:cs="Times New Roman"/>
      <w:kern w:val="2"/>
      <w:sz w:val="21"/>
      <w:szCs w:val="21"/>
    </w:rPr>
  </w:style>
  <w:style w:type="paragraph" w:customStyle="1" w:styleId="TOC20">
    <w:name w:val="TOC 标题2"/>
    <w:basedOn w:val="1"/>
    <w:next w:val="a0"/>
    <w:uiPriority w:val="39"/>
    <w:qFormat/>
    <w:pPr>
      <w:outlineLvl w:val="9"/>
    </w:pPr>
  </w:style>
  <w:style w:type="paragraph" w:customStyle="1" w:styleId="3f2">
    <w:name w:val="标题3"/>
    <w:basedOn w:val="a0"/>
    <w:next w:val="a0"/>
    <w:link w:val="3Char"/>
    <w:qFormat/>
    <w:pPr>
      <w:widowControl w:val="0"/>
      <w:ind w:firstLineChars="200" w:firstLine="562"/>
      <w:jc w:val="both"/>
      <w:outlineLvl w:val="2"/>
    </w:pPr>
    <w:rPr>
      <w:rFonts w:ascii="Times New Roman" w:eastAsia="等线" w:hAnsi="Times New Roman" w:cs="Times New Roman"/>
      <w:b/>
      <w:kern w:val="2"/>
      <w:sz w:val="28"/>
      <w:szCs w:val="28"/>
      <w:lang w:val="zh-CN"/>
    </w:rPr>
  </w:style>
  <w:style w:type="character" w:customStyle="1" w:styleId="3Char">
    <w:name w:val="标题3 Char"/>
    <w:link w:val="3f2"/>
    <w:qFormat/>
    <w:rPr>
      <w:rFonts w:ascii="Times New Roman" w:eastAsia="等线" w:hAnsi="Times New Roman" w:cs="Times New Roman"/>
      <w:b/>
      <w:sz w:val="28"/>
      <w:szCs w:val="28"/>
      <w:lang w:val="zh-CN" w:eastAsia="zh-CN"/>
    </w:rPr>
  </w:style>
  <w:style w:type="paragraph" w:customStyle="1" w:styleId="2f8">
    <w:name w:val="列表段落2"/>
    <w:basedOn w:val="a0"/>
    <w:link w:val="Chara"/>
    <w:uiPriority w:val="1"/>
    <w:qFormat/>
    <w:pPr>
      <w:widowControl w:val="0"/>
      <w:ind w:firstLineChars="200" w:firstLine="420"/>
      <w:jc w:val="both"/>
    </w:pPr>
    <w:rPr>
      <w:rFonts w:ascii="等线" w:eastAsia="等线" w:hAnsi="等线" w:cs="Times New Roman"/>
      <w:kern w:val="2"/>
      <w:sz w:val="21"/>
      <w:szCs w:val="21"/>
    </w:rPr>
  </w:style>
  <w:style w:type="paragraph" w:customStyle="1" w:styleId="afffff9">
    <w:name w:val="表格文字"/>
    <w:basedOn w:val="a0"/>
    <w:link w:val="Charb"/>
    <w:qFormat/>
    <w:pPr>
      <w:widowControl w:val="0"/>
      <w:spacing w:before="60" w:after="60"/>
      <w:jc w:val="both"/>
    </w:pPr>
    <w:rPr>
      <w:rFonts w:ascii="Times New Roman" w:eastAsia="等线" w:hAnsi="Times New Roman" w:cs="Times New Roman"/>
      <w:kern w:val="2"/>
      <w:sz w:val="21"/>
      <w:lang w:val="zh-CN"/>
    </w:rPr>
  </w:style>
  <w:style w:type="character" w:customStyle="1" w:styleId="Charb">
    <w:name w:val="表格文字 Char"/>
    <w:link w:val="afffff9"/>
    <w:qFormat/>
    <w:rPr>
      <w:rFonts w:ascii="Times New Roman" w:eastAsia="等线" w:hAnsi="Times New Roman" w:cs="Times New Roman"/>
      <w:szCs w:val="24"/>
      <w:lang w:val="zh-CN" w:eastAsia="zh-CN"/>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宋体" w:hAnsi="Times New Roman" w:cs="宋体"/>
      <w:color w:val="000000"/>
      <w:kern w:val="2"/>
      <w:sz w:val="24"/>
      <w:szCs w:val="24"/>
    </w:rPr>
  </w:style>
  <w:style w:type="paragraph" w:customStyle="1" w:styleId="1-1">
    <w:name w:val="标题1-1"/>
    <w:basedOn w:val="20"/>
    <w:qFormat/>
    <w:pPr>
      <w:numPr>
        <w:numId w:val="10"/>
      </w:numPr>
      <w:spacing w:before="100" w:after="100" w:line="415" w:lineRule="auto"/>
      <w:jc w:val="center"/>
    </w:pPr>
    <w:rPr>
      <w:rFonts w:eastAsia="楷体_GB2312"/>
      <w:kern w:val="0"/>
    </w:rPr>
  </w:style>
  <w:style w:type="paragraph" w:customStyle="1" w:styleId="zhengwen1">
    <w:name w:val="zhengwen1"/>
    <w:basedOn w:val="a0"/>
    <w:qFormat/>
    <w:pPr>
      <w:widowControl w:val="0"/>
      <w:numPr>
        <w:ilvl w:val="2"/>
        <w:numId w:val="10"/>
      </w:numPr>
      <w:spacing w:beforeLines="50" w:before="50" w:afterLines="50" w:after="50"/>
    </w:pPr>
    <w:rPr>
      <w:rFonts w:ascii="楷体_GB2312" w:eastAsia="楷体_GB2312" w:cs="Arial"/>
      <w:kern w:val="2"/>
      <w:szCs w:val="20"/>
    </w:rPr>
  </w:style>
  <w:style w:type="paragraph" w:customStyle="1" w:styleId="a1">
    <w:name w:val="a1"/>
    <w:basedOn w:val="a0"/>
    <w:qFormat/>
    <w:pPr>
      <w:keepNext/>
      <w:keepLines/>
      <w:widowControl w:val="0"/>
      <w:numPr>
        <w:ilvl w:val="1"/>
        <w:numId w:val="10"/>
      </w:numPr>
      <w:spacing w:before="260" w:after="260" w:line="416" w:lineRule="auto"/>
      <w:jc w:val="both"/>
      <w:outlineLvl w:val="1"/>
    </w:pPr>
    <w:rPr>
      <w:rFonts w:ascii="Arial" w:eastAsia="楷体_GB2312" w:hAnsi="Arial" w:cs="Times New Roman"/>
      <w:b/>
      <w:bCs/>
      <w:kern w:val="2"/>
      <w:sz w:val="28"/>
      <w:szCs w:val="20"/>
    </w:rPr>
  </w:style>
  <w:style w:type="paragraph" w:customStyle="1" w:styleId="afffffa">
    <w:name w:val="文章正文"/>
    <w:basedOn w:val="a0"/>
    <w:link w:val="Charc"/>
    <w:qFormat/>
    <w:pPr>
      <w:widowControl w:val="0"/>
      <w:spacing w:afterLines="50" w:after="156" w:line="360" w:lineRule="auto"/>
      <w:ind w:firstLineChars="200" w:firstLine="480"/>
      <w:jc w:val="both"/>
    </w:pPr>
    <w:rPr>
      <w:rFonts w:eastAsia="等线" w:cs="Times New Roman"/>
      <w:bCs/>
      <w:color w:val="000000"/>
      <w:kern w:val="2"/>
      <w:lang w:val="zh-CN"/>
    </w:rPr>
  </w:style>
  <w:style w:type="character" w:customStyle="1" w:styleId="Charc">
    <w:name w:val="文章正文 Char"/>
    <w:link w:val="afffffa"/>
    <w:qFormat/>
    <w:rPr>
      <w:rFonts w:ascii="宋体" w:eastAsia="等线" w:hAnsi="宋体" w:cs="Times New Roman"/>
      <w:bCs/>
      <w:color w:val="000000"/>
      <w:sz w:val="24"/>
      <w:szCs w:val="24"/>
      <w:lang w:val="zh-CN" w:eastAsia="zh-CN"/>
    </w:rPr>
  </w:style>
  <w:style w:type="paragraph" w:customStyle="1" w:styleId="afffffb">
    <w:name w:val="招股书正文"/>
    <w:basedOn w:val="a0"/>
    <w:link w:val="afffffc"/>
    <w:uiPriority w:val="4"/>
    <w:qFormat/>
    <w:pPr>
      <w:widowControl w:val="0"/>
      <w:spacing w:afterLines="50" w:after="50" w:line="360" w:lineRule="auto"/>
      <w:ind w:firstLineChars="200" w:firstLine="200"/>
      <w:jc w:val="both"/>
    </w:pPr>
    <w:rPr>
      <w:rFonts w:ascii="Times New Roman" w:eastAsia="等线" w:hAnsi="Times New Roman" w:cs="Times New Roman"/>
      <w:kern w:val="2"/>
      <w:lang w:val="zh-CN"/>
    </w:rPr>
  </w:style>
  <w:style w:type="character" w:customStyle="1" w:styleId="afffffc">
    <w:name w:val="招股书正文 字符"/>
    <w:link w:val="afffffb"/>
    <w:uiPriority w:val="4"/>
    <w:qFormat/>
    <w:rPr>
      <w:rFonts w:ascii="Times New Roman" w:eastAsia="等线" w:hAnsi="Times New Roman" w:cs="Times New Roman"/>
      <w:sz w:val="24"/>
      <w:szCs w:val="24"/>
      <w:lang w:val="zh-CN" w:eastAsia="zh-CN"/>
    </w:rPr>
  </w:style>
  <w:style w:type="paragraph" w:customStyle="1" w:styleId="-1">
    <w:name w:val="自选正文-1"/>
    <w:basedOn w:val="a0"/>
    <w:link w:val="-1Char"/>
    <w:qFormat/>
    <w:pPr>
      <w:widowControl w:val="0"/>
      <w:spacing w:beforeLines="50" w:afterLines="50" w:line="360" w:lineRule="auto"/>
      <w:ind w:firstLineChars="200" w:firstLine="480"/>
      <w:jc w:val="both"/>
    </w:pPr>
    <w:rPr>
      <w:rFonts w:ascii="Times New Roman" w:eastAsia="等线" w:hAnsi="Times New Roman" w:cs="Times New Roman"/>
      <w:kern w:val="2"/>
      <w:lang w:val="zh-CN"/>
    </w:rPr>
  </w:style>
  <w:style w:type="character" w:customStyle="1" w:styleId="-1Char">
    <w:name w:val="自选正文-1 Char"/>
    <w:link w:val="-1"/>
    <w:qFormat/>
    <w:rPr>
      <w:rFonts w:ascii="Times New Roman" w:eastAsia="等线" w:hAnsi="Times New Roman" w:cs="Times New Roman"/>
      <w:sz w:val="24"/>
      <w:szCs w:val="24"/>
      <w:lang w:val="zh-CN" w:eastAsia="zh-CN"/>
    </w:rPr>
  </w:style>
  <w:style w:type="paragraph" w:customStyle="1" w:styleId="-">
    <w:name w:val="表格样式-北大尽调"/>
    <w:basedOn w:val="a0"/>
    <w:link w:val="-Char"/>
    <w:qFormat/>
    <w:pPr>
      <w:jc w:val="center"/>
    </w:pPr>
    <w:rPr>
      <w:rFonts w:ascii="Times New Roman" w:eastAsia="等线" w:hAnsi="Times New Roman" w:cs="Times New Roman"/>
      <w:b/>
      <w:bCs/>
      <w:sz w:val="22"/>
      <w:szCs w:val="21"/>
      <w:lang w:val="zh-CN"/>
    </w:rPr>
  </w:style>
  <w:style w:type="character" w:customStyle="1" w:styleId="-Char">
    <w:name w:val="表格样式-北大尽调 Char"/>
    <w:link w:val="-"/>
    <w:qFormat/>
    <w:rPr>
      <w:rFonts w:ascii="Times New Roman" w:eastAsia="等线" w:hAnsi="Times New Roman" w:cs="Times New Roman"/>
      <w:b/>
      <w:bCs/>
      <w:kern w:val="0"/>
      <w:sz w:val="22"/>
      <w:szCs w:val="21"/>
      <w:lang w:val="zh-CN" w:eastAsia="zh-CN"/>
    </w:rPr>
  </w:style>
  <w:style w:type="character" w:customStyle="1" w:styleId="hangju">
    <w:name w:val="hangju"/>
    <w:uiPriority w:val="99"/>
    <w:qFormat/>
  </w:style>
  <w:style w:type="character" w:customStyle="1" w:styleId="Chard">
    <w:name w:val="招股书正文 Char"/>
    <w:uiPriority w:val="4"/>
    <w:qFormat/>
    <w:rPr>
      <w:rFonts w:ascii="Times New Roman" w:hAnsi="Times New Roman"/>
      <w:color w:val="000000"/>
      <w:kern w:val="2"/>
      <w:sz w:val="24"/>
      <w:szCs w:val="21"/>
    </w:rPr>
  </w:style>
  <w:style w:type="paragraph" w:customStyle="1" w:styleId="3f3">
    <w:name w:val="3"/>
    <w:basedOn w:val="a0"/>
    <w:uiPriority w:val="99"/>
    <w:unhideWhenUsed/>
    <w:qFormat/>
    <w:pPr>
      <w:widowControl w:val="0"/>
      <w:jc w:val="both"/>
    </w:pPr>
    <w:rPr>
      <w:rFonts w:ascii="Times New Roman" w:eastAsia="等线" w:hAnsi="Times New Roman" w:cs="Times New Roman"/>
      <w:kern w:val="2"/>
      <w:sz w:val="21"/>
    </w:rPr>
  </w:style>
  <w:style w:type="paragraph" w:customStyle="1" w:styleId="font5">
    <w:name w:val="font5"/>
    <w:basedOn w:val="a0"/>
    <w:qFormat/>
    <w:pPr>
      <w:spacing w:before="100" w:beforeAutospacing="1" w:after="100" w:afterAutospacing="1"/>
    </w:pPr>
    <w:rPr>
      <w:rFonts w:eastAsia="等线"/>
      <w:sz w:val="18"/>
      <w:szCs w:val="18"/>
    </w:rPr>
  </w:style>
  <w:style w:type="paragraph" w:customStyle="1" w:styleId="font6">
    <w:name w:val="font6"/>
    <w:basedOn w:val="a0"/>
    <w:qFormat/>
    <w:pPr>
      <w:spacing w:before="100" w:beforeAutospacing="1" w:after="100" w:afterAutospacing="1"/>
    </w:pPr>
    <w:rPr>
      <w:rFonts w:eastAsia="等线"/>
      <w:sz w:val="18"/>
      <w:szCs w:val="18"/>
    </w:rPr>
  </w:style>
  <w:style w:type="paragraph" w:customStyle="1" w:styleId="font7">
    <w:name w:val="font7"/>
    <w:basedOn w:val="a0"/>
    <w:qFormat/>
    <w:pPr>
      <w:spacing w:before="100" w:beforeAutospacing="1" w:after="100" w:afterAutospacing="1"/>
    </w:pPr>
    <w:rPr>
      <w:rFonts w:eastAsia="等线"/>
      <w:sz w:val="18"/>
      <w:szCs w:val="18"/>
    </w:rPr>
  </w:style>
  <w:style w:type="paragraph" w:customStyle="1" w:styleId="xl74">
    <w:name w:val="xl74"/>
    <w:basedOn w:val="a0"/>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eastAsia="等线"/>
      <w:sz w:val="18"/>
      <w:szCs w:val="18"/>
    </w:rPr>
  </w:style>
  <w:style w:type="paragraph" w:customStyle="1" w:styleId="xl75">
    <w:name w:val="xl75"/>
    <w:basedOn w:val="a0"/>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等线"/>
      <w:sz w:val="18"/>
      <w:szCs w:val="18"/>
    </w:rPr>
  </w:style>
  <w:style w:type="paragraph" w:customStyle="1" w:styleId="xl76">
    <w:name w:val="xl76"/>
    <w:basedOn w:val="a0"/>
    <w:qFormat/>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eastAsia="等线"/>
      <w:sz w:val="18"/>
      <w:szCs w:val="18"/>
    </w:rPr>
  </w:style>
  <w:style w:type="paragraph" w:customStyle="1" w:styleId="xl77">
    <w:name w:val="xl77"/>
    <w:basedOn w:val="a0"/>
    <w:qFormat/>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eastAsia="等线"/>
      <w:b/>
      <w:bCs/>
      <w:sz w:val="18"/>
      <w:szCs w:val="18"/>
    </w:rPr>
  </w:style>
  <w:style w:type="paragraph" w:customStyle="1" w:styleId="xl78">
    <w:name w:val="xl78"/>
    <w:basedOn w:val="a0"/>
    <w:qFormat/>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eastAsia="等线"/>
      <w:b/>
      <w:bCs/>
      <w:sz w:val="18"/>
      <w:szCs w:val="18"/>
    </w:rPr>
  </w:style>
  <w:style w:type="paragraph" w:customStyle="1" w:styleId="xl79">
    <w:name w:val="xl79"/>
    <w:basedOn w:val="a0"/>
    <w:qFormat/>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eastAsia="等线"/>
      <w:b/>
      <w:bCs/>
      <w:sz w:val="18"/>
      <w:szCs w:val="18"/>
    </w:rPr>
  </w:style>
  <w:style w:type="paragraph" w:customStyle="1" w:styleId="xl80">
    <w:name w:val="xl80"/>
    <w:basedOn w:val="a0"/>
    <w:qFormat/>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jc w:val="center"/>
    </w:pPr>
    <w:rPr>
      <w:rFonts w:eastAsia="等线"/>
      <w:sz w:val="18"/>
      <w:szCs w:val="18"/>
    </w:rPr>
  </w:style>
  <w:style w:type="paragraph" w:customStyle="1" w:styleId="xl81">
    <w:name w:val="xl81"/>
    <w:basedOn w:val="a0"/>
    <w:qFormat/>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pPr>
    <w:rPr>
      <w:rFonts w:eastAsia="等线"/>
      <w:sz w:val="18"/>
      <w:szCs w:val="18"/>
    </w:rPr>
  </w:style>
  <w:style w:type="paragraph" w:customStyle="1" w:styleId="xl82">
    <w:name w:val="xl82"/>
    <w:basedOn w:val="a0"/>
    <w:qFormat/>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jc w:val="center"/>
    </w:pPr>
    <w:rPr>
      <w:rFonts w:eastAsia="等线"/>
      <w:sz w:val="18"/>
      <w:szCs w:val="18"/>
    </w:rPr>
  </w:style>
  <w:style w:type="paragraph" w:customStyle="1" w:styleId="xl83">
    <w:name w:val="xl83"/>
    <w:basedOn w:val="a0"/>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pPr>
    <w:rPr>
      <w:rFonts w:eastAsia="等线"/>
      <w:b/>
      <w:bCs/>
      <w:sz w:val="18"/>
      <w:szCs w:val="18"/>
    </w:rPr>
  </w:style>
  <w:style w:type="paragraph" w:customStyle="1" w:styleId="xl84">
    <w:name w:val="xl84"/>
    <w:basedOn w:val="a0"/>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pPr>
    <w:rPr>
      <w:rFonts w:eastAsia="等线"/>
      <w:b/>
      <w:bCs/>
      <w:sz w:val="18"/>
      <w:szCs w:val="18"/>
    </w:rPr>
  </w:style>
  <w:style w:type="paragraph" w:customStyle="1" w:styleId="xl85">
    <w:name w:val="xl85"/>
    <w:basedOn w:val="a0"/>
    <w:qFormat/>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pPr>
    <w:rPr>
      <w:rFonts w:eastAsia="等线"/>
      <w:b/>
      <w:bCs/>
      <w:sz w:val="18"/>
      <w:szCs w:val="18"/>
    </w:rPr>
  </w:style>
  <w:style w:type="paragraph" w:customStyle="1" w:styleId="xl86">
    <w:name w:val="xl86"/>
    <w:basedOn w:val="a0"/>
    <w:qFormat/>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jc w:val="center"/>
    </w:pPr>
    <w:rPr>
      <w:rFonts w:eastAsia="等线"/>
      <w:b/>
      <w:bCs/>
      <w:sz w:val="18"/>
      <w:szCs w:val="18"/>
    </w:rPr>
  </w:style>
  <w:style w:type="table" w:customStyle="1" w:styleId="afffffd">
    <w:name w:val="奔奔团招股书格式"/>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paragraph" w:customStyle="1" w:styleId="4b">
    <w:name w:val="样式标题4"/>
    <w:basedOn w:val="a0"/>
    <w:link w:val="4Char"/>
    <w:qFormat/>
    <w:pPr>
      <w:widowControl w:val="0"/>
      <w:adjustRightInd w:val="0"/>
      <w:snapToGrid w:val="0"/>
      <w:spacing w:afterLines="50" w:after="156" w:line="360" w:lineRule="auto"/>
      <w:ind w:firstLineChars="200" w:firstLine="482"/>
      <w:jc w:val="both"/>
    </w:pPr>
    <w:rPr>
      <w:rFonts w:ascii="Times New Roman" w:eastAsia="等线" w:hAnsi="Times New Roman" w:cs="Times New Roman"/>
      <w:b/>
      <w:kern w:val="2"/>
      <w:szCs w:val="21"/>
      <w:lang w:val="zh-CN"/>
    </w:rPr>
  </w:style>
  <w:style w:type="character" w:customStyle="1" w:styleId="4Char">
    <w:name w:val="样式标题4 Char"/>
    <w:link w:val="4b"/>
    <w:qFormat/>
    <w:rPr>
      <w:rFonts w:ascii="Times New Roman" w:eastAsia="等线" w:hAnsi="Times New Roman" w:cs="Times New Roman"/>
      <w:b/>
      <w:sz w:val="24"/>
      <w:szCs w:val="21"/>
      <w:lang w:val="zh-CN" w:eastAsia="zh-CN"/>
    </w:rPr>
  </w:style>
  <w:style w:type="paragraph" w:customStyle="1" w:styleId="2f9">
    <w:name w:val="2"/>
    <w:basedOn w:val="a0"/>
    <w:uiPriority w:val="99"/>
    <w:unhideWhenUsed/>
    <w:qFormat/>
    <w:pPr>
      <w:widowControl w:val="0"/>
      <w:jc w:val="both"/>
    </w:pPr>
    <w:rPr>
      <w:rFonts w:ascii="Times New Roman" w:eastAsia="等线" w:hAnsi="Times New Roman" w:cs="Times New Roman"/>
      <w:kern w:val="2"/>
      <w:sz w:val="21"/>
    </w:rPr>
  </w:style>
  <w:style w:type="character" w:customStyle="1" w:styleId="ask-title">
    <w:name w:val="ask-title"/>
    <w:qFormat/>
  </w:style>
  <w:style w:type="paragraph" w:customStyle="1" w:styleId="1f0">
    <w:name w:val="1"/>
    <w:basedOn w:val="a0"/>
    <w:uiPriority w:val="99"/>
    <w:unhideWhenUsed/>
    <w:qFormat/>
    <w:pPr>
      <w:widowControl w:val="0"/>
      <w:jc w:val="both"/>
    </w:pPr>
    <w:rPr>
      <w:rFonts w:ascii="Times New Roman" w:eastAsia="等线" w:hAnsi="Times New Roman" w:cs="Times New Roman"/>
      <w:kern w:val="2"/>
      <w:sz w:val="21"/>
    </w:rPr>
  </w:style>
  <w:style w:type="character" w:customStyle="1" w:styleId="hrefstyle">
    <w:name w:val="hrefstyle"/>
    <w:qFormat/>
  </w:style>
  <w:style w:type="character" w:customStyle="1" w:styleId="afff4">
    <w:name w:val="脚注文本 字符"/>
    <w:basedOn w:val="a2"/>
    <w:link w:val="afff3"/>
    <w:qFormat/>
    <w:rPr>
      <w:rFonts w:ascii="Times New Roman" w:eastAsia="等线" w:hAnsi="Times New Roman" w:cs="Times New Roman"/>
      <w:sz w:val="18"/>
      <w:szCs w:val="18"/>
      <w:lang w:val="zh-CN" w:eastAsia="zh-CN"/>
    </w:rPr>
  </w:style>
  <w:style w:type="character" w:customStyle="1" w:styleId="afffffe">
    <w:name w:val="正文文本首行缩进 字符"/>
    <w:basedOn w:val="ad"/>
    <w:uiPriority w:val="99"/>
    <w:qFormat/>
    <w:rPr>
      <w:rFonts w:ascii="Times New Roman" w:eastAsia="等线" w:hAnsi="Times New Roman" w:cs="Times New Roman"/>
      <w:szCs w:val="24"/>
      <w:lang w:val="zh-CN" w:eastAsia="zh-CN"/>
    </w:rPr>
  </w:style>
  <w:style w:type="character" w:customStyle="1" w:styleId="57">
    <w:name w:val="正文文本首行缩进 字符5"/>
    <w:link w:val="afffe"/>
    <w:uiPriority w:val="99"/>
    <w:qFormat/>
    <w:rPr>
      <w:rFonts w:ascii="Calibri" w:eastAsia="等线" w:hAnsi="Calibri" w:cs="Times New Roman"/>
    </w:rPr>
  </w:style>
  <w:style w:type="paragraph" w:customStyle="1" w:styleId="ZW">
    <w:name w:val="ZW"/>
    <w:basedOn w:val="a0"/>
    <w:link w:val="ZWChar"/>
    <w:qFormat/>
    <w:pPr>
      <w:widowControl w:val="0"/>
      <w:adjustRightInd w:val="0"/>
      <w:spacing w:line="440" w:lineRule="atLeast"/>
      <w:ind w:firstLine="601"/>
      <w:jc w:val="both"/>
      <w:textAlignment w:val="baseline"/>
    </w:pPr>
    <w:rPr>
      <w:rFonts w:ascii="Arial Narrow" w:eastAsia="昆仑楷体" w:hAnsi="Times New Roman" w:cs="Times New Roman"/>
      <w:sz w:val="28"/>
      <w:szCs w:val="20"/>
    </w:rPr>
  </w:style>
  <w:style w:type="character" w:customStyle="1" w:styleId="ZWChar">
    <w:name w:val="ZW Char"/>
    <w:link w:val="ZW"/>
    <w:qFormat/>
    <w:rPr>
      <w:rFonts w:ascii="Arial Narrow" w:eastAsia="昆仑楷体" w:hAnsi="Times New Roman" w:cs="Times New Roman"/>
      <w:kern w:val="0"/>
      <w:sz w:val="28"/>
      <w:szCs w:val="20"/>
    </w:rPr>
  </w:style>
  <w:style w:type="paragraph" w:customStyle="1" w:styleId="CM2">
    <w:name w:val="CM2"/>
    <w:basedOn w:val="Default"/>
    <w:next w:val="Default"/>
    <w:uiPriority w:val="99"/>
    <w:qFormat/>
    <w:pPr>
      <w:spacing w:line="560" w:lineRule="atLeast"/>
    </w:pPr>
    <w:rPr>
      <w:rFonts w:ascii="Sim Sun" w:eastAsia="Sim Sun" w:hAnsi="Calibri" w:cs="Times New Roman"/>
      <w:color w:val="auto"/>
    </w:rPr>
  </w:style>
  <w:style w:type="paragraph" w:customStyle="1" w:styleId="CM19">
    <w:name w:val="CM19"/>
    <w:basedOn w:val="Default"/>
    <w:next w:val="Default"/>
    <w:uiPriority w:val="99"/>
    <w:qFormat/>
    <w:pPr>
      <w:spacing w:after="568"/>
    </w:pPr>
    <w:rPr>
      <w:rFonts w:ascii="Sim Sun" w:eastAsia="Sim Sun" w:hAnsi="Calibri" w:cs="Times New Roman"/>
      <w:color w:val="auto"/>
    </w:rPr>
  </w:style>
  <w:style w:type="table" w:customStyle="1" w:styleId="affffff">
    <w:name w:val="招股书格式"/>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25">
    <w:name w:val="正文文本缩进 2 字符"/>
    <w:basedOn w:val="a2"/>
    <w:link w:val="24"/>
    <w:qFormat/>
    <w:rPr>
      <w:rFonts w:ascii="等线" w:eastAsia="等线" w:hAnsi="等线" w:cs="Times New Roman"/>
      <w:szCs w:val="21"/>
    </w:rPr>
  </w:style>
  <w:style w:type="table" w:customStyle="1" w:styleId="1f1">
    <w:name w:val="典雅型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0">
    <w:name w:val="网格型 5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0">
    <w:name w:val="网格型1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奔奔团招股书格式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f3">
    <w:name w:val="招股书格式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paragraph" w:customStyle="1" w:styleId="4c">
    <w:name w:val="4"/>
    <w:uiPriority w:val="99"/>
    <w:qFormat/>
    <w:pPr>
      <w:widowControl w:val="0"/>
      <w:jc w:val="both"/>
    </w:pPr>
    <w:rPr>
      <w:rFonts w:cs="Times New Roman"/>
      <w:kern w:val="2"/>
      <w:sz w:val="21"/>
      <w:szCs w:val="22"/>
    </w:rPr>
  </w:style>
  <w:style w:type="character" w:customStyle="1" w:styleId="1f4">
    <w:name w:val="未处理的提及1"/>
    <w:uiPriority w:val="99"/>
    <w:unhideWhenUsed/>
    <w:qFormat/>
    <w:rPr>
      <w:color w:val="808080"/>
      <w:shd w:val="clear" w:color="auto" w:fill="E6E6E6"/>
    </w:rPr>
  </w:style>
  <w:style w:type="paragraph" w:customStyle="1" w:styleId="affffff0">
    <w:name w:val="招股书"/>
    <w:basedOn w:val="afffff0"/>
    <w:link w:val="affffff1"/>
    <w:uiPriority w:val="98"/>
    <w:qFormat/>
    <w:rPr>
      <w:rFonts w:ascii="等线" w:eastAsia="等线" w:hAnsi="等线" w:cs="Times New Roman"/>
      <w:b w:val="0"/>
      <w:bCs w:val="0"/>
      <w:sz w:val="21"/>
      <w:szCs w:val="21"/>
    </w:rPr>
  </w:style>
  <w:style w:type="character" w:customStyle="1" w:styleId="affffff1">
    <w:name w:val="招股书 字符"/>
    <w:link w:val="affffff0"/>
    <w:uiPriority w:val="98"/>
    <w:qFormat/>
    <w:rPr>
      <w:rFonts w:ascii="等线" w:eastAsia="等线" w:hAnsi="等线" w:cs="Times New Roman"/>
      <w:szCs w:val="21"/>
    </w:rPr>
  </w:style>
  <w:style w:type="paragraph" w:customStyle="1" w:styleId="230">
    <w:name w:val="样式23"/>
    <w:basedOn w:val="a0"/>
    <w:link w:val="23CharChar"/>
    <w:qFormat/>
    <w:pPr>
      <w:widowControl w:val="0"/>
      <w:spacing w:line="360" w:lineRule="auto"/>
      <w:ind w:firstLineChars="200" w:firstLine="480"/>
      <w:jc w:val="both"/>
    </w:pPr>
    <w:rPr>
      <w:rFonts w:ascii="Times New Roman" w:hAnsi="Times New Roman" w:cs="Times New Roman"/>
      <w:color w:val="000000"/>
      <w:szCs w:val="20"/>
      <w:lang w:val="zh-CN"/>
    </w:rPr>
  </w:style>
  <w:style w:type="paragraph" w:customStyle="1" w:styleId="170">
    <w:name w:val="样式17"/>
    <w:basedOn w:val="a0"/>
    <w:qFormat/>
    <w:pPr>
      <w:widowControl w:val="0"/>
      <w:spacing w:before="60" w:after="60" w:line="360" w:lineRule="auto"/>
      <w:ind w:firstLineChars="200" w:firstLine="482"/>
      <w:jc w:val="both"/>
    </w:pPr>
    <w:rPr>
      <w:rFonts w:cs="Times New Roman"/>
      <w:b/>
      <w:kern w:val="2"/>
      <w:szCs w:val="20"/>
    </w:rPr>
  </w:style>
  <w:style w:type="character" w:customStyle="1" w:styleId="23CharChar">
    <w:name w:val="样式23 Char Char"/>
    <w:link w:val="230"/>
    <w:qFormat/>
    <w:rPr>
      <w:rFonts w:ascii="Times New Roman" w:eastAsia="宋体" w:hAnsi="Times New Roman" w:cs="Times New Roman"/>
      <w:color w:val="000000"/>
      <w:kern w:val="0"/>
      <w:sz w:val="24"/>
      <w:szCs w:val="20"/>
      <w:lang w:val="zh-CN" w:eastAsia="zh-CN"/>
    </w:rPr>
  </w:style>
  <w:style w:type="paragraph" w:customStyle="1" w:styleId="210">
    <w:name w:val="样式21"/>
    <w:basedOn w:val="a0"/>
    <w:qFormat/>
    <w:pPr>
      <w:tabs>
        <w:tab w:val="left" w:pos="775"/>
      </w:tabs>
      <w:spacing w:line="360" w:lineRule="auto"/>
      <w:ind w:left="775" w:hanging="360"/>
    </w:pPr>
    <w:rPr>
      <w:rFonts w:cs="Times New Roman"/>
      <w:b/>
      <w:szCs w:val="20"/>
      <w:lang w:val="zh-CN"/>
    </w:rPr>
  </w:style>
  <w:style w:type="paragraph" w:customStyle="1" w:styleId="affffff2">
    <w:name w:val="招股书单位"/>
    <w:basedOn w:val="afffffb"/>
    <w:next w:val="afffffb"/>
    <w:link w:val="Chare"/>
    <w:uiPriority w:val="6"/>
    <w:qFormat/>
    <w:pPr>
      <w:widowControl/>
      <w:spacing w:beforeLines="50" w:before="156" w:afterLines="0" w:after="0" w:line="240" w:lineRule="auto"/>
      <w:ind w:firstLineChars="0" w:firstLine="0"/>
      <w:jc w:val="right"/>
    </w:pPr>
    <w:rPr>
      <w:rFonts w:eastAsia="宋体"/>
      <w:color w:val="000000"/>
      <w:sz w:val="21"/>
      <w:szCs w:val="21"/>
    </w:rPr>
  </w:style>
  <w:style w:type="character" w:customStyle="1" w:styleId="Chare">
    <w:name w:val="招股书单位 Char"/>
    <w:link w:val="affffff2"/>
    <w:uiPriority w:val="6"/>
    <w:qFormat/>
    <w:rPr>
      <w:rFonts w:ascii="Times New Roman" w:eastAsia="宋体" w:hAnsi="Times New Roman" w:cs="Times New Roman"/>
      <w:color w:val="000000"/>
      <w:szCs w:val="21"/>
      <w:lang w:val="zh-CN" w:eastAsia="zh-CN"/>
    </w:rPr>
  </w:style>
  <w:style w:type="character" w:customStyle="1" w:styleId="HTML10">
    <w:name w:val="HTML 预设格式 字符1"/>
    <w:link w:val="HTML1"/>
    <w:qFormat/>
    <w:rPr>
      <w:rFonts w:ascii="宋体" w:hAnsi="宋体" w:cs="宋体"/>
      <w:sz w:val="24"/>
      <w:szCs w:val="24"/>
    </w:rPr>
  </w:style>
  <w:style w:type="character" w:customStyle="1" w:styleId="HTMLa">
    <w:name w:val="HTML 预设格式 字符"/>
    <w:basedOn w:val="a2"/>
    <w:qFormat/>
    <w:rPr>
      <w:rFonts w:ascii="Courier New" w:hAnsi="Courier New" w:cs="Courier New"/>
      <w:sz w:val="20"/>
      <w:szCs w:val="20"/>
    </w:rPr>
  </w:style>
  <w:style w:type="character" w:customStyle="1" w:styleId="HTMLChar">
    <w:name w:val="HTML 预设格式 Char"/>
    <w:uiPriority w:val="99"/>
    <w:qFormat/>
    <w:rPr>
      <w:rFonts w:ascii="Courier New" w:eastAsia="等线" w:hAnsi="Courier New" w:cs="Courier New"/>
      <w:sz w:val="20"/>
      <w:szCs w:val="20"/>
    </w:rPr>
  </w:style>
  <w:style w:type="character" w:customStyle="1" w:styleId="1Char">
    <w:name w:val="1正文样式 Char"/>
    <w:link w:val="1f5"/>
    <w:qFormat/>
    <w:rPr>
      <w:rFonts w:ascii="楷体" w:eastAsia="楷体" w:hAnsi="楷体"/>
      <w:b/>
      <w:sz w:val="24"/>
      <w:lang w:val="en-GB"/>
    </w:rPr>
  </w:style>
  <w:style w:type="paragraph" w:customStyle="1" w:styleId="1f5">
    <w:name w:val="1正文样式"/>
    <w:basedOn w:val="a0"/>
    <w:link w:val="1Char"/>
    <w:qFormat/>
    <w:pPr>
      <w:widowControl w:val="0"/>
      <w:adjustRightInd w:val="0"/>
      <w:snapToGrid w:val="0"/>
      <w:spacing w:afterLines="50" w:line="360" w:lineRule="auto"/>
      <w:ind w:firstLineChars="200" w:firstLine="480"/>
      <w:jc w:val="both"/>
    </w:pPr>
    <w:rPr>
      <w:rFonts w:ascii="楷体" w:eastAsia="楷体" w:hAnsi="楷体" w:cstheme="minorBidi"/>
      <w:b/>
      <w:kern w:val="2"/>
      <w:szCs w:val="22"/>
      <w:lang w:val="en-GB"/>
    </w:rPr>
  </w:style>
  <w:style w:type="paragraph" w:customStyle="1" w:styleId="2fa">
    <w:name w:val="2招股书正文"/>
    <w:link w:val="2Char"/>
    <w:qFormat/>
    <w:pPr>
      <w:spacing w:beforeLines="50" w:line="360" w:lineRule="auto"/>
      <w:ind w:firstLineChars="200" w:firstLine="200"/>
    </w:pPr>
    <w:rPr>
      <w:rFonts w:ascii="Times New Roman" w:eastAsia="宋体" w:hAnsi="Times New Roman" w:cs="Times New Roman"/>
      <w:color w:val="000000"/>
      <w:kern w:val="2"/>
      <w:sz w:val="24"/>
      <w:lang w:val="en-GB"/>
    </w:rPr>
  </w:style>
  <w:style w:type="character" w:customStyle="1" w:styleId="2Char">
    <w:name w:val="2招股书正文 Char"/>
    <w:link w:val="2fa"/>
    <w:qFormat/>
    <w:rPr>
      <w:rFonts w:ascii="Times New Roman" w:eastAsia="宋体" w:hAnsi="Times New Roman" w:cs="Times New Roman"/>
      <w:color w:val="000000"/>
      <w:sz w:val="24"/>
      <w:szCs w:val="20"/>
      <w:lang w:val="en-GB"/>
    </w:rPr>
  </w:style>
  <w:style w:type="character" w:customStyle="1" w:styleId="2fb">
    <w:name w:val="未处理的提及2"/>
    <w:uiPriority w:val="99"/>
    <w:unhideWhenUsed/>
    <w:qFormat/>
    <w:rPr>
      <w:color w:val="808080"/>
      <w:shd w:val="clear" w:color="auto" w:fill="E6E6E6"/>
    </w:rPr>
  </w:style>
  <w:style w:type="character" w:customStyle="1" w:styleId="2Char0">
    <w:name w:val="标题 2 Char"/>
    <w:uiPriority w:val="9"/>
    <w:qFormat/>
    <w:rPr>
      <w:rFonts w:ascii="等线 Light" w:eastAsia="等线 Light" w:hAnsi="等线 Light" w:cs="Times New Roman"/>
      <w:b/>
      <w:bCs/>
      <w:sz w:val="32"/>
      <w:szCs w:val="32"/>
    </w:rPr>
  </w:style>
  <w:style w:type="character" w:customStyle="1" w:styleId="Charf">
    <w:name w:val="批注文字 Char"/>
    <w:uiPriority w:val="99"/>
    <w:qFormat/>
    <w:rPr>
      <w:rFonts w:ascii="Times New Roman" w:hAnsi="Times New Roman"/>
      <w:kern w:val="2"/>
      <w:sz w:val="21"/>
      <w:szCs w:val="24"/>
      <w:lang w:val="zh-CN" w:eastAsia="zh-CN"/>
    </w:rPr>
  </w:style>
  <w:style w:type="character" w:customStyle="1" w:styleId="-Char0">
    <w:name w:val="新泉-正文 Char"/>
    <w:link w:val="-0"/>
    <w:qFormat/>
    <w:locked/>
    <w:rPr>
      <w:rFonts w:ascii="Times New Roman" w:hAnsi="Times New Roman"/>
      <w:sz w:val="24"/>
      <w:szCs w:val="24"/>
      <w:lang w:val="zh-CN" w:eastAsia="zh-CN"/>
    </w:rPr>
  </w:style>
  <w:style w:type="paragraph" w:customStyle="1" w:styleId="-0">
    <w:name w:val="新泉-正文"/>
    <w:basedOn w:val="a0"/>
    <w:link w:val="-Char0"/>
    <w:qFormat/>
    <w:pPr>
      <w:widowControl w:val="0"/>
      <w:spacing w:beforeLines="50" w:line="360" w:lineRule="auto"/>
      <w:ind w:firstLineChars="200" w:firstLine="480"/>
      <w:jc w:val="both"/>
    </w:pPr>
    <w:rPr>
      <w:rFonts w:ascii="Times New Roman" w:eastAsiaTheme="minorEastAsia" w:hAnsi="Times New Roman" w:cstheme="minorBidi"/>
      <w:kern w:val="2"/>
      <w:lang w:val="zh-CN"/>
    </w:rPr>
  </w:style>
  <w:style w:type="character" w:customStyle="1" w:styleId="fontstyle01">
    <w:name w:val="fontstyle01"/>
    <w:qFormat/>
    <w:rPr>
      <w:rFonts w:ascii="宋体" w:eastAsia="宋体" w:hAnsi="宋体" w:hint="eastAsia"/>
      <w:color w:val="000000"/>
      <w:sz w:val="24"/>
      <w:szCs w:val="24"/>
    </w:rPr>
  </w:style>
  <w:style w:type="character" w:customStyle="1" w:styleId="fontstyle21">
    <w:name w:val="fontstyle21"/>
    <w:qFormat/>
    <w:rPr>
      <w:rFonts w:ascii="Times New Roman" w:hAnsi="Times New Roman" w:cs="Times New Roman" w:hint="default"/>
      <w:color w:val="000000"/>
      <w:sz w:val="24"/>
      <w:szCs w:val="24"/>
    </w:rPr>
  </w:style>
  <w:style w:type="character" w:customStyle="1" w:styleId="Charf0">
    <w:name w:val="正文文本缩进 Char"/>
    <w:qFormat/>
    <w:rPr>
      <w:rFonts w:ascii="仿宋_GB2312" w:eastAsia="仿宋_GB2312"/>
      <w:kern w:val="2"/>
      <w:sz w:val="28"/>
      <w:lang w:val="zh-CN" w:eastAsia="zh-CN" w:bidi="ar-SA"/>
    </w:rPr>
  </w:style>
  <w:style w:type="character" w:customStyle="1" w:styleId="afff9">
    <w:name w:val="普通(网站) 字符"/>
    <w:link w:val="afff8"/>
    <w:uiPriority w:val="99"/>
    <w:qFormat/>
    <w:rPr>
      <w:rFonts w:ascii="宋体" w:eastAsia="等线" w:hAnsi="宋体" w:cs="Times New Roman"/>
      <w:kern w:val="0"/>
      <w:sz w:val="24"/>
      <w:szCs w:val="24"/>
    </w:rPr>
  </w:style>
  <w:style w:type="paragraph" w:customStyle="1" w:styleId="211">
    <w:name w:val="正文文本缩进 21"/>
    <w:basedOn w:val="a0"/>
    <w:qFormat/>
    <w:pPr>
      <w:widowControl w:val="0"/>
      <w:overflowPunct w:val="0"/>
      <w:autoSpaceDE w:val="0"/>
      <w:autoSpaceDN w:val="0"/>
      <w:adjustRightInd w:val="0"/>
      <w:spacing w:line="360" w:lineRule="auto"/>
      <w:ind w:firstLine="573"/>
      <w:jc w:val="both"/>
      <w:textAlignment w:val="baseline"/>
    </w:pPr>
    <w:rPr>
      <w:rFonts w:ascii="仿宋_GB2312" w:eastAsia="仿宋_GB2312" w:hAnsi="Times New Roman" w:cs="Times New Roman"/>
      <w:kern w:val="2"/>
      <w:sz w:val="28"/>
      <w:szCs w:val="20"/>
    </w:rPr>
  </w:style>
  <w:style w:type="character" w:customStyle="1" w:styleId="3f4">
    <w:name w:val="未处理的提及3"/>
    <w:uiPriority w:val="99"/>
    <w:unhideWhenUsed/>
    <w:qFormat/>
    <w:rPr>
      <w:color w:val="808080"/>
      <w:shd w:val="clear" w:color="auto" w:fill="E6E6E6"/>
    </w:rPr>
  </w:style>
  <w:style w:type="character" w:customStyle="1" w:styleId="4d">
    <w:name w:val="未处理的提及4"/>
    <w:uiPriority w:val="99"/>
    <w:unhideWhenUsed/>
    <w:qFormat/>
    <w:rPr>
      <w:color w:val="808080"/>
      <w:shd w:val="clear" w:color="auto" w:fill="E6E6E6"/>
    </w:rPr>
  </w:style>
  <w:style w:type="character" w:customStyle="1" w:styleId="Charf1">
    <w:name w:val="普通(网站) Char"/>
    <w:qFormat/>
    <w:rPr>
      <w:rFonts w:ascii="宋体" w:eastAsia="宋体" w:hAnsi="宋体"/>
      <w:kern w:val="2"/>
      <w:sz w:val="24"/>
      <w:szCs w:val="24"/>
      <w:lang w:val="en-US" w:eastAsia="zh-CN" w:bidi="ar-SA"/>
    </w:rPr>
  </w:style>
  <w:style w:type="paragraph" w:customStyle="1" w:styleId="p17">
    <w:name w:val="p17"/>
    <w:basedOn w:val="a0"/>
    <w:qFormat/>
    <w:pPr>
      <w:overflowPunct w:val="0"/>
      <w:autoSpaceDE w:val="0"/>
      <w:autoSpaceDN w:val="0"/>
      <w:snapToGrid w:val="0"/>
      <w:jc w:val="both"/>
    </w:pPr>
    <w:rPr>
      <w:rFonts w:ascii="幼圆" w:eastAsia="幼圆"/>
      <w:sz w:val="15"/>
      <w:szCs w:val="15"/>
    </w:rPr>
  </w:style>
  <w:style w:type="character" w:customStyle="1" w:styleId="5b">
    <w:name w:val="未处理的提及5"/>
    <w:uiPriority w:val="99"/>
    <w:unhideWhenUsed/>
    <w:qFormat/>
    <w:rPr>
      <w:color w:val="808080"/>
      <w:shd w:val="clear" w:color="auto" w:fill="E6E6E6"/>
    </w:rPr>
  </w:style>
  <w:style w:type="character" w:customStyle="1" w:styleId="64">
    <w:name w:val="未处理的提及6"/>
    <w:uiPriority w:val="99"/>
    <w:unhideWhenUsed/>
    <w:qFormat/>
    <w:rPr>
      <w:color w:val="808080"/>
      <w:shd w:val="clear" w:color="auto" w:fill="E6E6E6"/>
    </w:rPr>
  </w:style>
  <w:style w:type="character" w:customStyle="1" w:styleId="74">
    <w:name w:val="未处理的提及7"/>
    <w:uiPriority w:val="99"/>
    <w:unhideWhenUsed/>
    <w:qFormat/>
    <w:rPr>
      <w:color w:val="808080"/>
      <w:shd w:val="clear" w:color="auto" w:fill="E6E6E6"/>
    </w:rPr>
  </w:style>
  <w:style w:type="character" w:customStyle="1" w:styleId="84">
    <w:name w:val="未处理的提及8"/>
    <w:uiPriority w:val="99"/>
    <w:unhideWhenUsed/>
    <w:qFormat/>
    <w:rPr>
      <w:color w:val="808080"/>
      <w:shd w:val="clear" w:color="auto" w:fill="E6E6E6"/>
    </w:rPr>
  </w:style>
  <w:style w:type="table" w:customStyle="1" w:styleId="2fc">
    <w:name w:val="典雅型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0">
    <w:name w:val="网格型 5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fd">
    <w:name w:val="奔奔团招股书格式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fe">
    <w:name w:val="招股书格式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
    <w:name w:val="典雅型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
    <w:name w:val="网格型 5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
    <w:name w:val="奔奔团招股书格式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3">
    <w:name w:val="招股书格式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92">
    <w:name w:val="未处理的提及9"/>
    <w:uiPriority w:val="99"/>
    <w:unhideWhenUsed/>
    <w:qFormat/>
    <w:rPr>
      <w:color w:val="808080"/>
      <w:shd w:val="clear" w:color="auto" w:fill="E6E6E6"/>
    </w:rPr>
  </w:style>
  <w:style w:type="character" w:customStyle="1" w:styleId="100">
    <w:name w:val="未处理的提及10"/>
    <w:uiPriority w:val="99"/>
    <w:unhideWhenUsed/>
    <w:qFormat/>
    <w:rPr>
      <w:color w:val="808080"/>
      <w:shd w:val="clear" w:color="auto" w:fill="E6E6E6"/>
    </w:rPr>
  </w:style>
  <w:style w:type="character" w:customStyle="1" w:styleId="114">
    <w:name w:val="未处理的提及11"/>
    <w:uiPriority w:val="99"/>
    <w:unhideWhenUsed/>
    <w:qFormat/>
    <w:rPr>
      <w:color w:val="808080"/>
      <w:shd w:val="clear" w:color="auto" w:fill="E6E6E6"/>
    </w:rPr>
  </w:style>
  <w:style w:type="character" w:customStyle="1" w:styleId="120">
    <w:name w:val="未处理的提及12"/>
    <w:uiPriority w:val="99"/>
    <w:unhideWhenUsed/>
    <w:qFormat/>
    <w:rPr>
      <w:color w:val="605E5C"/>
      <w:shd w:val="clear" w:color="auto" w:fill="E1DFDD"/>
    </w:rPr>
  </w:style>
  <w:style w:type="table" w:customStyle="1" w:styleId="2ff">
    <w:name w:val="定制网格型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2">
    <w:name w:val="日期 Char"/>
    <w:qFormat/>
    <w:rPr>
      <w:rFonts w:ascii="等线" w:eastAsia="等线" w:hAnsi="等线" w:cs="Times New Roman"/>
      <w:szCs w:val="21"/>
    </w:rPr>
  </w:style>
  <w:style w:type="character" w:customStyle="1" w:styleId="2Char10">
    <w:name w:val="标题 2 Char1"/>
    <w:uiPriority w:val="9"/>
    <w:qFormat/>
    <w:rPr>
      <w:rFonts w:ascii="等线 Light" w:eastAsia="等线 Light" w:hAnsi="等线 Light" w:cs="Times New Roman"/>
      <w:b/>
      <w:bCs/>
      <w:sz w:val="32"/>
      <w:szCs w:val="32"/>
    </w:rPr>
  </w:style>
  <w:style w:type="character" w:customStyle="1" w:styleId="1Char0">
    <w:name w:val="标题 1 Char"/>
    <w:uiPriority w:val="9"/>
    <w:qFormat/>
    <w:rPr>
      <w:rFonts w:ascii="等线" w:eastAsia="等线" w:hAnsi="等线" w:cs="Times New Roman"/>
      <w:b/>
      <w:bCs/>
      <w:kern w:val="44"/>
      <w:sz w:val="44"/>
      <w:szCs w:val="44"/>
    </w:rPr>
  </w:style>
  <w:style w:type="character" w:customStyle="1" w:styleId="3Char0">
    <w:name w:val="标题 3 Char"/>
    <w:uiPriority w:val="9"/>
    <w:qFormat/>
    <w:rPr>
      <w:rFonts w:ascii="等线" w:eastAsia="等线" w:hAnsi="等线" w:cs="Times New Roman"/>
      <w:b/>
      <w:bCs/>
      <w:sz w:val="32"/>
      <w:szCs w:val="32"/>
    </w:rPr>
  </w:style>
  <w:style w:type="character" w:customStyle="1" w:styleId="4Char0">
    <w:name w:val="标题 4 Char"/>
    <w:uiPriority w:val="9"/>
    <w:qFormat/>
    <w:rPr>
      <w:rFonts w:ascii="等线 Light" w:eastAsia="等线 Light" w:hAnsi="等线 Light" w:cs="Times New Roman"/>
      <w:b/>
      <w:bCs/>
      <w:sz w:val="28"/>
      <w:szCs w:val="28"/>
    </w:rPr>
  </w:style>
  <w:style w:type="character" w:customStyle="1" w:styleId="5Char">
    <w:name w:val="标题 5 Char"/>
    <w:uiPriority w:val="9"/>
    <w:qFormat/>
    <w:rPr>
      <w:rFonts w:ascii="等线" w:eastAsia="等线" w:hAnsi="等线" w:cs="Times New Roman"/>
      <w:b/>
      <w:bCs/>
      <w:sz w:val="28"/>
      <w:szCs w:val="28"/>
    </w:rPr>
  </w:style>
  <w:style w:type="character" w:customStyle="1" w:styleId="6Char">
    <w:name w:val="标题 6 Char"/>
    <w:uiPriority w:val="9"/>
    <w:qFormat/>
    <w:rPr>
      <w:rFonts w:ascii="等线 Light" w:eastAsia="等线 Light" w:hAnsi="等线 Light" w:cs="Times New Roman"/>
      <w:b/>
      <w:bCs/>
      <w:sz w:val="24"/>
      <w:szCs w:val="24"/>
    </w:rPr>
  </w:style>
  <w:style w:type="character" w:customStyle="1" w:styleId="7Char">
    <w:name w:val="标题 7 Char"/>
    <w:uiPriority w:val="9"/>
    <w:qFormat/>
    <w:rPr>
      <w:rFonts w:ascii="等线" w:eastAsia="等线" w:hAnsi="等线" w:cs="Times New Roman"/>
      <w:b/>
      <w:bCs/>
      <w:sz w:val="24"/>
      <w:szCs w:val="24"/>
    </w:rPr>
  </w:style>
  <w:style w:type="character" w:customStyle="1" w:styleId="8Char">
    <w:name w:val="标题 8 Char"/>
    <w:uiPriority w:val="9"/>
    <w:qFormat/>
    <w:rPr>
      <w:rFonts w:ascii="等线 Light" w:eastAsia="等线 Light" w:hAnsi="等线 Light" w:cs="Times New Roman"/>
      <w:sz w:val="24"/>
      <w:szCs w:val="24"/>
    </w:rPr>
  </w:style>
  <w:style w:type="character" w:customStyle="1" w:styleId="9Char">
    <w:name w:val="标题 9 Char"/>
    <w:uiPriority w:val="9"/>
    <w:qFormat/>
    <w:rPr>
      <w:rFonts w:ascii="等线 Light" w:eastAsia="等线 Light" w:hAnsi="等线 Light" w:cs="Times New Roman"/>
      <w:szCs w:val="21"/>
    </w:rPr>
  </w:style>
  <w:style w:type="character" w:customStyle="1" w:styleId="Charf3">
    <w:name w:val="页眉 Char"/>
    <w:uiPriority w:val="99"/>
    <w:qFormat/>
    <w:rPr>
      <w:rFonts w:ascii="等线" w:eastAsia="等线" w:hAnsi="等线" w:cs="Times New Roman"/>
      <w:sz w:val="18"/>
      <w:szCs w:val="18"/>
    </w:rPr>
  </w:style>
  <w:style w:type="character" w:customStyle="1" w:styleId="Charf4">
    <w:name w:val="页脚 Char"/>
    <w:uiPriority w:val="99"/>
    <w:qFormat/>
    <w:rPr>
      <w:rFonts w:ascii="等线" w:eastAsia="等线" w:hAnsi="等线" w:cs="Times New Roman"/>
      <w:sz w:val="18"/>
      <w:szCs w:val="18"/>
    </w:rPr>
  </w:style>
  <w:style w:type="character" w:customStyle="1" w:styleId="Charf5">
    <w:name w:val="纯文本 Char"/>
    <w:link w:val="affffff3"/>
    <w:qFormat/>
    <w:rPr>
      <w:rFonts w:ascii="宋体" w:eastAsia="等线" w:hAnsi="Courier New" w:cs="Times New Roman"/>
      <w:szCs w:val="21"/>
      <w:lang w:val="zh-CN" w:eastAsia="zh-CN"/>
    </w:rPr>
  </w:style>
  <w:style w:type="paragraph" w:customStyle="1" w:styleId="affffff3">
    <w:name w:val="正文 + 宋体"/>
    <w:basedOn w:val="a0"/>
    <w:link w:val="Charf5"/>
    <w:qFormat/>
    <w:pPr>
      <w:widowControl w:val="0"/>
      <w:spacing w:line="360" w:lineRule="auto"/>
      <w:ind w:firstLineChars="200" w:firstLine="420"/>
      <w:jc w:val="both"/>
    </w:pPr>
    <w:rPr>
      <w:rFonts w:eastAsia="等线" w:hAnsi="Courier New" w:cs="Times New Roman"/>
      <w:kern w:val="2"/>
      <w:sz w:val="21"/>
      <w:szCs w:val="21"/>
      <w:lang w:val="zh-CN"/>
    </w:rPr>
  </w:style>
  <w:style w:type="character" w:customStyle="1" w:styleId="Charf6">
    <w:name w:val="批注框文本 Char"/>
    <w:uiPriority w:val="99"/>
    <w:qFormat/>
    <w:rPr>
      <w:rFonts w:ascii="Times New Roman" w:eastAsia="等线" w:hAnsi="Times New Roman" w:cs="Times New Roman"/>
      <w:sz w:val="18"/>
      <w:szCs w:val="18"/>
      <w:lang w:val="zh-CN" w:eastAsia="zh-CN"/>
    </w:rPr>
  </w:style>
  <w:style w:type="character" w:customStyle="1" w:styleId="Char10">
    <w:name w:val="批注文字 Char1"/>
    <w:qFormat/>
    <w:rPr>
      <w:rFonts w:ascii="Times New Roman" w:eastAsia="等线" w:hAnsi="Times New Roman" w:cs="Times New Roman"/>
      <w:szCs w:val="24"/>
      <w:lang w:val="zh-CN" w:eastAsia="zh-CN"/>
    </w:rPr>
  </w:style>
  <w:style w:type="table" w:customStyle="1" w:styleId="3f5">
    <w:name w:val="典雅型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0">
    <w:name w:val="网格型 5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f6">
    <w:name w:val="定制网格型3"/>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7">
    <w:name w:val="文档结构图 Char"/>
    <w:qFormat/>
    <w:rPr>
      <w:rFonts w:ascii="Times New Roman" w:eastAsia="等线" w:hAnsi="Times New Roman" w:cs="Times New Roman"/>
      <w:szCs w:val="24"/>
      <w:shd w:val="clear" w:color="auto" w:fill="000080"/>
      <w:lang w:val="zh-CN" w:eastAsia="zh-CN"/>
    </w:rPr>
  </w:style>
  <w:style w:type="character" w:customStyle="1" w:styleId="Charf8">
    <w:name w:val="批注主题 Char"/>
    <w:semiHidden/>
    <w:qFormat/>
    <w:rPr>
      <w:rFonts w:ascii="Times New Roman" w:eastAsia="等线" w:hAnsi="Times New Roman" w:cs="Times New Roman"/>
      <w:b/>
      <w:bCs/>
      <w:szCs w:val="24"/>
      <w:lang w:val="zh-CN" w:eastAsia="zh-CN"/>
    </w:rPr>
  </w:style>
  <w:style w:type="character" w:customStyle="1" w:styleId="Charf9">
    <w:name w:val="正文文本 Char"/>
    <w:qFormat/>
    <w:rPr>
      <w:rFonts w:ascii="Times New Roman" w:eastAsia="等线" w:hAnsi="Times New Roman" w:cs="Times New Roman"/>
      <w:szCs w:val="24"/>
      <w:lang w:val="zh-CN" w:eastAsia="zh-CN"/>
    </w:rPr>
  </w:style>
  <w:style w:type="character" w:customStyle="1" w:styleId="Char11">
    <w:name w:val="正文文本缩进 Char1"/>
    <w:qFormat/>
    <w:rPr>
      <w:rFonts w:ascii="Times New Roman" w:eastAsia="等线" w:hAnsi="Times New Roman" w:cs="Times New Roman"/>
      <w:szCs w:val="24"/>
      <w:lang w:val="zh-CN" w:eastAsia="zh-CN"/>
    </w:rPr>
  </w:style>
  <w:style w:type="character" w:customStyle="1" w:styleId="2Char2">
    <w:name w:val="正文文本 2 Char"/>
    <w:qFormat/>
    <w:rPr>
      <w:rFonts w:ascii="Times New Roman" w:eastAsia="等线" w:hAnsi="Times New Roman" w:cs="Times New Roman"/>
      <w:szCs w:val="24"/>
      <w:lang w:val="zh-CN" w:eastAsia="zh-CN"/>
    </w:rPr>
  </w:style>
  <w:style w:type="table" w:customStyle="1" w:styleId="3f7">
    <w:name w:val="奔奔团招股书格式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character" w:customStyle="1" w:styleId="Charfa">
    <w:name w:val="脚注文本 Char"/>
    <w:qFormat/>
    <w:rPr>
      <w:rFonts w:ascii="Times New Roman" w:eastAsia="等线" w:hAnsi="Times New Roman" w:cs="Times New Roman"/>
      <w:sz w:val="18"/>
      <w:szCs w:val="18"/>
      <w:lang w:val="zh-CN" w:eastAsia="zh-CN"/>
    </w:rPr>
  </w:style>
  <w:style w:type="character" w:customStyle="1" w:styleId="Charfb">
    <w:name w:val="正文首行缩进 Char"/>
    <w:uiPriority w:val="99"/>
    <w:qFormat/>
    <w:rPr>
      <w:rFonts w:ascii="Calibri" w:eastAsia="等线" w:hAnsi="Calibri" w:cs="Times New Roman"/>
      <w:szCs w:val="24"/>
      <w:lang w:val="zh-CN" w:eastAsia="zh-CN"/>
    </w:rPr>
  </w:style>
  <w:style w:type="table" w:customStyle="1" w:styleId="3f8">
    <w:name w:val="招股书格式3"/>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2Char3">
    <w:name w:val="正文文本缩进 2 Char"/>
    <w:qFormat/>
    <w:rPr>
      <w:rFonts w:ascii="等线" w:eastAsia="等线" w:hAnsi="等线" w:cs="Times New Roman"/>
      <w:szCs w:val="21"/>
    </w:rPr>
  </w:style>
  <w:style w:type="table" w:customStyle="1" w:styleId="121">
    <w:name w:val="典雅型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
    <w:name w:val="网格型 5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
    <w:name w:val="网格型12"/>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奔奔团招股书格式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4">
    <w:name w:val="招股书格式1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HTMLChar1">
    <w:name w:val="HTML 预设格式 Char1"/>
    <w:qFormat/>
    <w:rPr>
      <w:rFonts w:ascii="宋体" w:hAnsi="宋体" w:cs="宋体"/>
      <w:sz w:val="24"/>
      <w:szCs w:val="24"/>
    </w:rPr>
  </w:style>
  <w:style w:type="character" w:customStyle="1" w:styleId="Char12">
    <w:name w:val="普通(网站) Char1"/>
    <w:qFormat/>
    <w:rPr>
      <w:rFonts w:ascii="宋体" w:eastAsia="等线" w:hAnsi="宋体" w:cs="Times New Roman"/>
      <w:kern w:val="0"/>
      <w:sz w:val="24"/>
      <w:szCs w:val="24"/>
    </w:rPr>
  </w:style>
  <w:style w:type="table" w:customStyle="1" w:styleId="212">
    <w:name w:val="典雅型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
    <w:name w:val="网格型 5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5">
    <w:name w:val="定制网格型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奔奔团招股书格式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4">
    <w:name w:val="招股书格式2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0">
    <w:name w:val="典雅型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
    <w:name w:val="网格型 5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
    <w:name w:val="网格型11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奔奔团招股书格式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3">
    <w:name w:val="招股书格式1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character" w:customStyle="1" w:styleId="affffff4">
    <w:name w:val="尾注文本 字符"/>
    <w:basedOn w:val="a2"/>
    <w:uiPriority w:val="99"/>
    <w:qFormat/>
  </w:style>
  <w:style w:type="character" w:customStyle="1" w:styleId="54">
    <w:name w:val="尾注文本 字符5"/>
    <w:link w:val="aff5"/>
    <w:uiPriority w:val="99"/>
    <w:qFormat/>
    <w:rPr>
      <w:rFonts w:ascii="等线" w:eastAsia="等线" w:hAnsi="等线" w:cs="Times New Roman"/>
      <w:szCs w:val="21"/>
    </w:rPr>
  </w:style>
  <w:style w:type="table" w:customStyle="1" w:styleId="215">
    <w:name w:val="定制网格型2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c">
    <w:name w:val="表头楷 Char"/>
    <w:link w:val="affffff5"/>
    <w:qFormat/>
    <w:rPr>
      <w:b/>
      <w:bCs/>
      <w:szCs w:val="21"/>
    </w:rPr>
  </w:style>
  <w:style w:type="paragraph" w:customStyle="1" w:styleId="affffff5">
    <w:name w:val="表头楷"/>
    <w:basedOn w:val="a0"/>
    <w:link w:val="Charfc"/>
    <w:qFormat/>
    <w:pPr>
      <w:widowControl w:val="0"/>
      <w:jc w:val="center"/>
    </w:pPr>
    <w:rPr>
      <w:rFonts w:asciiTheme="minorHAnsi" w:eastAsiaTheme="minorEastAsia" w:hAnsiTheme="minorHAnsi" w:cstheme="minorBidi"/>
      <w:b/>
      <w:bCs/>
      <w:kern w:val="2"/>
      <w:sz w:val="21"/>
      <w:szCs w:val="21"/>
    </w:rPr>
  </w:style>
  <w:style w:type="character" w:customStyle="1" w:styleId="Chara">
    <w:name w:val="列出段落 Char"/>
    <w:link w:val="2f8"/>
    <w:uiPriority w:val="1"/>
    <w:qFormat/>
    <w:rPr>
      <w:rFonts w:ascii="等线" w:eastAsia="等线" w:hAnsi="等线" w:cs="Times New Roman"/>
      <w:szCs w:val="21"/>
    </w:rPr>
  </w:style>
  <w:style w:type="table" w:customStyle="1" w:styleId="2ff0">
    <w:name w:val="网格型2"/>
    <w:basedOn w:val="a3"/>
    <w:uiPriority w:val="3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典雅型4"/>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0">
    <w:name w:val="网格型 54"/>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f">
    <w:name w:val="定制网格型4"/>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奔奔团招股书格式4"/>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f1">
    <w:name w:val="招股书格式4"/>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0">
    <w:name w:val="典雅型1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
    <w:name w:val="网格型 51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1">
    <w:name w:val="网格型13"/>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奔奔团招股书格式1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3">
    <w:name w:val="招股书格式13"/>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0">
    <w:name w:val="典雅型2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
    <w:name w:val="网格型 52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5">
    <w:name w:val="定制网格型1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奔奔团招股书格式2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2">
    <w:name w:val="招股书格式2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0">
    <w:name w:val="典雅型1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
    <w:name w:val="网格型 51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
    <w:name w:val="网格型112"/>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奔奔团招股书格式1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3">
    <w:name w:val="招股书格式11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0">
    <w:name w:val="典雅型3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
    <w:name w:val="网格型 53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3">
    <w:name w:val="定制网格型2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奔奔团招股书格式3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2">
    <w:name w:val="招股书格式3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0">
    <w:name w:val="典雅型1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
    <w:name w:val="网格型 51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1">
    <w:name w:val="网格型12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奔奔团招股书格式1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3">
    <w:name w:val="招股书格式12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0">
    <w:name w:val="典雅型2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
    <w:name w:val="网格型 52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
    <w:name w:val="定制网格型1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奔奔团招股书格式2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2">
    <w:name w:val="招股书格式21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0">
    <w:name w:val="典雅型1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
    <w:name w:val="网格型 51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1">
    <w:name w:val="网格型111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奔奔团招股书格式1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3">
    <w:name w:val="招股书格式11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paragraph" w:customStyle="1" w:styleId="affffff6">
    <w:name w:val="标题 （一）"/>
    <w:basedOn w:val="afff0"/>
    <w:link w:val="affffff7"/>
    <w:qFormat/>
    <w:pPr>
      <w:keepNext/>
      <w:spacing w:beforeLines="50" w:before="156" w:afterLines="50" w:after="156" w:line="360" w:lineRule="auto"/>
      <w:ind w:firstLineChars="200" w:firstLine="482"/>
      <w:jc w:val="both"/>
      <w:outlineLvl w:val="2"/>
    </w:pPr>
    <w:rPr>
      <w:rFonts w:ascii="Times New Roman" w:eastAsia="黑体" w:hAnsi="Times New Roman"/>
      <w:sz w:val="24"/>
    </w:rPr>
  </w:style>
  <w:style w:type="character" w:customStyle="1" w:styleId="affffff7">
    <w:name w:val="标题 （一） 字符"/>
    <w:link w:val="affffff6"/>
    <w:qFormat/>
    <w:rPr>
      <w:rFonts w:ascii="Times New Roman" w:eastAsia="黑体" w:hAnsi="Times New Roman" w:cs="Times New Roman"/>
      <w:b/>
      <w:bCs/>
      <w:kern w:val="28"/>
      <w:sz w:val="24"/>
      <w:szCs w:val="32"/>
    </w:rPr>
  </w:style>
  <w:style w:type="character" w:customStyle="1" w:styleId="afff1">
    <w:name w:val="副标题 字符"/>
    <w:basedOn w:val="a2"/>
    <w:link w:val="afff0"/>
    <w:uiPriority w:val="11"/>
    <w:qFormat/>
    <w:rPr>
      <w:rFonts w:ascii="等线 Light" w:eastAsia="宋体" w:hAnsi="等线 Light" w:cs="Times New Roman"/>
      <w:b/>
      <w:bCs/>
      <w:kern w:val="28"/>
      <w:sz w:val="32"/>
      <w:szCs w:val="32"/>
    </w:rPr>
  </w:style>
  <w:style w:type="table" w:customStyle="1" w:styleId="1f6">
    <w:name w:val="预案表格1"/>
    <w:basedOn w:val="a3"/>
    <w:uiPriority w:val="99"/>
    <w:qFormat/>
    <w:rPr>
      <w:rFonts w:ascii="Calibri" w:eastAsia="宋体" w:hAnsi="Calibri" w:cs="Times New Roman"/>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宋体" w:hAnsi="Times New Roman"/>
        <w:b w:val="0"/>
        <w:i w:val="0"/>
        <w:caps w:val="0"/>
        <w:smallCaps w:val="0"/>
        <w:strike w:val="0"/>
        <w:dstrike w:val="0"/>
        <w:vanish w:val="0"/>
        <w:sz w:val="21"/>
        <w:vertAlign w:val="baseline"/>
      </w:rPr>
    </w:tblStylePr>
  </w:style>
  <w:style w:type="paragraph" w:customStyle="1" w:styleId="CM4">
    <w:name w:val="CM4"/>
    <w:basedOn w:val="Default"/>
    <w:next w:val="Default"/>
    <w:qFormat/>
    <w:pPr>
      <w:spacing w:after="615"/>
    </w:pPr>
    <w:rPr>
      <w:rFonts w:ascii="华文中宋" w:eastAsia="华文中宋" w:cs="华文中宋"/>
      <w:color w:val="auto"/>
      <w:kern w:val="0"/>
    </w:rPr>
  </w:style>
  <w:style w:type="paragraph" w:customStyle="1" w:styleId="CM1">
    <w:name w:val="CM1"/>
    <w:basedOn w:val="Default"/>
    <w:next w:val="Default"/>
    <w:uiPriority w:val="99"/>
    <w:qFormat/>
    <w:pPr>
      <w:spacing w:line="626" w:lineRule="atLeast"/>
    </w:pPr>
    <w:rPr>
      <w:rFonts w:ascii="华文中宋" w:eastAsia="华文中宋" w:cs="华文中宋"/>
      <w:color w:val="auto"/>
      <w:kern w:val="0"/>
    </w:rPr>
  </w:style>
  <w:style w:type="paragraph" w:customStyle="1" w:styleId="CM3">
    <w:name w:val="CM3"/>
    <w:basedOn w:val="Default"/>
    <w:next w:val="Default"/>
    <w:qFormat/>
    <w:pPr>
      <w:spacing w:line="626" w:lineRule="atLeast"/>
    </w:pPr>
    <w:rPr>
      <w:rFonts w:ascii="华文中宋" w:eastAsia="华文中宋" w:cs="华文中宋"/>
      <w:color w:val="auto"/>
      <w:kern w:val="0"/>
    </w:rPr>
  </w:style>
  <w:style w:type="paragraph" w:customStyle="1" w:styleId="CM6">
    <w:name w:val="CM6"/>
    <w:basedOn w:val="Default"/>
    <w:next w:val="Default"/>
    <w:qFormat/>
    <w:pPr>
      <w:spacing w:after="623"/>
    </w:pPr>
    <w:rPr>
      <w:rFonts w:ascii="华文中宋" w:eastAsia="华文中宋" w:cs="华文中宋"/>
      <w:color w:val="auto"/>
      <w:kern w:val="0"/>
    </w:rPr>
  </w:style>
  <w:style w:type="paragraph" w:customStyle="1" w:styleId="CM5">
    <w:name w:val="CM5"/>
    <w:basedOn w:val="Default"/>
    <w:next w:val="Default"/>
    <w:qFormat/>
    <w:pPr>
      <w:spacing w:line="626" w:lineRule="atLeast"/>
    </w:pPr>
    <w:rPr>
      <w:rFonts w:ascii="华文中宋" w:eastAsia="华文中宋" w:cs="华文中宋"/>
      <w:color w:val="auto"/>
      <w:kern w:val="0"/>
    </w:rPr>
  </w:style>
  <w:style w:type="paragraph" w:customStyle="1" w:styleId="CM7">
    <w:name w:val="CM7"/>
    <w:basedOn w:val="Default"/>
    <w:next w:val="Default"/>
    <w:qFormat/>
    <w:pPr>
      <w:spacing w:after="620"/>
    </w:pPr>
    <w:rPr>
      <w:rFonts w:ascii="华文中宋" w:eastAsia="华文中宋" w:cs="华文中宋"/>
      <w:color w:val="auto"/>
      <w:kern w:val="0"/>
    </w:rPr>
  </w:style>
  <w:style w:type="paragraph" w:customStyle="1" w:styleId="CM8">
    <w:name w:val="CM8"/>
    <w:basedOn w:val="Default"/>
    <w:next w:val="Default"/>
    <w:qFormat/>
    <w:pPr>
      <w:spacing w:after="623"/>
    </w:pPr>
    <w:rPr>
      <w:rFonts w:ascii="华文中宋" w:eastAsia="华文中宋" w:cs="华文中宋"/>
      <w:color w:val="auto"/>
      <w:kern w:val="0"/>
    </w:rPr>
  </w:style>
  <w:style w:type="paragraph" w:customStyle="1" w:styleId="CM10">
    <w:name w:val="CM10"/>
    <w:basedOn w:val="Default"/>
    <w:next w:val="Default"/>
    <w:qFormat/>
    <w:pPr>
      <w:spacing w:after="553"/>
    </w:pPr>
    <w:rPr>
      <w:rFonts w:ascii="华文中宋" w:eastAsia="华文中宋" w:cs="华文中宋"/>
      <w:color w:val="auto"/>
      <w:kern w:val="0"/>
    </w:rPr>
  </w:style>
  <w:style w:type="paragraph" w:customStyle="1" w:styleId="CM9">
    <w:name w:val="CM9"/>
    <w:basedOn w:val="Default"/>
    <w:next w:val="Default"/>
    <w:qFormat/>
    <w:pPr>
      <w:spacing w:after="623"/>
    </w:pPr>
    <w:rPr>
      <w:rFonts w:ascii="华文中宋" w:eastAsia="华文中宋" w:cs="华文中宋"/>
      <w:color w:val="auto"/>
      <w:kern w:val="0"/>
    </w:rPr>
  </w:style>
  <w:style w:type="paragraph" w:customStyle="1" w:styleId="xl27">
    <w:name w:val="xl27"/>
    <w:basedOn w:val="a0"/>
    <w:uiPriority w:val="99"/>
    <w:qFormat/>
    <w:pPr>
      <w:spacing w:before="100" w:beforeAutospacing="1" w:after="100" w:afterAutospacing="1"/>
      <w:jc w:val="center"/>
    </w:pPr>
    <w:rPr>
      <w:rFonts w:ascii="楷体_GB2312" w:eastAsia="楷体_GB2312" w:hAnsi="Arial Unicode MS" w:cs="Times New Roman" w:hint="eastAsia"/>
    </w:rPr>
  </w:style>
  <w:style w:type="paragraph" w:customStyle="1" w:styleId="Affffff8">
    <w:name w:val="ÐòºÅA"/>
    <w:basedOn w:val="a0"/>
    <w:qFormat/>
    <w:pPr>
      <w:tabs>
        <w:tab w:val="left" w:pos="595"/>
        <w:tab w:val="center" w:pos="2245"/>
        <w:tab w:val="center" w:pos="6497"/>
      </w:tabs>
      <w:overflowPunct w:val="0"/>
      <w:autoSpaceDE w:val="0"/>
      <w:autoSpaceDN w:val="0"/>
      <w:adjustRightInd w:val="0"/>
      <w:spacing w:after="120" w:line="360" w:lineRule="auto"/>
      <w:ind w:left="-383"/>
      <w:jc w:val="both"/>
      <w:textAlignment w:val="baseline"/>
    </w:pPr>
    <w:rPr>
      <w:rFonts w:ascii="Times New Roman" w:hAnsi="Times New Roman" w:cs="Times New Roman"/>
      <w:szCs w:val="20"/>
    </w:rPr>
  </w:style>
  <w:style w:type="table" w:customStyle="1" w:styleId="3f9">
    <w:name w:val="网格型3"/>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
    <w:name w:val="Char Char Char Char Char Char"/>
    <w:basedOn w:val="a0"/>
    <w:uiPriority w:val="99"/>
    <w:qFormat/>
    <w:pPr>
      <w:spacing w:after="160" w:line="240" w:lineRule="exact"/>
    </w:pPr>
    <w:rPr>
      <w:rFonts w:ascii="Arial" w:eastAsia="Times New Roman" w:hAnsi="Arial" w:cs="Verdana"/>
      <w:b/>
      <w:szCs w:val="20"/>
      <w:lang w:eastAsia="en-US"/>
    </w:rPr>
  </w:style>
  <w:style w:type="paragraph" w:customStyle="1" w:styleId="CharCharCharCharCharChar1CharCharChar">
    <w:name w:val="Char Char Char Char Char Char1 Char Char Char"/>
    <w:basedOn w:val="a0"/>
    <w:uiPriority w:val="99"/>
    <w:qFormat/>
    <w:pPr>
      <w:widowControl w:val="0"/>
      <w:autoSpaceDE w:val="0"/>
      <w:autoSpaceDN w:val="0"/>
      <w:adjustRightInd w:val="0"/>
      <w:textAlignment w:val="baseline"/>
    </w:pPr>
    <w:rPr>
      <w:rFonts w:ascii="Times New Roman" w:eastAsia="方正仿宋简体" w:hAnsi="Times New Roman" w:cs="Times New Roman"/>
      <w:kern w:val="2"/>
      <w:sz w:val="32"/>
      <w:szCs w:val="20"/>
    </w:rPr>
  </w:style>
  <w:style w:type="paragraph" w:customStyle="1" w:styleId="CharCharCharCharCharChar1CharCharChar1">
    <w:name w:val="Char Char Char Char Char Char1 Char Char Char1"/>
    <w:basedOn w:val="a0"/>
    <w:uiPriority w:val="99"/>
    <w:qFormat/>
    <w:pPr>
      <w:widowControl w:val="0"/>
      <w:autoSpaceDE w:val="0"/>
      <w:autoSpaceDN w:val="0"/>
      <w:textAlignment w:val="baseline"/>
    </w:pPr>
    <w:rPr>
      <w:rFonts w:ascii="Times New Roman" w:hAnsi="Times New Roman" w:cs="Times New Roman"/>
      <w:kern w:val="2"/>
      <w:sz w:val="21"/>
      <w:szCs w:val="20"/>
    </w:rPr>
  </w:style>
  <w:style w:type="paragraph" w:customStyle="1" w:styleId="affffff9">
    <w:name w:val="正文的样式"/>
    <w:basedOn w:val="a0"/>
    <w:qFormat/>
    <w:pPr>
      <w:widowControl w:val="0"/>
      <w:spacing w:after="100"/>
    </w:pPr>
    <w:rPr>
      <w:rFonts w:cs="Times New Roman"/>
      <w:kern w:val="2"/>
      <w:sz w:val="20"/>
      <w:szCs w:val="20"/>
    </w:rPr>
  </w:style>
  <w:style w:type="paragraph" w:customStyle="1" w:styleId="3fa">
    <w:name w:val="立信附注正文 [3级]"/>
    <w:link w:val="3Char1"/>
    <w:qFormat/>
    <w:pPr>
      <w:widowControl w:val="0"/>
      <w:tabs>
        <w:tab w:val="left" w:pos="0"/>
      </w:tabs>
      <w:adjustRightInd w:val="0"/>
      <w:snapToGrid w:val="0"/>
      <w:spacing w:line="400" w:lineRule="atLeast"/>
      <w:ind w:left="1276"/>
    </w:pPr>
    <w:rPr>
      <w:rFonts w:ascii="Times New Roman" w:eastAsia="宋体" w:hAnsi="Times New Roman" w:cs="Times New Roman"/>
      <w:color w:val="000000"/>
      <w:kern w:val="2"/>
      <w:sz w:val="21"/>
      <w:szCs w:val="21"/>
    </w:rPr>
  </w:style>
  <w:style w:type="character" w:customStyle="1" w:styleId="3Char1">
    <w:name w:val="立信附注正文 [3级] Char"/>
    <w:link w:val="3fa"/>
    <w:qFormat/>
    <w:rPr>
      <w:rFonts w:ascii="Times New Roman" w:eastAsia="宋体" w:hAnsi="Times New Roman" w:cs="Times New Roman"/>
      <w:color w:val="000000"/>
      <w:szCs w:val="21"/>
    </w:rPr>
  </w:style>
  <w:style w:type="paragraph" w:customStyle="1" w:styleId="2ff1">
    <w:name w:val="立信附注正文 [2级]"/>
    <w:link w:val="2Char4"/>
    <w:qFormat/>
    <w:pPr>
      <w:widowControl w:val="0"/>
      <w:tabs>
        <w:tab w:val="left" w:pos="0"/>
      </w:tabs>
      <w:adjustRightInd w:val="0"/>
      <w:snapToGrid w:val="0"/>
      <w:spacing w:line="400" w:lineRule="atLeast"/>
      <w:ind w:left="714"/>
    </w:pPr>
    <w:rPr>
      <w:rFonts w:ascii="Times New Roman" w:eastAsia="宋体" w:hAnsi="Times New Roman" w:cs="Times New Roman"/>
      <w:color w:val="000000"/>
      <w:kern w:val="2"/>
      <w:sz w:val="21"/>
      <w:szCs w:val="21"/>
    </w:rPr>
  </w:style>
  <w:style w:type="character" w:customStyle="1" w:styleId="2Char4">
    <w:name w:val="立信附注正文 [2级] Char"/>
    <w:link w:val="2ff1"/>
    <w:qFormat/>
    <w:rPr>
      <w:rFonts w:ascii="Times New Roman" w:eastAsia="宋体" w:hAnsi="Times New Roman" w:cs="Times New Roman"/>
      <w:color w:val="000000"/>
      <w:szCs w:val="21"/>
    </w:rPr>
  </w:style>
  <w:style w:type="paragraph" w:customStyle="1" w:styleId="3fb">
    <w:name w:val="样式3"/>
    <w:basedOn w:val="a0"/>
    <w:link w:val="3Char2"/>
    <w:qFormat/>
    <w:pPr>
      <w:spacing w:line="360" w:lineRule="auto"/>
      <w:ind w:firstLineChars="208" w:firstLine="437"/>
      <w:jc w:val="both"/>
    </w:pPr>
    <w:rPr>
      <w:rFonts w:ascii="Times New Roman" w:hAnsi="Times New Roman" w:cs="Times New Roman"/>
      <w:bCs/>
      <w:sz w:val="21"/>
      <w:szCs w:val="20"/>
    </w:rPr>
  </w:style>
  <w:style w:type="table" w:customStyle="1" w:styleId="4f2">
    <w:name w:val="网格型4"/>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网格型5"/>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页眉 字符1"/>
    <w:uiPriority w:val="99"/>
    <w:qFormat/>
    <w:rPr>
      <w:sz w:val="18"/>
      <w:szCs w:val="18"/>
    </w:rPr>
  </w:style>
  <w:style w:type="character" w:customStyle="1" w:styleId="1f8">
    <w:name w:val="页脚 字符1"/>
    <w:uiPriority w:val="99"/>
    <w:qFormat/>
    <w:rPr>
      <w:sz w:val="18"/>
      <w:szCs w:val="18"/>
    </w:rPr>
  </w:style>
  <w:style w:type="character" w:customStyle="1" w:styleId="1f9">
    <w:name w:val="正文文本首行缩进 字符1"/>
    <w:uiPriority w:val="99"/>
    <w:qFormat/>
    <w:rPr>
      <w:rFonts w:ascii="Calibri" w:eastAsia="等线" w:hAnsi="Calibri" w:cs="Times New Roman"/>
    </w:rPr>
  </w:style>
  <w:style w:type="character" w:customStyle="1" w:styleId="1214">
    <w:name w:val="未处理的提及121"/>
    <w:uiPriority w:val="99"/>
    <w:unhideWhenUsed/>
    <w:qFormat/>
    <w:rPr>
      <w:color w:val="605E5C"/>
      <w:shd w:val="clear" w:color="auto" w:fill="E1DFDD"/>
    </w:rPr>
  </w:style>
  <w:style w:type="character" w:customStyle="1" w:styleId="1fa">
    <w:name w:val="尾注文本 字符1"/>
    <w:uiPriority w:val="99"/>
    <w:qFormat/>
    <w:rPr>
      <w:rFonts w:ascii="等线" w:eastAsia="等线" w:hAnsi="等线" w:cs="Times New Roman"/>
      <w:szCs w:val="21"/>
    </w:rPr>
  </w:style>
  <w:style w:type="character" w:customStyle="1" w:styleId="affffffa">
    <w:name w:val="列表段落 字符"/>
    <w:qFormat/>
    <w:rPr>
      <w:rFonts w:ascii="等线" w:eastAsia="等线" w:hAnsi="等线" w:cs="Times New Roman"/>
      <w:szCs w:val="21"/>
    </w:rPr>
  </w:style>
  <w:style w:type="character" w:customStyle="1" w:styleId="Charfd">
    <w:name w:val="副标题 Char"/>
    <w:qFormat/>
    <w:rPr>
      <w:rFonts w:ascii="Calibri Light" w:eastAsia="宋体" w:hAnsi="Calibri Light" w:cs="Times New Roman"/>
      <w:b/>
      <w:bCs/>
      <w:kern w:val="28"/>
      <w:sz w:val="32"/>
      <w:szCs w:val="32"/>
    </w:rPr>
  </w:style>
  <w:style w:type="character" w:customStyle="1" w:styleId="3fc">
    <w:name w:val="页眉 字符3"/>
    <w:uiPriority w:val="99"/>
    <w:qFormat/>
    <w:rPr>
      <w:sz w:val="18"/>
      <w:szCs w:val="18"/>
    </w:rPr>
  </w:style>
  <w:style w:type="paragraph" w:customStyle="1" w:styleId="KWBodytext">
    <w:name w:val="K&amp;W Body text"/>
    <w:basedOn w:val="a0"/>
    <w:link w:val="KWBodytextChar"/>
    <w:qFormat/>
    <w:pPr>
      <w:adjustRightInd w:val="0"/>
      <w:spacing w:after="280" w:line="240" w:lineRule="atLeast"/>
      <w:jc w:val="both"/>
      <w:textAlignment w:val="baseline"/>
    </w:pPr>
    <w:rPr>
      <w:rFonts w:ascii="Arial" w:eastAsia="楷体_GB2312" w:hAnsi="Arial" w:cs="Times New Roman"/>
      <w:sz w:val="20"/>
      <w:szCs w:val="20"/>
      <w:lang w:eastAsia="en-US"/>
    </w:rPr>
  </w:style>
  <w:style w:type="character" w:customStyle="1" w:styleId="KWBodytextChar">
    <w:name w:val="K&amp;W Body text Char"/>
    <w:link w:val="KWBodytext"/>
    <w:qFormat/>
    <w:rPr>
      <w:rFonts w:ascii="Arial" w:eastAsia="楷体_GB2312" w:hAnsi="Arial" w:cs="Times New Roman"/>
      <w:kern w:val="0"/>
      <w:sz w:val="20"/>
      <w:szCs w:val="20"/>
      <w:lang w:eastAsia="en-US"/>
    </w:rPr>
  </w:style>
  <w:style w:type="paragraph" w:customStyle="1" w:styleId="3fd">
    <w:name w:val="列出段落3"/>
    <w:basedOn w:val="a0"/>
    <w:unhideWhenUsed/>
    <w:qFormat/>
    <w:pPr>
      <w:widowControl w:val="0"/>
      <w:ind w:firstLineChars="200" w:firstLine="420"/>
      <w:jc w:val="both"/>
    </w:pPr>
    <w:rPr>
      <w:rFonts w:ascii="Times New Roman" w:hAnsi="Times New Roman" w:cs="Times New Roman"/>
      <w:kern w:val="2"/>
      <w:sz w:val="21"/>
    </w:rPr>
  </w:style>
  <w:style w:type="table" w:customStyle="1" w:styleId="313">
    <w:name w:val="网格型3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b">
    <w:name w:val="列表段落1"/>
    <w:basedOn w:val="a0"/>
    <w:uiPriority w:val="34"/>
    <w:qFormat/>
    <w:pPr>
      <w:widowControl w:val="0"/>
      <w:ind w:firstLineChars="200" w:firstLine="420"/>
      <w:jc w:val="both"/>
    </w:pPr>
    <w:rPr>
      <w:rFonts w:ascii="等线" w:eastAsia="等线" w:hAnsi="等线" w:cs="Times New Roman"/>
      <w:kern w:val="2"/>
      <w:sz w:val="21"/>
      <w:szCs w:val="22"/>
    </w:rPr>
  </w:style>
  <w:style w:type="table" w:customStyle="1" w:styleId="65">
    <w:name w:val="网格型6"/>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3">
    <w:name w:val="列出段落 Char1"/>
    <w:uiPriority w:val="34"/>
    <w:qFormat/>
    <w:locked/>
    <w:rPr>
      <w:kern w:val="2"/>
      <w:sz w:val="21"/>
      <w:szCs w:val="24"/>
    </w:rPr>
  </w:style>
  <w:style w:type="character" w:customStyle="1" w:styleId="35">
    <w:name w:val="正文文本 3 字符"/>
    <w:basedOn w:val="a2"/>
    <w:link w:val="34"/>
    <w:qFormat/>
    <w:rPr>
      <w:rFonts w:ascii="Times New Roman" w:eastAsia="宋体" w:hAnsi="Times New Roman" w:cs="Times New Roman"/>
      <w:kern w:val="0"/>
      <w:sz w:val="16"/>
      <w:szCs w:val="20"/>
    </w:rPr>
  </w:style>
  <w:style w:type="character" w:customStyle="1" w:styleId="affe">
    <w:name w:val="签名 字符"/>
    <w:basedOn w:val="a2"/>
    <w:link w:val="affd"/>
    <w:qFormat/>
    <w:rPr>
      <w:rFonts w:ascii="Times New Roman" w:eastAsia="宋体" w:hAnsi="Times New Roman" w:cs="Times New Roman"/>
      <w:szCs w:val="24"/>
    </w:rPr>
  </w:style>
  <w:style w:type="character" w:customStyle="1" w:styleId="38">
    <w:name w:val="正文文本缩进 3 字符"/>
    <w:basedOn w:val="a2"/>
    <w:link w:val="37"/>
    <w:qFormat/>
    <w:rPr>
      <w:rFonts w:ascii="宋体" w:eastAsia="宋体" w:hAnsi="Times New Roman" w:cs="Times New Roman"/>
      <w:b/>
      <w:sz w:val="32"/>
      <w:szCs w:val="20"/>
    </w:rPr>
  </w:style>
  <w:style w:type="character" w:customStyle="1" w:styleId="afffb">
    <w:name w:val="标题 字符"/>
    <w:basedOn w:val="a2"/>
    <w:link w:val="afffa"/>
    <w:qFormat/>
    <w:rPr>
      <w:rFonts w:ascii="Arial" w:eastAsia="宋体" w:hAnsi="Arial" w:cs="Arial"/>
      <w:b/>
      <w:bCs/>
      <w:sz w:val="32"/>
      <w:szCs w:val="32"/>
      <w:shd w:val="clear" w:color="auto" w:fill="000080"/>
    </w:rPr>
  </w:style>
  <w:style w:type="paragraph" w:customStyle="1" w:styleId="PlainText1">
    <w:name w:val="Plain Text1"/>
    <w:basedOn w:val="a0"/>
    <w:uiPriority w:val="99"/>
    <w:qFormat/>
    <w:pPr>
      <w:widowControl w:val="0"/>
      <w:autoSpaceDE w:val="0"/>
      <w:autoSpaceDN w:val="0"/>
      <w:adjustRightInd w:val="0"/>
      <w:jc w:val="both"/>
      <w:textAlignment w:val="baseline"/>
    </w:pPr>
    <w:rPr>
      <w:rFonts w:hAnsi="Times New Roman" w:cs="Times New Roman"/>
      <w:kern w:val="2"/>
      <w:sz w:val="21"/>
      <w:szCs w:val="21"/>
    </w:rPr>
  </w:style>
  <w:style w:type="paragraph" w:customStyle="1" w:styleId="zw0">
    <w:name w:val="zw"/>
    <w:basedOn w:val="a0"/>
    <w:link w:val="zwChar0"/>
    <w:qFormat/>
    <w:pPr>
      <w:widowControl w:val="0"/>
      <w:adjustRightInd w:val="0"/>
      <w:spacing w:line="360" w:lineRule="auto"/>
      <w:ind w:firstLine="482"/>
      <w:jc w:val="both"/>
      <w:textAlignment w:val="baseline"/>
    </w:pPr>
    <w:rPr>
      <w:rFonts w:ascii="Arial Narrow" w:eastAsia="楷体_GB2312" w:hAnsi="Arial Narrow" w:cs="Times New Roman"/>
      <w:szCs w:val="20"/>
    </w:rPr>
  </w:style>
  <w:style w:type="paragraph" w:customStyle="1" w:styleId="yu">
    <w:name w:val="正文yu"/>
    <w:basedOn w:val="34"/>
    <w:uiPriority w:val="99"/>
    <w:qFormat/>
    <w:pPr>
      <w:widowControl w:val="0"/>
      <w:adjustRightInd w:val="0"/>
      <w:snapToGrid w:val="0"/>
      <w:spacing w:after="0" w:line="360" w:lineRule="auto"/>
      <w:ind w:firstLineChars="200" w:firstLine="560"/>
      <w:jc w:val="both"/>
    </w:pPr>
    <w:rPr>
      <w:rFonts w:eastAsia="黑体"/>
      <w:kern w:val="2"/>
      <w:sz w:val="28"/>
      <w:szCs w:val="28"/>
    </w:rPr>
  </w:style>
  <w:style w:type="paragraph" w:customStyle="1" w:styleId="Enclosure">
    <w:name w:val="Enclosure"/>
    <w:basedOn w:val="ac"/>
    <w:next w:val="a0"/>
    <w:uiPriority w:val="99"/>
    <w:qFormat/>
    <w:pPr>
      <w:keepNext/>
      <w:keepLines/>
      <w:widowControl/>
      <w:overflowPunct w:val="0"/>
      <w:autoSpaceDE w:val="0"/>
      <w:autoSpaceDN w:val="0"/>
      <w:adjustRightInd w:val="0"/>
      <w:spacing w:after="240" w:line="240" w:lineRule="atLeast"/>
      <w:textAlignment w:val="baseline"/>
    </w:pPr>
    <w:rPr>
      <w:rFonts w:ascii="Garamond" w:eastAsia="仿宋_GB2312" w:hAnsi="Garamond"/>
      <w:kern w:val="18"/>
      <w:sz w:val="28"/>
      <w:szCs w:val="20"/>
      <w:lang w:val="en-US"/>
    </w:rPr>
  </w:style>
  <w:style w:type="paragraph" w:customStyle="1" w:styleId="affffffb">
    <w:name w:val="大标题"/>
    <w:basedOn w:val="ac"/>
    <w:uiPriority w:val="99"/>
    <w:qFormat/>
    <w:pPr>
      <w:spacing w:after="0" w:line="360" w:lineRule="auto"/>
      <w:outlineLvl w:val="0"/>
    </w:pPr>
    <w:rPr>
      <w:rFonts w:ascii="仿宋_GB2312" w:eastAsia="仿宋_GB2312"/>
      <w:b/>
      <w:sz w:val="24"/>
      <w:szCs w:val="20"/>
      <w:lang w:val="en-US"/>
    </w:rPr>
  </w:style>
  <w:style w:type="paragraph" w:customStyle="1" w:styleId="xl35">
    <w:name w:val="xl35"/>
    <w:basedOn w:val="a0"/>
    <w:uiPriority w:val="99"/>
    <w:qFormat/>
    <w:pPr>
      <w:pBdr>
        <w:left w:val="single" w:sz="4" w:space="0" w:color="auto"/>
        <w:bottom w:val="single" w:sz="4" w:space="0" w:color="auto"/>
        <w:right w:val="single" w:sz="4" w:space="0" w:color="auto"/>
      </w:pBdr>
      <w:spacing w:before="100" w:after="100"/>
      <w:jc w:val="both"/>
      <w:textAlignment w:val="center"/>
    </w:pPr>
    <w:rPr>
      <w:rFonts w:cs="Times New Roman"/>
      <w:sz w:val="18"/>
      <w:szCs w:val="20"/>
    </w:rPr>
  </w:style>
  <w:style w:type="paragraph" w:customStyle="1" w:styleId="1fc">
    <w:name w:val="纯文本1"/>
    <w:basedOn w:val="a0"/>
    <w:uiPriority w:val="99"/>
    <w:qFormat/>
    <w:pPr>
      <w:widowControl w:val="0"/>
      <w:adjustRightInd w:val="0"/>
      <w:jc w:val="both"/>
      <w:textAlignment w:val="baseline"/>
    </w:pPr>
    <w:rPr>
      <w:rFonts w:hAnsi="Times New Roman" w:cs="Times New Roman"/>
      <w:sz w:val="21"/>
      <w:szCs w:val="20"/>
    </w:rPr>
  </w:style>
  <w:style w:type="paragraph" w:customStyle="1" w:styleId="font8">
    <w:name w:val="font8"/>
    <w:basedOn w:val="a0"/>
    <w:qFormat/>
    <w:pPr>
      <w:spacing w:before="100" w:beforeAutospacing="1" w:after="100" w:afterAutospacing="1"/>
    </w:pPr>
    <w:rPr>
      <w:rFonts w:cs="Arial Unicode MS" w:hint="eastAsia"/>
      <w:b/>
      <w:bCs/>
      <w:color w:val="000000"/>
      <w:sz w:val="18"/>
      <w:szCs w:val="18"/>
    </w:rPr>
  </w:style>
  <w:style w:type="paragraph" w:customStyle="1" w:styleId="font9">
    <w:name w:val="font9"/>
    <w:basedOn w:val="a0"/>
    <w:qFormat/>
    <w:pPr>
      <w:spacing w:before="100" w:beforeAutospacing="1" w:after="100" w:afterAutospacing="1"/>
    </w:pPr>
    <w:rPr>
      <w:rFonts w:cs="Arial Unicode MS" w:hint="eastAsia"/>
      <w:color w:val="000000"/>
      <w:sz w:val="18"/>
      <w:szCs w:val="18"/>
    </w:rPr>
  </w:style>
  <w:style w:type="paragraph" w:customStyle="1" w:styleId="xl47">
    <w:name w:val="xl47"/>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rPr>
  </w:style>
  <w:style w:type="paragraph" w:customStyle="1" w:styleId="xl48">
    <w:name w:val="xl48"/>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sz w:val="20"/>
      <w:szCs w:val="20"/>
    </w:rPr>
  </w:style>
  <w:style w:type="paragraph" w:customStyle="1" w:styleId="xl49">
    <w:name w:val="xl49"/>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0">
    <w:name w:val="xl50"/>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sz w:val="20"/>
      <w:szCs w:val="20"/>
    </w:rPr>
  </w:style>
  <w:style w:type="paragraph" w:customStyle="1" w:styleId="xl51">
    <w:name w:val="xl51"/>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Arial Unicode MS" w:cs="Arial Unicode MS" w:hint="eastAsia"/>
      <w:sz w:val="18"/>
      <w:szCs w:val="18"/>
    </w:rPr>
  </w:style>
  <w:style w:type="paragraph" w:customStyle="1" w:styleId="xl52">
    <w:name w:val="xl52"/>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1"/>
      <w:szCs w:val="21"/>
    </w:rPr>
  </w:style>
  <w:style w:type="paragraph" w:customStyle="1" w:styleId="xl53">
    <w:name w:val="xl53"/>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仿宋_GB2312" w:eastAsia="仿宋_GB2312" w:hAnsi="Arial Unicode MS" w:cs="Arial Unicode MS" w:hint="eastAsia"/>
      <w:sz w:val="18"/>
      <w:szCs w:val="18"/>
    </w:rPr>
  </w:style>
  <w:style w:type="paragraph" w:customStyle="1" w:styleId="xl54">
    <w:name w:val="xl54"/>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sz w:val="20"/>
      <w:szCs w:val="20"/>
    </w:rPr>
  </w:style>
  <w:style w:type="paragraph" w:customStyle="1" w:styleId="xl55">
    <w:name w:val="xl55"/>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Arial Unicode MS" w:hint="eastAsia"/>
      <w:sz w:val="18"/>
      <w:szCs w:val="18"/>
    </w:rPr>
  </w:style>
  <w:style w:type="paragraph" w:customStyle="1" w:styleId="xl56">
    <w:name w:val="xl56"/>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Arial Unicode MS" w:cs="Arial Unicode MS" w:hint="eastAsia"/>
      <w:sz w:val="20"/>
      <w:szCs w:val="20"/>
    </w:rPr>
  </w:style>
  <w:style w:type="paragraph" w:customStyle="1" w:styleId="xl57">
    <w:name w:val="xl57"/>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8"/>
      <w:szCs w:val="18"/>
    </w:rPr>
  </w:style>
  <w:style w:type="paragraph" w:customStyle="1" w:styleId="xl58">
    <w:name w:val="xl58"/>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Unicode MS" w:eastAsia="Arial Unicode MS" w:hAnsi="Arial Unicode MS" w:cs="Arial Unicode MS"/>
      <w:sz w:val="18"/>
      <w:szCs w:val="18"/>
    </w:rPr>
  </w:style>
  <w:style w:type="paragraph" w:customStyle="1" w:styleId="xl59">
    <w:name w:val="xl59"/>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Arial Unicode MS" w:hAnsi="Times New Roman" w:cs="Times New Roman"/>
      <w:sz w:val="20"/>
      <w:szCs w:val="20"/>
    </w:rPr>
  </w:style>
  <w:style w:type="paragraph" w:customStyle="1" w:styleId="xl60">
    <w:name w:val="xl60"/>
    <w:basedOn w:val="a0"/>
    <w:uiPriority w:val="99"/>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Unicode MS" w:eastAsia="Arial Unicode MS" w:hAnsi="Arial Unicode MS" w:cs="Arial Unicode MS"/>
    </w:rPr>
  </w:style>
  <w:style w:type="paragraph" w:customStyle="1" w:styleId="xl61">
    <w:name w:val="xl61"/>
    <w:basedOn w:val="a0"/>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18"/>
      <w:szCs w:val="18"/>
    </w:rPr>
  </w:style>
  <w:style w:type="paragraph" w:customStyle="1" w:styleId="xl62">
    <w:name w:val="xl62"/>
    <w:basedOn w:val="a0"/>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18"/>
      <w:szCs w:val="18"/>
    </w:rPr>
  </w:style>
  <w:style w:type="paragraph" w:customStyle="1" w:styleId="xl63">
    <w:name w:val="xl63"/>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szCs w:val="20"/>
    </w:rPr>
  </w:style>
  <w:style w:type="paragraph" w:customStyle="1" w:styleId="xl64">
    <w:name w:val="xl6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sz w:val="20"/>
      <w:szCs w:val="20"/>
    </w:rPr>
  </w:style>
  <w:style w:type="paragraph" w:customStyle="1" w:styleId="xl65">
    <w:name w:val="xl6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rPr>
  </w:style>
  <w:style w:type="paragraph" w:customStyle="1" w:styleId="xl66">
    <w:name w:val="xl6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rPr>
  </w:style>
  <w:style w:type="paragraph" w:customStyle="1" w:styleId="xl67">
    <w:name w:val="xl6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eastAsia="Arial Unicode MS" w:hAnsi="MS Sans Serif" w:cs="Arial Unicode MS"/>
      <w:sz w:val="20"/>
      <w:szCs w:val="20"/>
    </w:rPr>
  </w:style>
  <w:style w:type="paragraph" w:customStyle="1" w:styleId="fig">
    <w:name w:val="fig"/>
    <w:basedOn w:val="a0"/>
    <w:uiPriority w:val="99"/>
    <w:qFormat/>
    <w:pPr>
      <w:widowControl w:val="0"/>
      <w:adjustRightInd w:val="0"/>
      <w:spacing w:before="120" w:after="240" w:line="360" w:lineRule="atLeast"/>
      <w:jc w:val="center"/>
      <w:textAlignment w:val="baseline"/>
    </w:pPr>
    <w:rPr>
      <w:rFonts w:ascii="黑体" w:eastAsia="黑体" w:hAnsi="Times New Roman" w:cs="Times New Roman"/>
    </w:rPr>
  </w:style>
  <w:style w:type="paragraph" w:customStyle="1" w:styleId="affffffc">
    <w:name w:val="杨"/>
    <w:basedOn w:val="zw0"/>
    <w:uiPriority w:val="99"/>
    <w:qFormat/>
    <w:pPr>
      <w:spacing w:before="60" w:after="60" w:line="380" w:lineRule="atLeast"/>
    </w:pPr>
    <w:rPr>
      <w:rFonts w:eastAsia="宋体"/>
    </w:rPr>
  </w:style>
  <w:style w:type="paragraph" w:customStyle="1" w:styleId="1fd">
    <w:name w:val="样式1"/>
    <w:basedOn w:val="a0"/>
    <w:link w:val="1CharChar"/>
    <w:qFormat/>
    <w:pPr>
      <w:widowControl w:val="0"/>
      <w:jc w:val="both"/>
    </w:pPr>
    <w:rPr>
      <w:rFonts w:ascii="Times New Roman" w:hAnsi="Times New Roman" w:cs="Times New Roman"/>
      <w:kern w:val="2"/>
      <w:sz w:val="21"/>
      <w:szCs w:val="20"/>
    </w:rPr>
  </w:style>
  <w:style w:type="paragraph" w:customStyle="1" w:styleId="XBT">
    <w:name w:val="XBT"/>
    <w:basedOn w:val="a0"/>
    <w:uiPriority w:val="99"/>
    <w:qFormat/>
    <w:pPr>
      <w:widowControl w:val="0"/>
      <w:adjustRightInd w:val="0"/>
      <w:spacing w:before="360" w:after="240" w:line="440" w:lineRule="atLeast"/>
      <w:ind w:firstLine="482"/>
      <w:jc w:val="both"/>
      <w:textAlignment w:val="baseline"/>
    </w:pPr>
    <w:rPr>
      <w:rFonts w:ascii="Arial Narrow" w:eastAsia="黑体" w:hAnsi="Arial Narrow" w:cs="Times New Roman"/>
      <w:b/>
      <w:szCs w:val="20"/>
    </w:rPr>
  </w:style>
  <w:style w:type="paragraph" w:customStyle="1" w:styleId="b12">
    <w:name w:val="b12"/>
    <w:basedOn w:val="a0"/>
    <w:uiPriority w:val="99"/>
    <w:qFormat/>
    <w:pPr>
      <w:spacing w:before="100" w:beforeAutospacing="1" w:after="100" w:afterAutospacing="1"/>
    </w:pPr>
    <w:rPr>
      <w:rFonts w:cs="Times New Roman"/>
      <w:b/>
      <w:bCs/>
      <w:color w:val="000000"/>
      <w:sz w:val="18"/>
      <w:szCs w:val="18"/>
    </w:rPr>
  </w:style>
  <w:style w:type="paragraph" w:customStyle="1" w:styleId="b15">
    <w:name w:val="b15"/>
    <w:basedOn w:val="a0"/>
    <w:uiPriority w:val="99"/>
    <w:qFormat/>
    <w:pPr>
      <w:spacing w:before="100" w:beforeAutospacing="1" w:after="100" w:afterAutospacing="1"/>
    </w:pPr>
    <w:rPr>
      <w:rFonts w:cs="Times New Roman"/>
      <w:b/>
      <w:bCs/>
      <w:color w:val="000000"/>
      <w:sz w:val="23"/>
      <w:szCs w:val="23"/>
    </w:rPr>
  </w:style>
  <w:style w:type="paragraph" w:customStyle="1" w:styleId="xl34">
    <w:name w:val="xl34"/>
    <w:basedOn w:val="a0"/>
    <w:uiPriority w:val="99"/>
    <w:qFormat/>
    <w:pPr>
      <w:pBdr>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rPr>
  </w:style>
  <w:style w:type="paragraph" w:customStyle="1" w:styleId="xl31">
    <w:name w:val="xl31"/>
    <w:basedOn w:val="a0"/>
    <w:uiPriority w:val="99"/>
    <w:qFormat/>
    <w:pPr>
      <w:pBdr>
        <w:bottom w:val="single" w:sz="4" w:space="0" w:color="auto"/>
        <w:right w:val="single" w:sz="4" w:space="0" w:color="auto"/>
      </w:pBdr>
      <w:spacing w:before="100" w:beforeAutospacing="1" w:after="100" w:afterAutospacing="1"/>
      <w:jc w:val="right"/>
    </w:pPr>
    <w:rPr>
      <w:rFonts w:ascii="Times New Roman" w:hAnsi="Times New Roman" w:cs="Times New Roman"/>
      <w:sz w:val="18"/>
      <w:szCs w:val="18"/>
    </w:rPr>
  </w:style>
  <w:style w:type="paragraph" w:customStyle="1" w:styleId="GX">
    <w:name w:val="GX.正文"/>
    <w:basedOn w:val="a0"/>
    <w:link w:val="GXChar"/>
    <w:qFormat/>
    <w:pPr>
      <w:widowControl w:val="0"/>
      <w:spacing w:line="360" w:lineRule="auto"/>
      <w:ind w:firstLineChars="200" w:firstLine="200"/>
      <w:jc w:val="both"/>
    </w:pPr>
    <w:rPr>
      <w:rFonts w:ascii="Times New Roman" w:eastAsia="仿宋_GB2312" w:hAnsi="Times New Roman" w:cs="Times New Roman"/>
      <w:kern w:val="2"/>
    </w:rPr>
  </w:style>
  <w:style w:type="character" w:customStyle="1" w:styleId="GXChar">
    <w:name w:val="GX.正文 Char"/>
    <w:link w:val="GX"/>
    <w:qFormat/>
    <w:rPr>
      <w:rFonts w:ascii="Times New Roman" w:eastAsia="仿宋_GB2312" w:hAnsi="Times New Roman" w:cs="Times New Roman"/>
      <w:sz w:val="24"/>
      <w:szCs w:val="24"/>
    </w:rPr>
  </w:style>
  <w:style w:type="paragraph" w:customStyle="1" w:styleId="affffffd">
    <w:name w:val="正"/>
    <w:basedOn w:val="a0"/>
    <w:uiPriority w:val="99"/>
    <w:qFormat/>
    <w:pPr>
      <w:autoSpaceDE w:val="0"/>
      <w:autoSpaceDN w:val="0"/>
      <w:adjustRightInd w:val="0"/>
      <w:spacing w:line="360" w:lineRule="auto"/>
      <w:ind w:firstLine="510"/>
      <w:jc w:val="both"/>
      <w:textAlignment w:val="bottom"/>
    </w:pPr>
    <w:rPr>
      <w:rFonts w:ascii="Times New Roman" w:hAnsi="Times New Roman" w:cs="Times New Roman"/>
      <w:szCs w:val="20"/>
    </w:rPr>
  </w:style>
  <w:style w:type="paragraph" w:customStyle="1" w:styleId="affffffe">
    <w:name w:val="附 注"/>
    <w:basedOn w:val="ae"/>
    <w:uiPriority w:val="99"/>
    <w:qFormat/>
    <w:pPr>
      <w:tabs>
        <w:tab w:val="left" w:pos="920"/>
      </w:tabs>
      <w:spacing w:after="60" w:line="440" w:lineRule="atLeast"/>
      <w:ind w:firstLine="624"/>
    </w:pPr>
    <w:rPr>
      <w:rFonts w:ascii="Garamond" w:hAnsi="Garamond"/>
      <w:sz w:val="28"/>
    </w:rPr>
  </w:style>
  <w:style w:type="paragraph" w:customStyle="1" w:styleId="xl24">
    <w:name w:val="xl24"/>
    <w:basedOn w:val="a0"/>
    <w:uiPriority w:val="99"/>
    <w:qFormat/>
    <w:pPr>
      <w:pBdr>
        <w:top w:val="single" w:sz="4" w:space="0" w:color="000000"/>
        <w:left w:val="single" w:sz="4" w:space="0" w:color="000000"/>
        <w:bottom w:val="single" w:sz="4" w:space="0" w:color="auto"/>
        <w:right w:val="single" w:sz="8" w:space="0" w:color="000000"/>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25">
    <w:name w:val="xl25"/>
    <w:basedOn w:val="a0"/>
    <w:uiPriority w:val="99"/>
    <w:qFormat/>
    <w:pPr>
      <w:pBdr>
        <w:top w:val="single" w:sz="4" w:space="0" w:color="auto"/>
        <w:left w:val="single" w:sz="8" w:space="0" w:color="00000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26">
    <w:name w:val="xl26"/>
    <w:basedOn w:val="a0"/>
    <w:uiPriority w:val="99"/>
    <w:qFormat/>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28">
    <w:name w:val="xl28"/>
    <w:basedOn w:val="a0"/>
    <w:uiPriority w:val="99"/>
    <w:qFormat/>
    <w:pPr>
      <w:pBdr>
        <w:top w:val="single" w:sz="4" w:space="0" w:color="auto"/>
        <w:left w:val="single" w:sz="4" w:space="0" w:color="808080"/>
        <w:bottom w:val="single" w:sz="4" w:space="0" w:color="808080"/>
        <w:right w:val="single" w:sz="8" w:space="0" w:color="000000"/>
      </w:pBdr>
      <w:spacing w:before="100" w:beforeAutospacing="1" w:after="100" w:afterAutospacing="1"/>
      <w:textAlignment w:val="center"/>
    </w:pPr>
    <w:rPr>
      <w:rFonts w:cs="Times New Roman"/>
      <w:color w:val="000000"/>
      <w:sz w:val="18"/>
      <w:szCs w:val="18"/>
    </w:rPr>
  </w:style>
  <w:style w:type="paragraph" w:customStyle="1" w:styleId="xl29">
    <w:name w:val="xl29"/>
    <w:basedOn w:val="a0"/>
    <w:uiPriority w:val="99"/>
    <w:qFormat/>
    <w:pPr>
      <w:pBdr>
        <w:top w:val="single" w:sz="4" w:space="0" w:color="808080"/>
        <w:left w:val="single" w:sz="8" w:space="0" w:color="00000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30">
    <w:name w:val="xl30"/>
    <w:basedOn w:val="a0"/>
    <w:uiPriority w:val="99"/>
    <w:qFormat/>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cs="Times New Roman"/>
      <w:color w:val="000000"/>
      <w:sz w:val="18"/>
      <w:szCs w:val="18"/>
    </w:rPr>
  </w:style>
  <w:style w:type="paragraph" w:customStyle="1" w:styleId="xl32">
    <w:name w:val="xl32"/>
    <w:basedOn w:val="a0"/>
    <w:uiPriority w:val="99"/>
    <w:qFormat/>
    <w:pPr>
      <w:pBdr>
        <w:top w:val="single" w:sz="4" w:space="0" w:color="808080"/>
        <w:left w:val="single" w:sz="4" w:space="0" w:color="808080"/>
        <w:bottom w:val="single" w:sz="4" w:space="0" w:color="808080"/>
        <w:right w:val="single" w:sz="8" w:space="0" w:color="000000"/>
      </w:pBdr>
      <w:spacing w:before="100" w:beforeAutospacing="1" w:after="100" w:afterAutospacing="1"/>
      <w:textAlignment w:val="center"/>
    </w:pPr>
    <w:rPr>
      <w:rFonts w:cs="Times New Roman"/>
      <w:color w:val="000000"/>
      <w:sz w:val="18"/>
      <w:szCs w:val="18"/>
    </w:rPr>
  </w:style>
  <w:style w:type="paragraph" w:customStyle="1" w:styleId="xl33">
    <w:name w:val="xl33"/>
    <w:basedOn w:val="a0"/>
    <w:uiPriority w:val="99"/>
    <w:qFormat/>
    <w:pPr>
      <w:pBdr>
        <w:top w:val="single" w:sz="8" w:space="0" w:color="000000"/>
        <w:left w:val="single" w:sz="8" w:space="0" w:color="000000"/>
        <w:right w:val="single" w:sz="4" w:space="0" w:color="000000"/>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36">
    <w:name w:val="xl36"/>
    <w:basedOn w:val="a0"/>
    <w:uiPriority w:val="99"/>
    <w:qFormat/>
    <w:pPr>
      <w:pBdr>
        <w:left w:val="single" w:sz="4" w:space="0" w:color="000000"/>
        <w:bottom w:val="single" w:sz="4" w:space="0" w:color="auto"/>
        <w:right w:val="single" w:sz="4" w:space="0" w:color="000000"/>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22">
    <w:name w:val="xl22"/>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color w:val="000000"/>
      <w:sz w:val="18"/>
      <w:szCs w:val="18"/>
    </w:rPr>
  </w:style>
  <w:style w:type="paragraph" w:customStyle="1" w:styleId="xl23">
    <w:name w:val="xl23"/>
    <w:basedOn w:val="a0"/>
    <w:uiPriority w:val="99"/>
    <w:qFormat/>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cs="Times New Roman"/>
      <w:color w:val="000000"/>
      <w:sz w:val="18"/>
      <w:szCs w:val="18"/>
    </w:rPr>
  </w:style>
  <w:style w:type="paragraph" w:customStyle="1" w:styleId="xl37">
    <w:name w:val="xl37"/>
    <w:basedOn w:val="a0"/>
    <w:uiPriority w:val="99"/>
    <w:qFormat/>
    <w:pPr>
      <w:pBdr>
        <w:left w:val="single" w:sz="4" w:space="0" w:color="auto"/>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38">
    <w:name w:val="xl38"/>
    <w:basedOn w:val="a0"/>
    <w:uiPriority w:val="99"/>
    <w:qFormat/>
    <w:pPr>
      <w:pBdr>
        <w:bottom w:val="single" w:sz="4" w:space="0" w:color="auto"/>
        <w:right w:val="single" w:sz="4" w:space="0" w:color="auto"/>
      </w:pBdr>
      <w:spacing w:before="100" w:beforeAutospacing="1" w:after="100" w:afterAutospacing="1"/>
      <w:jc w:val="center"/>
      <w:textAlignment w:val="top"/>
    </w:pPr>
    <w:rPr>
      <w:rFonts w:cs="Times New Roman"/>
      <w:b/>
      <w:bCs/>
      <w:sz w:val="20"/>
      <w:szCs w:val="20"/>
    </w:rPr>
  </w:style>
  <w:style w:type="paragraph" w:customStyle="1" w:styleId="xl39">
    <w:name w:val="xl39"/>
    <w:basedOn w:val="a0"/>
    <w:uiPriority w:val="99"/>
    <w:qFormat/>
    <w:pPr>
      <w:pBdr>
        <w:top w:val="single" w:sz="4" w:space="0" w:color="auto"/>
        <w:bottom w:val="single" w:sz="4" w:space="0" w:color="auto"/>
        <w:right w:val="single" w:sz="4" w:space="0" w:color="auto"/>
      </w:pBdr>
      <w:spacing w:before="100" w:beforeAutospacing="1" w:after="100" w:afterAutospacing="1"/>
      <w:jc w:val="center"/>
    </w:pPr>
    <w:rPr>
      <w:rFonts w:cs="Times New Roman"/>
      <w:sz w:val="20"/>
      <w:szCs w:val="20"/>
    </w:rPr>
  </w:style>
  <w:style w:type="paragraph" w:customStyle="1" w:styleId="xl40">
    <w:name w:val="xl40"/>
    <w:basedOn w:val="a0"/>
    <w:uiPriority w:val="99"/>
    <w:qFormat/>
    <w:pPr>
      <w:pBdr>
        <w:bottom w:val="single" w:sz="4" w:space="0" w:color="auto"/>
        <w:right w:val="single" w:sz="4" w:space="0" w:color="auto"/>
      </w:pBdr>
      <w:spacing w:before="100" w:beforeAutospacing="1" w:after="100" w:afterAutospacing="1"/>
      <w:jc w:val="right"/>
    </w:pPr>
    <w:rPr>
      <w:rFonts w:ascii="Times New Roman" w:hAnsi="Times New Roman" w:cs="Times New Roman"/>
      <w:b/>
      <w:bCs/>
      <w:sz w:val="20"/>
      <w:szCs w:val="20"/>
    </w:rPr>
  </w:style>
  <w:style w:type="paragraph" w:customStyle="1" w:styleId="CharChar1Char">
    <w:name w:val="Char Char1 Char"/>
    <w:basedOn w:val="af4"/>
    <w:uiPriority w:val="99"/>
    <w:qFormat/>
    <w:rPr>
      <w:rFonts w:ascii="Tahoma" w:eastAsia="宋体" w:hAnsi="Tahoma"/>
      <w:sz w:val="24"/>
      <w:lang w:val="en-US"/>
    </w:rPr>
  </w:style>
  <w:style w:type="paragraph" w:customStyle="1" w:styleId="TableText">
    <w:name w:val="Table Text"/>
    <w:uiPriority w:val="99"/>
    <w:qFormat/>
    <w:pPr>
      <w:jc w:val="center"/>
    </w:pPr>
    <w:rPr>
      <w:rFonts w:ascii="Times New Roman" w:eastAsia="宋体" w:hAnsi="Times New Roman" w:cs="Times New Roman"/>
      <w:snapToGrid w:val="0"/>
      <w:color w:val="000000"/>
      <w:sz w:val="22"/>
      <w:lang w:eastAsia="en-US"/>
    </w:rPr>
  </w:style>
  <w:style w:type="table" w:customStyle="1" w:styleId="afffffff">
    <w:name w:val="附注表格"/>
    <w:basedOn w:val="a3"/>
    <w:qFormat/>
    <w:pPr>
      <w:jc w:val="center"/>
    </w:pPr>
    <w:rPr>
      <w:rFonts w:ascii="Times New Roman" w:eastAsia="宋体" w:hAnsi="Times New Roman" w:cs="Times New Roman"/>
      <w:szCs w:val="21"/>
    </w:rPr>
    <w:tblPr>
      <w:tblBorders>
        <w:top w:val="single" w:sz="4" w:space="0" w:color="auto"/>
        <w:bottom w:val="single" w:sz="4" w:space="0" w:color="auto"/>
        <w:insideH w:val="dotted" w:sz="4" w:space="0" w:color="auto"/>
        <w:insideV w:val="dotted" w:sz="4" w:space="0" w:color="auto"/>
      </w:tblBorders>
    </w:tblPr>
    <w:trPr>
      <w:tblHeader/>
    </w:trPr>
  </w:style>
  <w:style w:type="paragraph" w:customStyle="1" w:styleId="5d">
    <w:name w:val="表格5"/>
    <w:basedOn w:val="a0"/>
    <w:uiPriority w:val="99"/>
    <w:qFormat/>
    <w:pPr>
      <w:widowControl w:val="0"/>
      <w:jc w:val="both"/>
    </w:pPr>
    <w:rPr>
      <w:rFonts w:ascii="Times New Roman" w:eastAsia="仿宋_GB2312" w:hAnsi="Times New Roman" w:cs="Times New Roman"/>
      <w:kern w:val="2"/>
      <w:sz w:val="21"/>
      <w:szCs w:val="21"/>
    </w:rPr>
  </w:style>
  <w:style w:type="paragraph" w:customStyle="1" w:styleId="Arial">
    <w:name w:val="样式 招股书正文 + (符号) Arial 加粗"/>
    <w:basedOn w:val="afffffb"/>
    <w:uiPriority w:val="99"/>
    <w:qFormat/>
    <w:pPr>
      <w:spacing w:afterLines="0" w:after="0"/>
    </w:pPr>
    <w:rPr>
      <w:rFonts w:ascii="Arial" w:eastAsia="宋体" w:hAnsi="Arial"/>
      <w:bCs/>
      <w:lang w:val="en-US"/>
    </w:rPr>
  </w:style>
  <w:style w:type="paragraph" w:customStyle="1" w:styleId="Arial1">
    <w:name w:val="样式 招股书正文 + (符号) Arial 加粗1"/>
    <w:basedOn w:val="afffffb"/>
    <w:uiPriority w:val="99"/>
    <w:qFormat/>
    <w:pPr>
      <w:spacing w:afterLines="0" w:after="0"/>
    </w:pPr>
    <w:rPr>
      <w:rFonts w:ascii="Arial" w:eastAsia="宋体" w:hAnsi="Arial"/>
      <w:bCs/>
      <w:kern w:val="0"/>
      <w:lang w:val="en-US"/>
    </w:rPr>
  </w:style>
  <w:style w:type="character" w:customStyle="1" w:styleId="ArialChar">
    <w:name w:val="样式 招股书正文 + (符号) Arial 加粗 Char"/>
    <w:qFormat/>
    <w:rPr>
      <w:rFonts w:ascii="Arial" w:eastAsia="宋体" w:hAnsi="Arial"/>
      <w:bCs/>
      <w:kern w:val="2"/>
      <w:sz w:val="24"/>
      <w:szCs w:val="24"/>
      <w:lang w:val="en-US" w:eastAsia="zh-CN" w:bidi="ar-SA"/>
    </w:rPr>
  </w:style>
  <w:style w:type="paragraph" w:customStyle="1" w:styleId="2ff2">
    <w:name w:val="样式 招股书正文 + 首行缩进:  2 字符"/>
    <w:basedOn w:val="afffffb"/>
    <w:uiPriority w:val="99"/>
    <w:qFormat/>
    <w:pPr>
      <w:spacing w:afterLines="0" w:after="0"/>
      <w:ind w:firstLine="480"/>
    </w:pPr>
    <w:rPr>
      <w:rFonts w:ascii="Arial" w:eastAsia="宋体" w:hAnsi="Arial" w:cs="宋体"/>
      <w:szCs w:val="20"/>
      <w:lang w:val="en-US"/>
    </w:rPr>
  </w:style>
  <w:style w:type="paragraph" w:customStyle="1" w:styleId="3Arial">
    <w:name w:val="样式 招股书标题3 + (西文) Arial (中文) 宋体 非加粗"/>
    <w:basedOn w:val="a0"/>
    <w:uiPriority w:val="99"/>
    <w:qFormat/>
    <w:pPr>
      <w:widowControl w:val="0"/>
      <w:spacing w:beforeLines="50" w:afterLines="50" w:line="360" w:lineRule="auto"/>
      <w:ind w:firstLineChars="200" w:firstLine="200"/>
      <w:jc w:val="both"/>
      <w:outlineLvl w:val="3"/>
    </w:pPr>
    <w:rPr>
      <w:rFonts w:ascii="Arial" w:hAnsi="Arial"/>
      <w:b/>
      <w:position w:val="2"/>
    </w:rPr>
  </w:style>
  <w:style w:type="character" w:customStyle="1" w:styleId="2Char5">
    <w:name w:val="样式 样式 招股书正文 + 首行缩进:  2 字符 + 加粗 Char"/>
    <w:qFormat/>
    <w:rPr>
      <w:rFonts w:ascii="Arial" w:eastAsia="宋体" w:hAnsi="Arial" w:cs="宋体"/>
      <w:bCs/>
      <w:kern w:val="2"/>
      <w:sz w:val="24"/>
      <w:szCs w:val="24"/>
      <w:lang w:val="en-US" w:eastAsia="zh-CN" w:bidi="ar-SA"/>
    </w:rPr>
  </w:style>
  <w:style w:type="character" w:customStyle="1" w:styleId="GB2312">
    <w:name w:val="样式 楷体_GB2312"/>
    <w:qFormat/>
    <w:rPr>
      <w:rFonts w:ascii="楷体_GB2312" w:eastAsia="楷体_GB2312" w:hAnsi="楷体_GB2312"/>
      <w:b/>
    </w:rPr>
  </w:style>
  <w:style w:type="character" w:customStyle="1" w:styleId="GB23121">
    <w:name w:val="样式 楷体_GB23121"/>
    <w:qFormat/>
    <w:rPr>
      <w:rFonts w:ascii="楷体_GB2312" w:eastAsia="楷体_GB2312" w:hAnsi="楷体_GB2312"/>
      <w:b/>
    </w:rPr>
  </w:style>
  <w:style w:type="character" w:customStyle="1" w:styleId="GB23120">
    <w:name w:val="样式 楷体_GB2312 小四"/>
    <w:qFormat/>
    <w:rPr>
      <w:rFonts w:ascii="楷体_GB2312" w:eastAsia="楷体_GB2312" w:hAnsi="楷体_GB2312"/>
      <w:b/>
      <w:sz w:val="24"/>
    </w:rPr>
  </w:style>
  <w:style w:type="character" w:customStyle="1" w:styleId="21Char">
    <w:name w:val="样式 样式 招股书正文 + 首行缩进:  2 字符 + 加粗1 Char"/>
    <w:qFormat/>
    <w:rPr>
      <w:rFonts w:ascii="Arial" w:eastAsia="宋体" w:hAnsi="Arial" w:cs="宋体"/>
      <w:bCs/>
      <w:kern w:val="2"/>
      <w:sz w:val="24"/>
      <w:szCs w:val="24"/>
      <w:lang w:val="en-US" w:eastAsia="zh-CN" w:bidi="ar-SA"/>
    </w:rPr>
  </w:style>
  <w:style w:type="character" w:customStyle="1" w:styleId="afffffff0">
    <w:name w:val="样式 小四 加粗"/>
    <w:qFormat/>
    <w:rPr>
      <w:rFonts w:ascii="Arial" w:hAnsi="Arial"/>
      <w:bCs/>
      <w:sz w:val="24"/>
    </w:rPr>
  </w:style>
  <w:style w:type="paragraph" w:customStyle="1" w:styleId="afffffff1">
    <w:name w:val="正文_缩进"/>
    <w:basedOn w:val="a0"/>
    <w:uiPriority w:val="99"/>
    <w:qFormat/>
    <w:pPr>
      <w:widowControl w:val="0"/>
      <w:spacing w:line="360" w:lineRule="auto"/>
      <w:ind w:firstLineChars="200" w:firstLine="200"/>
      <w:jc w:val="both"/>
    </w:pPr>
    <w:rPr>
      <w:rFonts w:ascii="Arial" w:eastAsia="Times New Roman" w:hAnsi="Arial" w:cs="Arial"/>
      <w:kern w:val="2"/>
    </w:rPr>
  </w:style>
  <w:style w:type="paragraph" w:customStyle="1" w:styleId="3fe">
    <w:name w:val="招股书标题3"/>
    <w:basedOn w:val="a0"/>
    <w:next w:val="afffffb"/>
    <w:uiPriority w:val="99"/>
    <w:qFormat/>
    <w:pPr>
      <w:widowControl w:val="0"/>
      <w:spacing w:line="360" w:lineRule="auto"/>
      <w:ind w:firstLineChars="200" w:firstLine="200"/>
      <w:jc w:val="both"/>
      <w:outlineLvl w:val="3"/>
    </w:pPr>
    <w:rPr>
      <w:rFonts w:eastAsia="楷体_GB2312"/>
      <w:b/>
      <w:bCs/>
      <w:position w:val="2"/>
    </w:rPr>
  </w:style>
  <w:style w:type="paragraph" w:customStyle="1" w:styleId="2ff3">
    <w:name w:val="招股书标题2"/>
    <w:basedOn w:val="a0"/>
    <w:next w:val="afffffb"/>
    <w:uiPriority w:val="99"/>
    <w:qFormat/>
    <w:pPr>
      <w:widowControl w:val="0"/>
      <w:spacing w:line="360" w:lineRule="auto"/>
      <w:ind w:firstLineChars="200" w:firstLine="200"/>
      <w:jc w:val="both"/>
      <w:outlineLvl w:val="2"/>
    </w:pPr>
    <w:rPr>
      <w:rFonts w:eastAsia="楷体_GB2312"/>
      <w:b/>
      <w:bCs/>
      <w:kern w:val="2"/>
      <w:position w:val="2"/>
    </w:rPr>
  </w:style>
  <w:style w:type="paragraph" w:customStyle="1" w:styleId="3ff">
    <w:name w:val="样式 招股书标题3 + (中文) 宋体 小五"/>
    <w:basedOn w:val="3fe"/>
    <w:uiPriority w:val="99"/>
    <w:qFormat/>
    <w:rPr>
      <w:rFonts w:ascii="Arial" w:eastAsia="宋体" w:hAnsi="Arial"/>
      <w:b w:val="0"/>
      <w:sz w:val="18"/>
    </w:rPr>
  </w:style>
  <w:style w:type="paragraph" w:customStyle="1" w:styleId="afffffff2">
    <w:name w:val="表序"/>
    <w:basedOn w:val="a0"/>
    <w:uiPriority w:val="99"/>
    <w:qFormat/>
    <w:pPr>
      <w:widowControl w:val="0"/>
      <w:adjustRightInd w:val="0"/>
      <w:spacing w:beforeLines="20" w:afterLines="20"/>
      <w:ind w:firstLineChars="100" w:firstLine="100"/>
      <w:jc w:val="both"/>
      <w:textAlignment w:val="baseline"/>
    </w:pPr>
    <w:rPr>
      <w:rFonts w:eastAsia="黑体" w:cs="Times New Roman"/>
      <w:color w:val="000000"/>
      <w:szCs w:val="20"/>
    </w:rPr>
  </w:style>
  <w:style w:type="paragraph" w:customStyle="1" w:styleId="afffffff3">
    <w:name w:val="附注－标题二"/>
    <w:basedOn w:val="a0"/>
    <w:uiPriority w:val="99"/>
    <w:qFormat/>
    <w:pPr>
      <w:keepNext/>
      <w:widowControl w:val="0"/>
      <w:tabs>
        <w:tab w:val="left" w:pos="480"/>
        <w:tab w:val="left" w:pos="525"/>
        <w:tab w:val="left" w:pos="924"/>
        <w:tab w:val="left" w:pos="1092"/>
        <w:tab w:val="left" w:pos="1204"/>
      </w:tabs>
      <w:adjustRightInd w:val="0"/>
      <w:snapToGrid w:val="0"/>
      <w:spacing w:beforeLines="50" w:afterLines="50" w:line="360" w:lineRule="auto"/>
      <w:ind w:left="480" w:hanging="480"/>
      <w:jc w:val="both"/>
      <w:outlineLvl w:val="1"/>
    </w:pPr>
    <w:rPr>
      <w:rFonts w:ascii="黑体" w:eastAsia="黑体" w:cs="Times New Roman"/>
      <w:b/>
      <w:snapToGrid w:val="0"/>
      <w:color w:val="000000"/>
      <w:szCs w:val="28"/>
    </w:rPr>
  </w:style>
  <w:style w:type="paragraph" w:customStyle="1" w:styleId="afffffff4">
    <w:name w:val="附注－标题五"/>
    <w:basedOn w:val="a0"/>
    <w:next w:val="afffffff5"/>
    <w:uiPriority w:val="99"/>
    <w:qFormat/>
    <w:pPr>
      <w:widowControl w:val="0"/>
      <w:tabs>
        <w:tab w:val="left" w:pos="720"/>
      </w:tabs>
      <w:adjustRightInd w:val="0"/>
      <w:snapToGrid w:val="0"/>
      <w:spacing w:before="120" w:afterLines="50" w:line="360" w:lineRule="auto"/>
      <w:jc w:val="both"/>
    </w:pPr>
    <w:rPr>
      <w:rFonts w:ascii="Arial Narrow" w:hAnsi="Arial Narrow" w:cs="Times New Roman"/>
      <w:b/>
      <w:kern w:val="2"/>
      <w:sz w:val="21"/>
      <w:szCs w:val="21"/>
    </w:rPr>
  </w:style>
  <w:style w:type="paragraph" w:customStyle="1" w:styleId="afffffff5">
    <w:name w:val="附注－正文"/>
    <w:basedOn w:val="afd"/>
    <w:uiPriority w:val="99"/>
    <w:qFormat/>
    <w:pPr>
      <w:adjustRightInd w:val="0"/>
      <w:snapToGrid w:val="0"/>
      <w:spacing w:afterLines="50" w:after="0" w:line="360" w:lineRule="auto"/>
      <w:ind w:leftChars="0" w:left="0" w:firstLineChars="200" w:firstLine="200"/>
    </w:pPr>
    <w:rPr>
      <w:rFonts w:eastAsia="宋体"/>
      <w:szCs w:val="20"/>
      <w:lang w:val="en-US"/>
    </w:rPr>
  </w:style>
  <w:style w:type="paragraph" w:customStyle="1" w:styleId="Char40">
    <w:name w:val="Char4"/>
    <w:basedOn w:val="a0"/>
    <w:uiPriority w:val="99"/>
    <w:qFormat/>
    <w:pPr>
      <w:widowControl w:val="0"/>
      <w:jc w:val="both"/>
    </w:pPr>
    <w:rPr>
      <w:rFonts w:ascii="Tahoma" w:hAnsi="Tahoma" w:cs="Times New Roman"/>
      <w:kern w:val="2"/>
      <w:szCs w:val="20"/>
    </w:rPr>
  </w:style>
  <w:style w:type="paragraph" w:customStyle="1" w:styleId="Char14">
    <w:name w:val="Char1"/>
    <w:basedOn w:val="a0"/>
    <w:link w:val="Char1Char"/>
    <w:uiPriority w:val="99"/>
    <w:qFormat/>
    <w:pPr>
      <w:widowControl w:val="0"/>
      <w:jc w:val="both"/>
    </w:pPr>
    <w:rPr>
      <w:rFonts w:ascii="Tahoma" w:hAnsi="Tahoma" w:cs="Times New Roman"/>
      <w:kern w:val="2"/>
      <w:szCs w:val="20"/>
    </w:rPr>
  </w:style>
  <w:style w:type="character" w:customStyle="1" w:styleId="Char1Char">
    <w:name w:val="Char1 Char"/>
    <w:link w:val="Char14"/>
    <w:uiPriority w:val="99"/>
    <w:qFormat/>
    <w:rPr>
      <w:rFonts w:ascii="Tahoma" w:eastAsia="宋体" w:hAnsi="Tahoma" w:cs="Times New Roman"/>
      <w:sz w:val="24"/>
      <w:szCs w:val="20"/>
    </w:rPr>
  </w:style>
  <w:style w:type="paragraph" w:customStyle="1" w:styleId="CharCharCharCharCharCharChar">
    <w:name w:val="Char Char Char Char Char Char Char"/>
    <w:basedOn w:val="a0"/>
    <w:uiPriority w:val="99"/>
    <w:qFormat/>
    <w:pPr>
      <w:spacing w:after="160" w:line="240" w:lineRule="exact"/>
    </w:pPr>
    <w:rPr>
      <w:rFonts w:ascii="Verdana" w:hAnsi="Verdana" w:cs="Times New Roman"/>
      <w:sz w:val="20"/>
      <w:szCs w:val="20"/>
      <w:lang w:eastAsia="en-US"/>
    </w:rPr>
  </w:style>
  <w:style w:type="paragraph" w:customStyle="1" w:styleId="p0">
    <w:name w:val="p0"/>
    <w:basedOn w:val="a0"/>
    <w:uiPriority w:val="99"/>
    <w:qFormat/>
    <w:pPr>
      <w:spacing w:before="100" w:beforeAutospacing="1" w:after="100" w:afterAutospacing="1"/>
    </w:pPr>
  </w:style>
  <w:style w:type="character" w:customStyle="1" w:styleId="CharCharChar0">
    <w:name w:val="普通文字 Char Char Char"/>
    <w:qFormat/>
    <w:rPr>
      <w:rFonts w:ascii="宋体" w:eastAsia="宋体" w:hAnsi="Courier New"/>
      <w:kern w:val="2"/>
      <w:sz w:val="21"/>
      <w:lang w:val="en-US" w:eastAsia="zh-CN" w:bidi="ar-SA"/>
    </w:rPr>
  </w:style>
  <w:style w:type="paragraph" w:customStyle="1" w:styleId="xl44">
    <w:name w:val="xl44"/>
    <w:basedOn w:val="a0"/>
    <w:uiPriority w:val="99"/>
    <w:qFormat/>
    <w:pPr>
      <w:spacing w:before="100" w:beforeAutospacing="1" w:after="100" w:afterAutospacing="1"/>
      <w:jc w:val="center"/>
      <w:textAlignment w:val="center"/>
    </w:pPr>
    <w:rPr>
      <w:rFonts w:cs="Times New Roman"/>
      <w:b/>
      <w:bCs/>
      <w:sz w:val="28"/>
      <w:szCs w:val="28"/>
    </w:rPr>
  </w:style>
  <w:style w:type="paragraph" w:customStyle="1" w:styleId="xl41">
    <w:name w:val="xl41"/>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42">
    <w:name w:val="xl42"/>
    <w:basedOn w:val="a0"/>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sz w:val="20"/>
      <w:szCs w:val="20"/>
    </w:rPr>
  </w:style>
  <w:style w:type="paragraph" w:customStyle="1" w:styleId="xl43">
    <w:name w:val="xl43"/>
    <w:basedOn w:val="a0"/>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45">
    <w:name w:val="xl45"/>
    <w:basedOn w:val="a0"/>
    <w:uiPriority w:val="99"/>
    <w:qFormat/>
    <w:pPr>
      <w:pBdr>
        <w:top w:val="single" w:sz="4" w:space="0" w:color="auto"/>
        <w:bottom w:val="single" w:sz="4" w:space="0" w:color="auto"/>
        <w:right w:val="single" w:sz="4" w:space="0" w:color="auto"/>
      </w:pBdr>
      <w:spacing w:before="100" w:beforeAutospacing="1" w:after="100" w:afterAutospacing="1"/>
      <w:textAlignment w:val="center"/>
    </w:pPr>
    <w:rPr>
      <w:rFonts w:cs="Times New Roman"/>
      <w:sz w:val="20"/>
      <w:szCs w:val="20"/>
    </w:rPr>
  </w:style>
  <w:style w:type="paragraph" w:customStyle="1" w:styleId="xl46">
    <w:name w:val="xl46"/>
    <w:basedOn w:val="a0"/>
    <w:uiPriority w:val="99"/>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sz w:val="20"/>
      <w:szCs w:val="20"/>
    </w:rPr>
  </w:style>
  <w:style w:type="paragraph" w:customStyle="1" w:styleId="xl68">
    <w:name w:val="xl68"/>
    <w:basedOn w:val="a0"/>
    <w:qFormat/>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szCs w:val="20"/>
    </w:rPr>
  </w:style>
  <w:style w:type="paragraph" w:customStyle="1" w:styleId="afffffff6">
    <w:name w:val="编号"/>
    <w:basedOn w:val="afffe"/>
    <w:uiPriority w:val="99"/>
    <w:qFormat/>
    <w:pPr>
      <w:tabs>
        <w:tab w:val="left" w:pos="780"/>
      </w:tabs>
      <w:spacing w:before="120" w:after="0"/>
      <w:ind w:left="780" w:firstLineChars="0" w:hanging="360"/>
    </w:pPr>
    <w:rPr>
      <w:rFonts w:ascii="Garamond" w:eastAsia="仿宋_GB2312" w:hAnsi="Garamond"/>
      <w:sz w:val="28"/>
      <w:szCs w:val="20"/>
    </w:rPr>
  </w:style>
  <w:style w:type="paragraph" w:customStyle="1" w:styleId="afffffff7">
    <w:name w:val="屈正文"/>
    <w:basedOn w:val="a0"/>
    <w:uiPriority w:val="99"/>
    <w:qFormat/>
    <w:pPr>
      <w:widowControl w:val="0"/>
      <w:tabs>
        <w:tab w:val="left" w:pos="1280"/>
      </w:tabs>
      <w:spacing w:after="120"/>
      <w:ind w:firstLine="560"/>
      <w:jc w:val="both"/>
    </w:pPr>
    <w:rPr>
      <w:rFonts w:ascii="Garamond" w:eastAsia="仿宋_GB2312" w:hAnsi="Garamond" w:cs="Times New Roman"/>
      <w:kern w:val="2"/>
      <w:sz w:val="28"/>
      <w:szCs w:val="20"/>
    </w:rPr>
  </w:style>
  <w:style w:type="paragraph" w:customStyle="1" w:styleId="afffffff8">
    <w:name w:val="主标题"/>
    <w:basedOn w:val="ac"/>
    <w:uiPriority w:val="99"/>
    <w:qFormat/>
    <w:pPr>
      <w:spacing w:before="360" w:after="360" w:line="360" w:lineRule="auto"/>
      <w:jc w:val="center"/>
    </w:pPr>
    <w:rPr>
      <w:rFonts w:ascii="文鼎小标宋简" w:eastAsia="文鼎小标宋简" w:hAnsi="Garamond"/>
      <w:sz w:val="40"/>
      <w:szCs w:val="20"/>
      <w:lang w:val="en-US"/>
    </w:rPr>
  </w:style>
  <w:style w:type="paragraph" w:customStyle="1" w:styleId="1fe">
    <w:name w:val="附件标题1"/>
    <w:basedOn w:val="41"/>
    <w:uiPriority w:val="99"/>
    <w:qFormat/>
    <w:pPr>
      <w:tabs>
        <w:tab w:val="left" w:pos="1417"/>
      </w:tabs>
      <w:adjustRightInd w:val="0"/>
      <w:spacing w:before="120" w:after="0" w:line="376" w:lineRule="atLeast"/>
      <w:ind w:left="1417" w:hanging="855"/>
      <w:textAlignment w:val="baseline"/>
    </w:pPr>
    <w:rPr>
      <w:rFonts w:ascii="Arial" w:eastAsia="宋体" w:hAnsi="Arial"/>
      <w:bCs w:val="0"/>
      <w:kern w:val="0"/>
      <w:szCs w:val="20"/>
    </w:rPr>
  </w:style>
  <w:style w:type="paragraph" w:customStyle="1" w:styleId="afffffff9">
    <w:name w:val="表格标题"/>
    <w:basedOn w:val="a0"/>
    <w:uiPriority w:val="99"/>
    <w:qFormat/>
    <w:pPr>
      <w:widowControl w:val="0"/>
      <w:spacing w:before="240" w:after="240" w:line="360" w:lineRule="atLeast"/>
      <w:jc w:val="center"/>
    </w:pPr>
    <w:rPr>
      <w:rFonts w:ascii="Garamond" w:eastAsia="仿宋_GB2312" w:hAnsi="Garamond" w:cs="Times New Roman"/>
      <w:b/>
      <w:kern w:val="2"/>
      <w:sz w:val="30"/>
      <w:szCs w:val="20"/>
    </w:rPr>
  </w:style>
  <w:style w:type="paragraph" w:customStyle="1" w:styleId="xl112">
    <w:name w:val="xl112"/>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113">
    <w:name w:val="xl113"/>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14">
    <w:name w:val="xl114"/>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8"/>
      <w:szCs w:val="18"/>
    </w:rPr>
  </w:style>
  <w:style w:type="paragraph" w:customStyle="1" w:styleId="xl115">
    <w:name w:val="xl115"/>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16">
    <w:name w:val="xl11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8"/>
      <w:szCs w:val="18"/>
    </w:rPr>
  </w:style>
  <w:style w:type="paragraph" w:customStyle="1" w:styleId="xl117">
    <w:name w:val="xl11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PresentationSubtitle">
    <w:name w:val="Presentation Subtitle"/>
    <w:basedOn w:val="a0"/>
    <w:next w:val="a0"/>
    <w:uiPriority w:val="99"/>
    <w:qFormat/>
    <w:pPr>
      <w:tabs>
        <w:tab w:val="right" w:pos="10800"/>
      </w:tabs>
      <w:ind w:right="648"/>
    </w:pPr>
    <w:rPr>
      <w:rFonts w:ascii="UBSHeadline" w:eastAsia="华文楷体" w:hAnsi="UBSHeadline" w:cs="Times New Roman"/>
      <w:color w:val="FFD539"/>
      <w:sz w:val="48"/>
      <w:szCs w:val="20"/>
    </w:rPr>
  </w:style>
  <w:style w:type="paragraph" w:customStyle="1" w:styleId="Char2CharCharChar">
    <w:name w:val="Char2 Char Char Char"/>
    <w:basedOn w:val="a0"/>
    <w:uiPriority w:val="99"/>
    <w:qFormat/>
    <w:pPr>
      <w:widowControl w:val="0"/>
      <w:jc w:val="both"/>
    </w:pPr>
    <w:rPr>
      <w:rFonts w:ascii="Tahoma" w:hAnsi="Tahoma" w:cs="Times New Roman"/>
      <w:kern w:val="2"/>
      <w:szCs w:val="20"/>
    </w:rPr>
  </w:style>
  <w:style w:type="paragraph" w:customStyle="1" w:styleId="afffffffa">
    <w:name w:val="内部地址姓名"/>
    <w:basedOn w:val="a0"/>
    <w:uiPriority w:val="99"/>
    <w:qFormat/>
    <w:pPr>
      <w:widowControl w:val="0"/>
      <w:jc w:val="both"/>
    </w:pPr>
    <w:rPr>
      <w:rFonts w:ascii="Times New Roman" w:hAnsi="Times New Roman" w:cs="Times New Roman"/>
      <w:kern w:val="2"/>
      <w:sz w:val="21"/>
    </w:rPr>
  </w:style>
  <w:style w:type="paragraph" w:customStyle="1" w:styleId="2ff4">
    <w:name w:val="样式2"/>
    <w:basedOn w:val="a0"/>
    <w:uiPriority w:val="99"/>
    <w:qFormat/>
    <w:pPr>
      <w:widowControl w:val="0"/>
      <w:adjustRightInd w:val="0"/>
      <w:snapToGrid w:val="0"/>
      <w:spacing w:line="360" w:lineRule="auto"/>
      <w:jc w:val="both"/>
      <w:textAlignment w:val="baseline"/>
    </w:pPr>
    <w:rPr>
      <w:rFonts w:hAnsi="Times New Roman" w:cs="Times New Roman"/>
      <w:spacing w:val="2"/>
      <w:szCs w:val="20"/>
    </w:rPr>
  </w:style>
  <w:style w:type="paragraph" w:customStyle="1" w:styleId="Char4CharCharCharCharCharCharCharCharCharCharCharCharCharChar">
    <w:name w:val="Char4 Char Char Char Char Char Char Char Char Char Char Char Char Char Char"/>
    <w:basedOn w:val="a0"/>
    <w:uiPriority w:val="99"/>
    <w:qFormat/>
    <w:pPr>
      <w:widowControl w:val="0"/>
      <w:jc w:val="both"/>
    </w:pPr>
    <w:rPr>
      <w:rFonts w:ascii="Tahoma" w:hAnsi="Tahoma" w:cs="Times New Roman"/>
      <w:kern w:val="2"/>
      <w:szCs w:val="20"/>
    </w:rPr>
  </w:style>
  <w:style w:type="paragraph" w:customStyle="1" w:styleId="Char2CharChar1CharCharCharCharCharCharCharCharChar">
    <w:name w:val="Char2 Char Char1 Char Char Char Char Char Char Char Char Char"/>
    <w:basedOn w:val="a0"/>
    <w:uiPriority w:val="99"/>
    <w:qFormat/>
    <w:pPr>
      <w:widowControl w:val="0"/>
      <w:jc w:val="both"/>
    </w:pPr>
    <w:rPr>
      <w:rFonts w:ascii="Tahoma" w:hAnsi="Tahoma" w:cs="Times New Roman"/>
      <w:kern w:val="2"/>
      <w:szCs w:val="20"/>
    </w:rPr>
  </w:style>
  <w:style w:type="paragraph" w:customStyle="1" w:styleId="1ff">
    <w:name w:val="正文1"/>
    <w:basedOn w:val="a0"/>
    <w:uiPriority w:val="99"/>
    <w:qFormat/>
    <w:pPr>
      <w:widowControl w:val="0"/>
      <w:adjustRightInd w:val="0"/>
      <w:spacing w:line="360" w:lineRule="atLeast"/>
      <w:ind w:firstLine="588"/>
      <w:jc w:val="both"/>
      <w:textAlignment w:val="baseline"/>
    </w:pPr>
    <w:rPr>
      <w:rFonts w:hAnsi="Times New Roman" w:cs="Times New Roman"/>
      <w:spacing w:val="8"/>
      <w:sz w:val="28"/>
      <w:szCs w:val="20"/>
    </w:rPr>
  </w:style>
  <w:style w:type="paragraph" w:customStyle="1" w:styleId="-6">
    <w:name w:val="È±Ê¡ÎÄ±¾-×¢ÊÍ"/>
    <w:basedOn w:val="a0"/>
    <w:uiPriority w:val="99"/>
    <w:qFormat/>
    <w:pPr>
      <w:tabs>
        <w:tab w:val="left" w:pos="595"/>
        <w:tab w:val="center" w:pos="2245"/>
        <w:tab w:val="center" w:pos="6497"/>
      </w:tabs>
      <w:overflowPunct w:val="0"/>
      <w:autoSpaceDE w:val="0"/>
      <w:autoSpaceDN w:val="0"/>
      <w:adjustRightInd w:val="0"/>
      <w:spacing w:after="120" w:line="360" w:lineRule="auto"/>
      <w:jc w:val="both"/>
      <w:textAlignment w:val="baseline"/>
    </w:pPr>
    <w:rPr>
      <w:rFonts w:ascii="Times New Roman" w:hAnsi="Times New Roman" w:cs="Times New Roman"/>
      <w:szCs w:val="20"/>
    </w:rPr>
  </w:style>
  <w:style w:type="paragraph" w:customStyle="1" w:styleId="2ff5">
    <w:name w:val="×Ó±êÌâ2"/>
    <w:basedOn w:val="a0"/>
    <w:uiPriority w:val="99"/>
    <w:qFormat/>
    <w:pPr>
      <w:overflowPunct w:val="0"/>
      <w:autoSpaceDE w:val="0"/>
      <w:autoSpaceDN w:val="0"/>
      <w:adjustRightInd w:val="0"/>
      <w:spacing w:after="140" w:line="360" w:lineRule="auto"/>
      <w:ind w:left="-383"/>
      <w:jc w:val="both"/>
      <w:textAlignment w:val="baseline"/>
    </w:pPr>
    <w:rPr>
      <w:rFonts w:ascii="Arial" w:hAnsi="Arial" w:cs="Times New Roman"/>
      <w:sz w:val="28"/>
      <w:szCs w:val="20"/>
    </w:rPr>
  </w:style>
  <w:style w:type="paragraph" w:customStyle="1" w:styleId="3-">
    <w:name w:val="×Ó±êÌâ3-×¢ÊÍ"/>
    <w:basedOn w:val="a0"/>
    <w:uiPriority w:val="99"/>
    <w:qFormat/>
    <w:pPr>
      <w:tabs>
        <w:tab w:val="left" w:pos="595"/>
        <w:tab w:val="center" w:pos="2245"/>
        <w:tab w:val="center" w:pos="6497"/>
      </w:tabs>
      <w:overflowPunct w:val="0"/>
      <w:autoSpaceDE w:val="0"/>
      <w:autoSpaceDN w:val="0"/>
      <w:adjustRightInd w:val="0"/>
      <w:spacing w:after="120" w:line="360" w:lineRule="auto"/>
      <w:ind w:left="-383"/>
      <w:jc w:val="both"/>
      <w:textAlignment w:val="baseline"/>
    </w:pPr>
    <w:rPr>
      <w:rFonts w:ascii="Times New Roman" w:hAnsi="Times New Roman" w:cs="Times New Roman"/>
      <w:szCs w:val="20"/>
    </w:rPr>
  </w:style>
  <w:style w:type="character" w:customStyle="1" w:styleId="af2">
    <w:name w:val="列表项目符号 字符"/>
    <w:link w:val="af1"/>
    <w:qFormat/>
    <w:rPr>
      <w:rFonts w:ascii="Times New Roman" w:eastAsia="宋体" w:hAnsi="Times New Roman" w:cs="Times New Roman"/>
      <w:szCs w:val="24"/>
    </w:rPr>
  </w:style>
  <w:style w:type="paragraph" w:customStyle="1" w:styleId="font1">
    <w:name w:val="font1"/>
    <w:basedOn w:val="a0"/>
    <w:uiPriority w:val="99"/>
    <w:qFormat/>
    <w:pPr>
      <w:spacing w:before="100" w:beforeAutospacing="1" w:after="100" w:afterAutospacing="1"/>
    </w:pPr>
    <w:rPr>
      <w:rFonts w:cs="Arial Unicode MS" w:hint="eastAsia"/>
    </w:rPr>
  </w:style>
  <w:style w:type="paragraph" w:customStyle="1" w:styleId="66">
    <w:name w:val="6"/>
    <w:basedOn w:val="a0"/>
    <w:next w:val="HTML1"/>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eastAsia="黑体" w:hAnsi="Courier New" w:cs="Courier New"/>
      <w:sz w:val="20"/>
      <w:szCs w:val="20"/>
    </w:rPr>
  </w:style>
  <w:style w:type="paragraph" w:customStyle="1" w:styleId="5e">
    <w:name w:val="5"/>
    <w:basedOn w:val="a0"/>
    <w:next w:val="26"/>
    <w:uiPriority w:val="99"/>
    <w:qFormat/>
    <w:pPr>
      <w:widowControl w:val="0"/>
      <w:spacing w:line="500" w:lineRule="exact"/>
      <w:ind w:right="28"/>
      <w:jc w:val="both"/>
    </w:pPr>
    <w:rPr>
      <w:rFonts w:cs="Arial"/>
      <w:color w:val="3366FF"/>
      <w:kern w:val="2"/>
    </w:rPr>
  </w:style>
  <w:style w:type="character" w:customStyle="1" w:styleId="unnamed81">
    <w:name w:val="unnamed81"/>
    <w:qFormat/>
    <w:rPr>
      <w:sz w:val="22"/>
      <w:szCs w:val="22"/>
    </w:rPr>
  </w:style>
  <w:style w:type="paragraph" w:customStyle="1" w:styleId="2ff6">
    <w:name w:val="正文2"/>
    <w:uiPriority w:val="99"/>
    <w:qFormat/>
    <w:pPr>
      <w:widowControl w:val="0"/>
      <w:adjustRightInd w:val="0"/>
      <w:spacing w:line="312" w:lineRule="atLeast"/>
      <w:jc w:val="both"/>
      <w:textAlignment w:val="baseline"/>
    </w:pPr>
    <w:rPr>
      <w:rFonts w:ascii="宋体" w:eastAsia="宋体" w:hAnsi="Times New Roman" w:cs="Times New Roman"/>
      <w:sz w:val="34"/>
    </w:rPr>
  </w:style>
  <w:style w:type="character" w:customStyle="1" w:styleId="v15">
    <w:name w:val="v15"/>
    <w:qFormat/>
  </w:style>
  <w:style w:type="paragraph" w:customStyle="1" w:styleId="H1">
    <w:name w:val="H1"/>
    <w:basedOn w:val="1"/>
    <w:uiPriority w:val="99"/>
    <w:qFormat/>
    <w:pPr>
      <w:keepNext w:val="0"/>
      <w:keepLines w:val="0"/>
      <w:widowControl/>
      <w:adjustRightInd w:val="0"/>
      <w:spacing w:before="240" w:after="240" w:line="360" w:lineRule="atLeast"/>
      <w:ind w:right="57"/>
      <w:jc w:val="center"/>
      <w:textAlignment w:val="baseline"/>
      <w:outlineLvl w:val="9"/>
    </w:pPr>
    <w:rPr>
      <w:rFonts w:ascii="黑体" w:eastAsia="黑体" w:hAnsi="Times New Roman"/>
      <w:bCs w:val="0"/>
      <w:kern w:val="0"/>
      <w:sz w:val="30"/>
      <w:szCs w:val="20"/>
    </w:rPr>
  </w:style>
  <w:style w:type="paragraph" w:customStyle="1" w:styleId="H3">
    <w:name w:val="H3"/>
    <w:basedOn w:val="20"/>
    <w:uiPriority w:val="99"/>
    <w:qFormat/>
    <w:pPr>
      <w:keepNext w:val="0"/>
      <w:keepLines w:val="0"/>
      <w:widowControl/>
      <w:adjustRightInd w:val="0"/>
      <w:spacing w:before="120" w:after="120" w:line="360" w:lineRule="atLeast"/>
      <w:ind w:right="28"/>
      <w:textAlignment w:val="baseline"/>
      <w:outlineLvl w:val="9"/>
    </w:pPr>
    <w:rPr>
      <w:rFonts w:ascii="宋体" w:eastAsia="宋体" w:hAnsi="Times New Roman"/>
      <w:bCs w:val="0"/>
      <w:kern w:val="0"/>
      <w:sz w:val="24"/>
      <w:szCs w:val="20"/>
    </w:rPr>
  </w:style>
  <w:style w:type="paragraph" w:customStyle="1" w:styleId="table">
    <w:name w:val="table"/>
    <w:basedOn w:val="a0"/>
    <w:uiPriority w:val="99"/>
    <w:qFormat/>
    <w:pPr>
      <w:adjustRightInd w:val="0"/>
      <w:spacing w:before="240" w:after="120" w:line="360" w:lineRule="atLeast"/>
      <w:ind w:firstLine="425"/>
      <w:jc w:val="center"/>
      <w:textAlignment w:val="baseline"/>
    </w:pPr>
    <w:rPr>
      <w:rFonts w:ascii="黑体" w:eastAsia="黑体" w:hAnsi="Times New Roman" w:cs="Times New Roman"/>
      <w:b/>
      <w:szCs w:val="20"/>
    </w:rPr>
  </w:style>
  <w:style w:type="paragraph" w:customStyle="1" w:styleId="H4">
    <w:name w:val="H4"/>
    <w:basedOn w:val="a0"/>
    <w:uiPriority w:val="99"/>
    <w:qFormat/>
    <w:pPr>
      <w:adjustRightInd w:val="0"/>
      <w:spacing w:before="120" w:after="120" w:line="360" w:lineRule="exact"/>
      <w:ind w:right="28" w:firstLine="425"/>
      <w:jc w:val="both"/>
      <w:textAlignment w:val="baseline"/>
    </w:pPr>
    <w:rPr>
      <w:rFonts w:hAnsi="Times New Roman" w:cs="Times New Roman"/>
      <w:b/>
      <w:szCs w:val="20"/>
    </w:rPr>
  </w:style>
  <w:style w:type="paragraph" w:customStyle="1" w:styleId="ZWBT">
    <w:name w:val="ZWBT"/>
    <w:basedOn w:val="a0"/>
    <w:uiPriority w:val="99"/>
    <w:qFormat/>
    <w:pPr>
      <w:widowControl w:val="0"/>
      <w:autoSpaceDE w:val="0"/>
      <w:autoSpaceDN w:val="0"/>
      <w:adjustRightInd w:val="0"/>
      <w:spacing w:before="240" w:after="120" w:line="440" w:lineRule="atLeast"/>
      <w:ind w:left="601" w:right="386"/>
      <w:jc w:val="both"/>
      <w:textAlignment w:val="bottom"/>
    </w:pPr>
    <w:rPr>
      <w:rFonts w:ascii="黑体" w:eastAsia="黑体" w:hAnsi="Arial" w:cs="Times New Roman"/>
      <w:sz w:val="32"/>
      <w:szCs w:val="20"/>
    </w:rPr>
  </w:style>
  <w:style w:type="paragraph" w:customStyle="1" w:styleId="l18">
    <w:name w:val="l18"/>
    <w:basedOn w:val="a0"/>
    <w:uiPriority w:val="99"/>
    <w:qFormat/>
    <w:pPr>
      <w:spacing w:before="100" w:beforeAutospacing="1" w:after="100" w:afterAutospacing="1"/>
    </w:pPr>
    <w:rPr>
      <w:rFonts w:cs="Times New Roman"/>
      <w:color w:val="000000"/>
      <w:sz w:val="14"/>
      <w:szCs w:val="14"/>
    </w:rPr>
  </w:style>
  <w:style w:type="paragraph" w:customStyle="1" w:styleId="67">
    <w:name w:val="样式6"/>
    <w:basedOn w:val="a0"/>
    <w:uiPriority w:val="99"/>
    <w:qFormat/>
    <w:pPr>
      <w:widowControl w:val="0"/>
      <w:tabs>
        <w:tab w:val="left" w:pos="1440"/>
      </w:tabs>
      <w:spacing w:after="120"/>
      <w:ind w:left="675" w:hanging="315"/>
      <w:jc w:val="both"/>
    </w:pPr>
    <w:rPr>
      <w:rFonts w:ascii="Times New Roman" w:eastAsia="楷体_GB2312" w:hAnsi="Times New Roman" w:cs="Times New Roman"/>
      <w:kern w:val="2"/>
      <w:szCs w:val="20"/>
    </w:rPr>
  </w:style>
  <w:style w:type="paragraph" w:customStyle="1" w:styleId="75">
    <w:name w:val="样式7"/>
    <w:basedOn w:val="a0"/>
    <w:uiPriority w:val="99"/>
    <w:qFormat/>
    <w:pPr>
      <w:widowControl w:val="0"/>
      <w:tabs>
        <w:tab w:val="left" w:pos="992"/>
        <w:tab w:val="left" w:pos="1440"/>
      </w:tabs>
      <w:spacing w:after="120"/>
      <w:ind w:left="992" w:hanging="315"/>
      <w:jc w:val="both"/>
    </w:pPr>
    <w:rPr>
      <w:rFonts w:ascii="Times New Roman" w:eastAsia="楷体_GB2312" w:hAnsi="Times New Roman" w:cs="Times New Roman"/>
      <w:kern w:val="2"/>
      <w:szCs w:val="20"/>
    </w:rPr>
  </w:style>
  <w:style w:type="paragraph" w:customStyle="1" w:styleId="afffffffb">
    <w:name w:val="表格内容"/>
    <w:basedOn w:val="a0"/>
    <w:link w:val="Charfe"/>
    <w:qFormat/>
    <w:pPr>
      <w:autoSpaceDE w:val="0"/>
      <w:autoSpaceDN w:val="0"/>
      <w:adjustRightInd w:val="0"/>
      <w:spacing w:before="60" w:line="300" w:lineRule="auto"/>
      <w:jc w:val="center"/>
      <w:textAlignment w:val="bottom"/>
    </w:pPr>
    <w:rPr>
      <w:rFonts w:ascii="Arial" w:eastAsia="楷体_GB2312" w:hAnsi="Arial" w:cs="Times New Roman"/>
      <w:spacing w:val="-25"/>
      <w:szCs w:val="20"/>
    </w:rPr>
  </w:style>
  <w:style w:type="paragraph" w:customStyle="1" w:styleId="afffffffc">
    <w:name w:val="简单回函地址"/>
    <w:basedOn w:val="a0"/>
    <w:uiPriority w:val="99"/>
    <w:qFormat/>
    <w:pPr>
      <w:widowControl w:val="0"/>
      <w:jc w:val="both"/>
    </w:pPr>
    <w:rPr>
      <w:rFonts w:ascii="Times New Roman" w:hAnsi="Times New Roman" w:cs="Times New Roman"/>
      <w:kern w:val="2"/>
      <w:sz w:val="21"/>
      <w:szCs w:val="20"/>
    </w:rPr>
  </w:style>
  <w:style w:type="paragraph" w:customStyle="1" w:styleId="CharCharCharCharCharCharChar2">
    <w:name w:val="Char Char Char Char Char Char Char2"/>
    <w:basedOn w:val="a0"/>
    <w:uiPriority w:val="99"/>
    <w:qFormat/>
    <w:pPr>
      <w:spacing w:after="160" w:line="240" w:lineRule="exact"/>
    </w:pPr>
    <w:rPr>
      <w:rFonts w:ascii="Times New Roman" w:eastAsia="Times New Roman" w:hAnsi="Times New Roman" w:cs="Angsana New"/>
      <w:sz w:val="20"/>
      <w:szCs w:val="20"/>
      <w:lang w:bidi="th-TH"/>
    </w:rPr>
  </w:style>
  <w:style w:type="character" w:customStyle="1" w:styleId="14zihongcu1">
    <w:name w:val="14zihong_cu1"/>
    <w:qFormat/>
    <w:rPr>
      <w:b/>
      <w:bCs/>
      <w:sz w:val="18"/>
      <w:szCs w:val="18"/>
      <w:u w:val="none"/>
    </w:rPr>
  </w:style>
  <w:style w:type="character" w:customStyle="1" w:styleId="grame">
    <w:name w:val="grame"/>
    <w:qFormat/>
  </w:style>
  <w:style w:type="character" w:customStyle="1" w:styleId="font141">
    <w:name w:val="font141"/>
    <w:qFormat/>
    <w:rPr>
      <w:rFonts w:ascii="ˎ̥" w:hAnsi="ˎ̥" w:hint="default"/>
      <w:sz w:val="21"/>
      <w:szCs w:val="21"/>
    </w:rPr>
  </w:style>
  <w:style w:type="paragraph" w:customStyle="1" w:styleId="BodySingle">
    <w:name w:val="Body Single"/>
    <w:uiPriority w:val="99"/>
    <w:qFormat/>
    <w:pPr>
      <w:widowControl w:val="0"/>
      <w:tabs>
        <w:tab w:val="left" w:pos="705"/>
        <w:tab w:val="left" w:pos="1440"/>
        <w:tab w:val="left" w:pos="2304"/>
        <w:tab w:val="right" w:pos="10425"/>
      </w:tabs>
      <w:jc w:val="both"/>
    </w:pPr>
    <w:rPr>
      <w:rFonts w:ascii="Times New Roman" w:eastAsia="宋体" w:hAnsi="Times New Roman" w:cs="Times New Roman"/>
      <w:snapToGrid w:val="0"/>
      <w:color w:val="000000"/>
      <w:sz w:val="24"/>
      <w:lang w:eastAsia="en-US"/>
    </w:rPr>
  </w:style>
  <w:style w:type="character" w:customStyle="1" w:styleId="text1">
    <w:name w:val="text1"/>
    <w:qFormat/>
    <w:rPr>
      <w:color w:val="000000"/>
      <w:spacing w:val="360"/>
      <w:sz w:val="22"/>
      <w:szCs w:val="22"/>
      <w:u w:val="none"/>
    </w:rPr>
  </w:style>
  <w:style w:type="character" w:customStyle="1" w:styleId="txt1">
    <w:name w:val="txt1"/>
    <w:qFormat/>
    <w:rPr>
      <w:rFonts w:ascii="宋体" w:eastAsia="宋体" w:hAnsi="宋体" w:hint="eastAsia"/>
      <w:color w:val="000000"/>
      <w:spacing w:val="280"/>
      <w:sz w:val="16"/>
      <w:szCs w:val="16"/>
      <w:u w:val="none"/>
    </w:rPr>
  </w:style>
  <w:style w:type="paragraph" w:customStyle="1" w:styleId="Heading">
    <w:name w:val="Heading"/>
    <w:basedOn w:val="ac"/>
    <w:uiPriority w:val="99"/>
    <w:qFormat/>
    <w:pPr>
      <w:widowControl/>
      <w:tabs>
        <w:tab w:val="left" w:pos="1008"/>
        <w:tab w:val="left" w:pos="1872"/>
        <w:tab w:val="left" w:pos="2592"/>
      </w:tabs>
      <w:autoSpaceDE w:val="0"/>
      <w:autoSpaceDN w:val="0"/>
      <w:spacing w:after="0"/>
    </w:pPr>
    <w:rPr>
      <w:rFonts w:ascii="Arial" w:eastAsia="宋体" w:hAnsi="Arial"/>
      <w:b/>
      <w:color w:val="000000"/>
      <w:kern w:val="0"/>
      <w:sz w:val="20"/>
      <w:szCs w:val="22"/>
      <w:lang w:val="en-US"/>
    </w:rPr>
  </w:style>
  <w:style w:type="paragraph" w:customStyle="1" w:styleId="LettHdOnly">
    <w:name w:val="LettHd_Only"/>
    <w:uiPriority w:val="99"/>
    <w:qFormat/>
    <w:pPr>
      <w:autoSpaceDE w:val="0"/>
      <w:autoSpaceDN w:val="0"/>
      <w:ind w:left="56"/>
    </w:pPr>
    <w:rPr>
      <w:rFonts w:ascii="Helvetica" w:eastAsia="宋体" w:hAnsi="Helvetica" w:cs="Times New Roman"/>
      <w:color w:val="000000"/>
      <w:sz w:val="14"/>
    </w:rPr>
  </w:style>
  <w:style w:type="paragraph" w:customStyle="1" w:styleId="Level1">
    <w:name w:val="Level 1"/>
    <w:uiPriority w:val="99"/>
    <w:qFormat/>
    <w:pPr>
      <w:widowControl w:val="0"/>
      <w:tabs>
        <w:tab w:val="left" w:pos="720"/>
        <w:tab w:val="left" w:pos="1425"/>
        <w:tab w:val="left" w:pos="2355"/>
        <w:tab w:val="right" w:pos="10440"/>
      </w:tabs>
      <w:spacing w:after="288"/>
      <w:ind w:firstLine="720"/>
      <w:jc w:val="both"/>
    </w:pPr>
    <w:rPr>
      <w:rFonts w:ascii="Times New Roman" w:eastAsia="宋体" w:hAnsi="Times New Roman" w:cs="Times New Roman"/>
      <w:snapToGrid w:val="0"/>
      <w:color w:val="000000"/>
      <w:sz w:val="24"/>
      <w:lang w:eastAsia="en-US"/>
    </w:rPr>
  </w:style>
  <w:style w:type="paragraph" w:customStyle="1" w:styleId="Level2">
    <w:name w:val="Level 2"/>
    <w:uiPriority w:val="99"/>
    <w:qFormat/>
    <w:pPr>
      <w:widowControl w:val="0"/>
      <w:tabs>
        <w:tab w:val="left" w:pos="720"/>
        <w:tab w:val="left" w:pos="1425"/>
        <w:tab w:val="left" w:pos="2355"/>
      </w:tabs>
      <w:spacing w:after="288"/>
      <w:ind w:left="1440"/>
      <w:jc w:val="both"/>
    </w:pPr>
    <w:rPr>
      <w:rFonts w:ascii="Times New Roman" w:eastAsia="宋体" w:hAnsi="Times New Roman" w:cs="Times New Roman"/>
      <w:snapToGrid w:val="0"/>
      <w:color w:val="000000"/>
      <w:sz w:val="24"/>
      <w:lang w:eastAsia="en-US"/>
    </w:rPr>
  </w:style>
  <w:style w:type="paragraph" w:customStyle="1" w:styleId="Level3">
    <w:name w:val="Level 3"/>
    <w:uiPriority w:val="99"/>
    <w:qFormat/>
    <w:pPr>
      <w:widowControl w:val="0"/>
      <w:tabs>
        <w:tab w:val="left" w:pos="720"/>
        <w:tab w:val="left" w:pos="1425"/>
      </w:tabs>
      <w:spacing w:after="288"/>
      <w:ind w:left="2160"/>
      <w:jc w:val="both"/>
    </w:pPr>
    <w:rPr>
      <w:rFonts w:ascii="Times New Roman" w:eastAsia="宋体" w:hAnsi="Times New Roman" w:cs="Times New Roman"/>
      <w:snapToGrid w:val="0"/>
      <w:color w:val="000000"/>
      <w:sz w:val="24"/>
      <w:lang w:eastAsia="en-US"/>
    </w:rPr>
  </w:style>
  <w:style w:type="paragraph" w:customStyle="1" w:styleId="Bullet">
    <w:name w:val="Bullet"/>
    <w:uiPriority w:val="99"/>
    <w:qFormat/>
    <w:pPr>
      <w:widowControl w:val="0"/>
      <w:spacing w:after="288"/>
      <w:ind w:left="1440"/>
      <w:jc w:val="both"/>
    </w:pPr>
    <w:rPr>
      <w:rFonts w:ascii="Times New Roman" w:eastAsia="宋体" w:hAnsi="Times New Roman" w:cs="Times New Roman"/>
      <w:snapToGrid w:val="0"/>
      <w:color w:val="000000"/>
      <w:sz w:val="24"/>
      <w:lang w:eastAsia="en-US"/>
    </w:rPr>
  </w:style>
  <w:style w:type="paragraph" w:customStyle="1" w:styleId="Major">
    <w:name w:val="Major"/>
    <w:next w:val="ac"/>
    <w:uiPriority w:val="99"/>
    <w:qFormat/>
    <w:pPr>
      <w:keepNext/>
      <w:keepLines/>
      <w:widowControl w:val="0"/>
      <w:tabs>
        <w:tab w:val="left" w:pos="705"/>
        <w:tab w:val="left" w:pos="1425"/>
        <w:tab w:val="left" w:pos="2310"/>
        <w:tab w:val="right" w:pos="10440"/>
      </w:tabs>
      <w:spacing w:after="288"/>
    </w:pPr>
    <w:rPr>
      <w:rFonts w:ascii="Times New Roman" w:eastAsia="宋体" w:hAnsi="Times New Roman" w:cs="Times New Roman"/>
      <w:b/>
      <w:snapToGrid w:val="0"/>
      <w:color w:val="000000"/>
      <w:sz w:val="28"/>
      <w:lang w:eastAsia="en-US"/>
    </w:rPr>
  </w:style>
  <w:style w:type="paragraph" w:customStyle="1" w:styleId="Minor">
    <w:name w:val="Minor"/>
    <w:next w:val="ac"/>
    <w:uiPriority w:val="99"/>
    <w:qFormat/>
    <w:pPr>
      <w:keepNext/>
      <w:keepLines/>
      <w:widowControl w:val="0"/>
      <w:tabs>
        <w:tab w:val="left" w:pos="720"/>
        <w:tab w:val="left" w:pos="1425"/>
        <w:tab w:val="left" w:pos="2355"/>
        <w:tab w:val="right" w:pos="10440"/>
      </w:tabs>
      <w:spacing w:after="288"/>
    </w:pPr>
    <w:rPr>
      <w:rFonts w:ascii="Times New Roman" w:eastAsia="宋体" w:hAnsi="Times New Roman" w:cs="Times New Roman"/>
      <w:b/>
      <w:snapToGrid w:val="0"/>
      <w:color w:val="000000"/>
      <w:sz w:val="24"/>
      <w:lang w:eastAsia="en-US"/>
    </w:rPr>
  </w:style>
  <w:style w:type="paragraph" w:customStyle="1" w:styleId="TableSBelow">
    <w:name w:val="Table S Below"/>
    <w:uiPriority w:val="99"/>
    <w:qFormat/>
    <w:pPr>
      <w:widowControl w:val="0"/>
    </w:pPr>
    <w:rPr>
      <w:rFonts w:ascii="Times New Roman" w:eastAsia="宋体" w:hAnsi="Times New Roman" w:cs="Times New Roman"/>
      <w:snapToGrid w:val="0"/>
      <w:color w:val="000000"/>
      <w:sz w:val="24"/>
      <w:lang w:eastAsia="en-US"/>
    </w:rPr>
  </w:style>
  <w:style w:type="paragraph" w:customStyle="1" w:styleId="Boxbullet">
    <w:name w:val="Box bullet"/>
    <w:uiPriority w:val="99"/>
    <w:qFormat/>
    <w:pPr>
      <w:widowControl w:val="0"/>
      <w:spacing w:after="288"/>
      <w:ind w:left="1440"/>
      <w:jc w:val="both"/>
    </w:pPr>
    <w:rPr>
      <w:rFonts w:ascii="Times New Roman" w:eastAsia="宋体" w:hAnsi="Times New Roman" w:cs="Times New Roman"/>
      <w:snapToGrid w:val="0"/>
      <w:color w:val="000000"/>
      <w:sz w:val="24"/>
      <w:lang w:eastAsia="en-US"/>
    </w:rPr>
  </w:style>
  <w:style w:type="paragraph" w:customStyle="1" w:styleId="Bulletsmall">
    <w:name w:val="Bullet small"/>
    <w:uiPriority w:val="99"/>
    <w:qFormat/>
    <w:pPr>
      <w:widowControl w:val="0"/>
      <w:spacing w:after="288"/>
      <w:ind w:left="1440"/>
      <w:jc w:val="both"/>
    </w:pPr>
    <w:rPr>
      <w:rFonts w:ascii="Times New Roman" w:eastAsia="宋体" w:hAnsi="Times New Roman" w:cs="Times New Roman"/>
      <w:snapToGrid w:val="0"/>
      <w:color w:val="000000"/>
      <w:sz w:val="24"/>
      <w:lang w:eastAsia="en-US"/>
    </w:rPr>
  </w:style>
  <w:style w:type="paragraph" w:customStyle="1" w:styleId="Sub-minor">
    <w:name w:val="Sub-minor"/>
    <w:next w:val="ac"/>
    <w:uiPriority w:val="99"/>
    <w:qFormat/>
    <w:pPr>
      <w:keepNext/>
      <w:keepLines/>
      <w:widowControl w:val="0"/>
      <w:tabs>
        <w:tab w:val="left" w:pos="720"/>
        <w:tab w:val="left" w:pos="1425"/>
        <w:tab w:val="left" w:pos="2355"/>
        <w:tab w:val="right" w:pos="10440"/>
      </w:tabs>
      <w:spacing w:after="288"/>
      <w:ind w:left="720"/>
    </w:pPr>
    <w:rPr>
      <w:rFonts w:ascii="Times New Roman" w:eastAsia="宋体" w:hAnsi="Times New Roman" w:cs="Times New Roman"/>
      <w:b/>
      <w:snapToGrid w:val="0"/>
      <w:color w:val="000000"/>
      <w:sz w:val="24"/>
      <w:lang w:eastAsia="en-US"/>
    </w:rPr>
  </w:style>
  <w:style w:type="paragraph" w:customStyle="1" w:styleId="Section">
    <w:name w:val="Section"/>
    <w:next w:val="Major"/>
    <w:uiPriority w:val="99"/>
    <w:qFormat/>
    <w:pPr>
      <w:keepNext/>
      <w:keepLines/>
      <w:widowControl w:val="0"/>
      <w:tabs>
        <w:tab w:val="left" w:pos="705"/>
        <w:tab w:val="left" w:pos="1425"/>
        <w:tab w:val="left" w:pos="2310"/>
        <w:tab w:val="right" w:pos="10425"/>
      </w:tabs>
      <w:spacing w:after="288"/>
    </w:pPr>
    <w:rPr>
      <w:rFonts w:ascii="Times New Roman" w:eastAsia="宋体" w:hAnsi="Times New Roman" w:cs="Times New Roman"/>
      <w:b/>
      <w:snapToGrid w:val="0"/>
      <w:color w:val="000000"/>
      <w:sz w:val="36"/>
      <w:lang w:eastAsia="en-US"/>
    </w:rPr>
  </w:style>
  <w:style w:type="paragraph" w:customStyle="1" w:styleId="Note">
    <w:name w:val="Note:"/>
    <w:next w:val="ac"/>
    <w:uiPriority w:val="99"/>
    <w:qFormat/>
    <w:pPr>
      <w:widowControl w:val="0"/>
      <w:tabs>
        <w:tab w:val="left" w:pos="705"/>
        <w:tab w:val="left" w:pos="1440"/>
        <w:tab w:val="left" w:pos="2304"/>
        <w:tab w:val="right" w:pos="10425"/>
      </w:tabs>
      <w:spacing w:after="288"/>
      <w:ind w:left="720"/>
      <w:jc w:val="both"/>
    </w:pPr>
    <w:rPr>
      <w:rFonts w:ascii="Times New Roman" w:eastAsia="宋体" w:hAnsi="Times New Roman" w:cs="Times New Roman"/>
      <w:snapToGrid w:val="0"/>
      <w:color w:val="000000"/>
      <w:sz w:val="24"/>
      <w:lang w:eastAsia="en-US"/>
    </w:rPr>
  </w:style>
  <w:style w:type="paragraph" w:customStyle="1" w:styleId="Indent">
    <w:name w:val="Indent"/>
    <w:uiPriority w:val="99"/>
    <w:qFormat/>
    <w:pPr>
      <w:widowControl w:val="0"/>
      <w:tabs>
        <w:tab w:val="left" w:pos="1425"/>
        <w:tab w:val="left" w:pos="2175"/>
        <w:tab w:val="left" w:pos="2895"/>
      </w:tabs>
      <w:spacing w:after="288"/>
      <w:ind w:left="720"/>
      <w:jc w:val="both"/>
    </w:pPr>
    <w:rPr>
      <w:rFonts w:ascii="Times New Roman" w:eastAsia="宋体" w:hAnsi="Times New Roman" w:cs="Times New Roman"/>
      <w:snapToGrid w:val="0"/>
      <w:color w:val="000000"/>
      <w:sz w:val="24"/>
      <w:lang w:eastAsia="en-US"/>
    </w:rPr>
  </w:style>
  <w:style w:type="paragraph" w:customStyle="1" w:styleId="Tickbox">
    <w:name w:val="Tickbox"/>
    <w:uiPriority w:val="99"/>
    <w:qFormat/>
    <w:pPr>
      <w:widowControl w:val="0"/>
      <w:spacing w:after="288"/>
      <w:ind w:left="1440"/>
      <w:jc w:val="both"/>
    </w:pPr>
    <w:rPr>
      <w:rFonts w:ascii="Times New Roman" w:eastAsia="宋体" w:hAnsi="Times New Roman" w:cs="Times New Roman"/>
      <w:snapToGrid w:val="0"/>
      <w:color w:val="000000"/>
      <w:sz w:val="24"/>
      <w:lang w:eastAsia="en-US"/>
    </w:rPr>
  </w:style>
  <w:style w:type="paragraph" w:customStyle="1" w:styleId="Tablebullet">
    <w:name w:val="Table bullet"/>
    <w:uiPriority w:val="99"/>
    <w:qFormat/>
    <w:pPr>
      <w:widowControl w:val="0"/>
      <w:ind w:left="316"/>
    </w:pPr>
    <w:rPr>
      <w:rFonts w:ascii="Times New Roman" w:eastAsia="宋体" w:hAnsi="Times New Roman" w:cs="Times New Roman"/>
      <w:snapToGrid w:val="0"/>
      <w:color w:val="000000"/>
      <w:sz w:val="24"/>
      <w:lang w:eastAsia="en-US"/>
    </w:rPr>
  </w:style>
  <w:style w:type="paragraph" w:customStyle="1" w:styleId="TableSDUnd">
    <w:name w:val="Table S/D Und"/>
    <w:uiPriority w:val="99"/>
    <w:qFormat/>
    <w:pPr>
      <w:widowControl w:val="0"/>
    </w:pPr>
    <w:rPr>
      <w:rFonts w:ascii="Times New Roman" w:eastAsia="宋体" w:hAnsi="Times New Roman" w:cs="Times New Roman"/>
      <w:snapToGrid w:val="0"/>
      <w:color w:val="000000"/>
      <w:sz w:val="24"/>
      <w:lang w:eastAsia="en-US"/>
    </w:rPr>
  </w:style>
  <w:style w:type="paragraph" w:customStyle="1" w:styleId="Dash">
    <w:name w:val="Dash"/>
    <w:uiPriority w:val="99"/>
    <w:qFormat/>
    <w:pPr>
      <w:widowControl w:val="0"/>
      <w:tabs>
        <w:tab w:val="left" w:pos="720"/>
        <w:tab w:val="left" w:pos="1425"/>
        <w:tab w:val="right" w:pos="9720"/>
      </w:tabs>
      <w:spacing w:after="288"/>
      <w:ind w:left="2160"/>
      <w:jc w:val="both"/>
    </w:pPr>
    <w:rPr>
      <w:rFonts w:ascii="Times New Roman" w:eastAsia="宋体" w:hAnsi="Times New Roman" w:cs="Times New Roman"/>
      <w:snapToGrid w:val="0"/>
      <w:color w:val="000000"/>
      <w:sz w:val="24"/>
      <w:lang w:eastAsia="en-US"/>
    </w:rPr>
  </w:style>
  <w:style w:type="paragraph" w:customStyle="1" w:styleId="TableMidLine">
    <w:name w:val="Table MidLine"/>
    <w:uiPriority w:val="99"/>
    <w:qFormat/>
    <w:pPr>
      <w:widowControl w:val="0"/>
      <w:spacing w:line="360" w:lineRule="atLeast"/>
    </w:pPr>
    <w:rPr>
      <w:rFonts w:ascii="Times New Roman" w:eastAsia="宋体" w:hAnsi="Times New Roman" w:cs="Times New Roman"/>
      <w:snapToGrid w:val="0"/>
      <w:color w:val="000000"/>
      <w:sz w:val="24"/>
      <w:lang w:eastAsia="en-US"/>
    </w:rPr>
  </w:style>
  <w:style w:type="character" w:customStyle="1" w:styleId="read1">
    <w:name w:val="read1"/>
    <w:qFormat/>
    <w:rPr>
      <w:rFonts w:ascii="ˎ̥" w:hAnsi="ˎ̥" w:hint="default"/>
      <w:color w:val="000000"/>
      <w:u w:val="none"/>
    </w:rPr>
  </w:style>
  <w:style w:type="paragraph" w:customStyle="1" w:styleId="textbody-c1">
    <w:name w:val="textbody-c1"/>
    <w:basedOn w:val="a0"/>
    <w:uiPriority w:val="99"/>
    <w:qFormat/>
    <w:pPr>
      <w:spacing w:before="100" w:beforeAutospacing="1" w:after="100" w:afterAutospacing="1"/>
    </w:pPr>
  </w:style>
  <w:style w:type="paragraph" w:customStyle="1" w:styleId="PP">
    <w:name w:val="PP 行"/>
    <w:basedOn w:val="affd"/>
    <w:uiPriority w:val="99"/>
    <w:qFormat/>
  </w:style>
  <w:style w:type="paragraph" w:customStyle="1" w:styleId="150">
    <w:name w:val="样式 两端对齐 行距: 1.5 倍行距"/>
    <w:basedOn w:val="a0"/>
    <w:uiPriority w:val="99"/>
    <w:qFormat/>
    <w:pPr>
      <w:widowControl w:val="0"/>
      <w:autoSpaceDE w:val="0"/>
      <w:autoSpaceDN w:val="0"/>
      <w:adjustRightInd w:val="0"/>
      <w:spacing w:line="360" w:lineRule="auto"/>
      <w:ind w:firstLineChars="200" w:firstLine="560"/>
      <w:jc w:val="both"/>
    </w:pPr>
    <w:rPr>
      <w:rFonts w:ascii="仿宋_GB2312" w:eastAsia="仿宋_GB2312" w:hAnsi="Times New Roman" w:cs="Times New Roman"/>
      <w:sz w:val="28"/>
      <w:szCs w:val="20"/>
    </w:rPr>
  </w:style>
  <w:style w:type="character" w:customStyle="1" w:styleId="f31">
    <w:name w:val="f31"/>
    <w:qFormat/>
    <w:rPr>
      <w:spacing w:val="375"/>
      <w:sz w:val="18"/>
      <w:szCs w:val="18"/>
      <w:u w:val="none"/>
    </w:rPr>
  </w:style>
  <w:style w:type="paragraph" w:customStyle="1" w:styleId="21215Char">
    <w:name w:val="样式 样式 样式 样式 首行缩进:  2 字符1 + 首行缩进:  2 字符 + 行距: 1.5 倍行距 Char + 首行缩进..."/>
    <w:basedOn w:val="a0"/>
    <w:uiPriority w:val="99"/>
    <w:qFormat/>
    <w:pPr>
      <w:widowControl w:val="0"/>
      <w:spacing w:line="360" w:lineRule="auto"/>
      <w:ind w:firstLineChars="200" w:firstLine="560"/>
      <w:jc w:val="both"/>
    </w:pPr>
    <w:rPr>
      <w:rFonts w:ascii="Times New Roman" w:hAnsi="Times New Roman" w:cs="Times New Roman"/>
      <w:kern w:val="2"/>
      <w:sz w:val="28"/>
      <w:szCs w:val="28"/>
    </w:rPr>
  </w:style>
  <w:style w:type="character" w:customStyle="1" w:styleId="dsfd">
    <w:name w:val="dsfd"/>
    <w:qFormat/>
  </w:style>
  <w:style w:type="character" w:customStyle="1" w:styleId="t151">
    <w:name w:val="t151"/>
    <w:qFormat/>
    <w:rPr>
      <w:rFonts w:ascii="ˎ̥" w:hAnsi="ˎ̥" w:hint="default"/>
      <w:color w:val="B34300"/>
      <w:sz w:val="18"/>
      <w:szCs w:val="18"/>
    </w:rPr>
  </w:style>
  <w:style w:type="character" w:customStyle="1" w:styleId="redcolor1">
    <w:name w:val="red_color1"/>
    <w:qFormat/>
    <w:rPr>
      <w:color w:val="990000"/>
    </w:rPr>
  </w:style>
  <w:style w:type="paragraph" w:customStyle="1" w:styleId="AT3">
    <w:name w:val="AT标题3"/>
    <w:basedOn w:val="31"/>
    <w:next w:val="a0"/>
    <w:uiPriority w:val="99"/>
    <w:qFormat/>
    <w:pPr>
      <w:keepNext w:val="0"/>
      <w:keepLines w:val="0"/>
      <w:widowControl/>
      <w:spacing w:before="0" w:after="0" w:line="360" w:lineRule="auto"/>
    </w:pPr>
    <w:rPr>
      <w:rFonts w:ascii="仿宋_GB2312" w:eastAsia="仿宋_GB2312" w:hAnsi="Times New Roman"/>
      <w:kern w:val="0"/>
      <w:sz w:val="28"/>
    </w:rPr>
  </w:style>
  <w:style w:type="paragraph" w:customStyle="1" w:styleId="AT">
    <w:name w:val="AT正文"/>
    <w:basedOn w:val="a0"/>
    <w:uiPriority w:val="99"/>
    <w:qFormat/>
    <w:pPr>
      <w:wordWrap w:val="0"/>
      <w:spacing w:line="360" w:lineRule="auto"/>
      <w:ind w:firstLineChars="2571" w:firstLine="5399"/>
    </w:pPr>
    <w:rPr>
      <w:rFonts w:ascii="Times New Roman" w:eastAsia="仿宋_GB2312" w:hAnsi="Times New Roman" w:cs="Times New Roman"/>
      <w:bCs/>
      <w:sz w:val="21"/>
      <w:szCs w:val="21"/>
    </w:rPr>
  </w:style>
  <w:style w:type="paragraph" w:customStyle="1" w:styleId="AT0">
    <w:name w:val="AT表格"/>
    <w:basedOn w:val="a0"/>
    <w:uiPriority w:val="99"/>
    <w:qFormat/>
    <w:pPr>
      <w:jc w:val="center"/>
    </w:pPr>
    <w:rPr>
      <w:rFonts w:ascii="Arial Narrow" w:eastAsia="仿宋_GB2312" w:hAnsi="Arial Narrow" w:cs="Times New Roman"/>
      <w:color w:val="000000"/>
      <w:sz w:val="18"/>
      <w:szCs w:val="18"/>
    </w:rPr>
  </w:style>
  <w:style w:type="paragraph" w:customStyle="1" w:styleId="AT1">
    <w:name w:val="AT表头"/>
    <w:basedOn w:val="AT"/>
    <w:uiPriority w:val="99"/>
    <w:qFormat/>
    <w:pPr>
      <w:ind w:firstLineChars="0" w:firstLine="0"/>
      <w:jc w:val="center"/>
    </w:pPr>
    <w:rPr>
      <w:b/>
    </w:rPr>
  </w:style>
  <w:style w:type="character" w:customStyle="1" w:styleId="da1">
    <w:name w:val="da1"/>
    <w:qFormat/>
    <w:rPr>
      <w:rFonts w:ascii="宋体" w:eastAsia="宋体" w:hAnsi="宋体" w:hint="eastAsia"/>
      <w:color w:val="000000"/>
      <w:spacing w:val="360"/>
      <w:sz w:val="28"/>
      <w:szCs w:val="28"/>
      <w:u w:val="none"/>
    </w:rPr>
  </w:style>
  <w:style w:type="character" w:customStyle="1" w:styleId="font21">
    <w:name w:val="font21"/>
    <w:qFormat/>
    <w:rPr>
      <w:color w:val="000000"/>
      <w:sz w:val="21"/>
      <w:szCs w:val="21"/>
      <w:u w:val="none"/>
    </w:rPr>
  </w:style>
  <w:style w:type="paragraph" w:customStyle="1" w:styleId="font10">
    <w:name w:val="font10"/>
    <w:basedOn w:val="a0"/>
    <w:qFormat/>
    <w:pPr>
      <w:spacing w:before="100" w:beforeAutospacing="1" w:after="100" w:afterAutospacing="1"/>
    </w:pPr>
    <w:rPr>
      <w:rFonts w:cs="Arial Unicode MS" w:hint="eastAsia"/>
      <w:color w:val="000000"/>
      <w:sz w:val="20"/>
      <w:szCs w:val="20"/>
    </w:rPr>
  </w:style>
  <w:style w:type="character" w:customStyle="1" w:styleId="md2">
    <w:name w:val="md2"/>
    <w:qFormat/>
    <w:rPr>
      <w:spacing w:val="300"/>
      <w:sz w:val="22"/>
      <w:szCs w:val="22"/>
    </w:rPr>
  </w:style>
  <w:style w:type="paragraph" w:customStyle="1" w:styleId="font11">
    <w:name w:val="font11"/>
    <w:basedOn w:val="a0"/>
    <w:uiPriority w:val="99"/>
    <w:qFormat/>
    <w:pPr>
      <w:spacing w:before="100" w:beforeAutospacing="1" w:after="100" w:afterAutospacing="1"/>
    </w:pPr>
    <w:rPr>
      <w:sz w:val="20"/>
      <w:szCs w:val="20"/>
    </w:rPr>
  </w:style>
  <w:style w:type="character" w:customStyle="1" w:styleId="h10">
    <w:name w:val="h1"/>
    <w:qFormat/>
    <w:rPr>
      <w:rFonts w:hint="default"/>
      <w:spacing w:val="274"/>
      <w:sz w:val="21"/>
      <w:szCs w:val="21"/>
    </w:rPr>
  </w:style>
  <w:style w:type="character" w:customStyle="1" w:styleId="style61">
    <w:name w:val="style61"/>
    <w:qFormat/>
    <w:rPr>
      <w:b/>
      <w:bCs/>
      <w:color w:val="CC0000"/>
      <w:sz w:val="33"/>
      <w:szCs w:val="33"/>
    </w:rPr>
  </w:style>
  <w:style w:type="paragraph" w:customStyle="1" w:styleId="314">
    <w:name w:val="正文文本缩进 31"/>
    <w:basedOn w:val="a0"/>
    <w:uiPriority w:val="99"/>
    <w:qFormat/>
    <w:pPr>
      <w:adjustRightInd w:val="0"/>
      <w:spacing w:line="440" w:lineRule="exact"/>
      <w:ind w:firstLine="480"/>
      <w:textAlignment w:val="baseline"/>
    </w:pPr>
    <w:rPr>
      <w:rFonts w:cs="Times New Roman"/>
      <w:szCs w:val="20"/>
    </w:rPr>
  </w:style>
  <w:style w:type="paragraph" w:customStyle="1" w:styleId="af32hichaf0dbchf32cgrid">
    <w:name w:val="af32hichaf0dbchf32cgrid"/>
    <w:uiPriority w:val="99"/>
    <w:qFormat/>
    <w:pPr>
      <w:widowControl w:val="0"/>
      <w:tabs>
        <w:tab w:val="left" w:pos="0"/>
      </w:tabs>
      <w:autoSpaceDE w:val="0"/>
      <w:autoSpaceDN w:val="0"/>
      <w:adjustRightInd w:val="0"/>
      <w:ind w:right="26" w:firstLine="480"/>
    </w:pPr>
    <w:rPr>
      <w:rFonts w:ascii="楷体_GB2312" w:eastAsia="楷体_GB2312" w:hAnsi="Times New Roman" w:cs="Times New Roman"/>
      <w:sz w:val="28"/>
    </w:rPr>
  </w:style>
  <w:style w:type="character" w:customStyle="1" w:styleId="CharChar1">
    <w:name w:val="Char Char1"/>
    <w:qFormat/>
    <w:rPr>
      <w:rFonts w:ascii="宋体" w:eastAsia="宋体" w:hAnsi="宋体" w:cs="宋体"/>
      <w:color w:val="000080"/>
      <w:sz w:val="24"/>
      <w:szCs w:val="24"/>
      <w:lang w:val="en-US" w:eastAsia="zh-CN" w:bidi="ar-SA"/>
    </w:rPr>
  </w:style>
  <w:style w:type="paragraph" w:customStyle="1" w:styleId="ATCharCharCharCharCharChar">
    <w:name w:val="AT正文 Char Char Char Char Char Char"/>
    <w:basedOn w:val="a0"/>
    <w:uiPriority w:val="99"/>
    <w:qFormat/>
    <w:pPr>
      <w:wordWrap w:val="0"/>
      <w:spacing w:line="360" w:lineRule="auto"/>
      <w:jc w:val="both"/>
    </w:pPr>
    <w:rPr>
      <w:rFonts w:ascii="仿宋_GB2312" w:eastAsia="仿宋_GB2312" w:hAnsi="Times New Roman" w:cs="Times New Roman"/>
      <w:bCs/>
      <w:kern w:val="2"/>
      <w:sz w:val="28"/>
      <w:szCs w:val="28"/>
    </w:rPr>
  </w:style>
  <w:style w:type="paragraph" w:customStyle="1" w:styleId="1ff0">
    <w:name w:val="日期1"/>
    <w:basedOn w:val="a0"/>
    <w:next w:val="a0"/>
    <w:uiPriority w:val="99"/>
    <w:qFormat/>
    <w:pPr>
      <w:widowControl w:val="0"/>
      <w:adjustRightInd w:val="0"/>
      <w:spacing w:line="312" w:lineRule="atLeast"/>
      <w:jc w:val="both"/>
      <w:textAlignment w:val="baseline"/>
    </w:pPr>
    <w:rPr>
      <w:rFonts w:hAnsi="Times New Roman" w:cs="Times New Roman"/>
      <w:sz w:val="28"/>
      <w:szCs w:val="20"/>
    </w:rPr>
  </w:style>
  <w:style w:type="paragraph" w:customStyle="1" w:styleId="ZW1">
    <w:name w:val="ZW1"/>
    <w:basedOn w:val="a0"/>
    <w:uiPriority w:val="99"/>
    <w:qFormat/>
    <w:pPr>
      <w:widowControl w:val="0"/>
      <w:spacing w:before="120" w:line="360" w:lineRule="auto"/>
      <w:ind w:firstLine="567"/>
      <w:jc w:val="both"/>
    </w:pPr>
    <w:rPr>
      <w:rFonts w:ascii="Arial Narrow" w:hAnsi="Arial Narrow" w:cs="Times New Roman"/>
      <w:kern w:val="2"/>
      <w:szCs w:val="20"/>
    </w:rPr>
  </w:style>
  <w:style w:type="paragraph" w:customStyle="1" w:styleId="216">
    <w:name w:val="正文文本 21"/>
    <w:basedOn w:val="a0"/>
    <w:uiPriority w:val="99"/>
    <w:qFormat/>
    <w:pPr>
      <w:widowControl w:val="0"/>
      <w:adjustRightInd w:val="0"/>
      <w:ind w:firstLine="420"/>
      <w:textAlignment w:val="baseline"/>
    </w:pPr>
    <w:rPr>
      <w:rFonts w:hAnsi="Times New Roman" w:cs="Times New Roman"/>
      <w:color w:val="000000"/>
      <w:kern w:val="2"/>
      <w:szCs w:val="20"/>
    </w:rPr>
  </w:style>
  <w:style w:type="paragraph" w:customStyle="1" w:styleId="xl1077">
    <w:name w:val="xl1077"/>
    <w:basedOn w:val="a0"/>
    <w:uiPriority w:val="99"/>
    <w:qFormat/>
    <w:pPr>
      <w:spacing w:before="100" w:after="100"/>
      <w:jc w:val="center"/>
      <w:textAlignment w:val="center"/>
    </w:pPr>
    <w:rPr>
      <w:rFonts w:ascii="仿宋_GB2312" w:eastAsia="仿宋_GB2312" w:cs="Times New Roman" w:hint="eastAsia"/>
      <w:b/>
      <w:szCs w:val="20"/>
    </w:rPr>
  </w:style>
  <w:style w:type="paragraph" w:customStyle="1" w:styleId="afffffffd">
    <w:name w:val="标准"/>
    <w:basedOn w:val="a0"/>
    <w:uiPriority w:val="99"/>
    <w:qFormat/>
    <w:pPr>
      <w:widowControl w:val="0"/>
      <w:autoSpaceDE w:val="0"/>
      <w:autoSpaceDN w:val="0"/>
      <w:adjustRightInd w:val="0"/>
      <w:spacing w:line="360" w:lineRule="auto"/>
      <w:jc w:val="center"/>
      <w:textAlignment w:val="baseline"/>
    </w:pPr>
    <w:rPr>
      <w:rFonts w:ascii="仿宋_GB2312" w:eastAsia="仿宋_GB2312" w:hAnsi="Times New Roman" w:cs="Times New Roman"/>
      <w:kern w:val="2"/>
      <w:szCs w:val="20"/>
    </w:rPr>
  </w:style>
  <w:style w:type="paragraph" w:customStyle="1" w:styleId="Char30">
    <w:name w:val="Char3"/>
    <w:basedOn w:val="a0"/>
    <w:uiPriority w:val="99"/>
    <w:qFormat/>
    <w:pPr>
      <w:widowControl w:val="0"/>
      <w:jc w:val="both"/>
    </w:pPr>
    <w:rPr>
      <w:rFonts w:ascii="Times New Roman" w:hAnsi="Times New Roman" w:cs="Times New Roman"/>
      <w:kern w:val="2"/>
      <w:sz w:val="21"/>
    </w:rPr>
  </w:style>
  <w:style w:type="paragraph" w:customStyle="1" w:styleId="xl72">
    <w:name w:val="xl72"/>
    <w:basedOn w:val="a0"/>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cs="Times New Roman" w:hint="eastAsia"/>
      <w:sz w:val="20"/>
      <w:szCs w:val="20"/>
    </w:rPr>
  </w:style>
  <w:style w:type="paragraph" w:customStyle="1" w:styleId="Char2CharCharCharCharCharCharCharCharChar">
    <w:name w:val="Char2 Char Char Char Char Char Char Char Char Char"/>
    <w:basedOn w:val="a0"/>
    <w:uiPriority w:val="99"/>
    <w:qFormat/>
    <w:pPr>
      <w:widowControl w:val="0"/>
      <w:jc w:val="both"/>
    </w:pPr>
    <w:rPr>
      <w:rFonts w:ascii="Tahoma" w:hAnsi="Tahoma" w:cs="Times New Roman"/>
      <w:kern w:val="2"/>
      <w:szCs w:val="20"/>
    </w:rPr>
  </w:style>
  <w:style w:type="paragraph" w:customStyle="1" w:styleId="CharCharChar1Char">
    <w:name w:val="Char Char Char1 Char"/>
    <w:basedOn w:val="a0"/>
    <w:uiPriority w:val="99"/>
    <w:qFormat/>
    <w:pPr>
      <w:widowControl w:val="0"/>
      <w:jc w:val="both"/>
    </w:pPr>
    <w:rPr>
      <w:rFonts w:ascii="Tahoma" w:hAnsi="Tahoma" w:cs="Times New Roman"/>
      <w:kern w:val="2"/>
      <w:szCs w:val="20"/>
    </w:rPr>
  </w:style>
  <w:style w:type="character" w:customStyle="1" w:styleId="zwChar0">
    <w:name w:val="zw Char"/>
    <w:link w:val="zw0"/>
    <w:qFormat/>
    <w:rPr>
      <w:rFonts w:ascii="Arial Narrow" w:eastAsia="楷体_GB2312" w:hAnsi="Arial Narrow" w:cs="Times New Roman"/>
      <w:kern w:val="0"/>
      <w:sz w:val="24"/>
      <w:szCs w:val="20"/>
    </w:rPr>
  </w:style>
  <w:style w:type="character" w:customStyle="1" w:styleId="ho121">
    <w:name w:val="ho121"/>
    <w:qFormat/>
    <w:rPr>
      <w:color w:val="CC0000"/>
    </w:rPr>
  </w:style>
  <w:style w:type="paragraph" w:customStyle="1" w:styleId="126">
    <w:name w:val="纯文本12"/>
    <w:basedOn w:val="a0"/>
    <w:uiPriority w:val="99"/>
    <w:qFormat/>
    <w:pPr>
      <w:widowControl w:val="0"/>
      <w:adjustRightInd w:val="0"/>
      <w:jc w:val="both"/>
      <w:textAlignment w:val="baseline"/>
    </w:pPr>
    <w:rPr>
      <w:rFonts w:hAnsi="Times New Roman" w:cs="Times New Roman"/>
      <w:sz w:val="21"/>
      <w:szCs w:val="20"/>
    </w:rPr>
  </w:style>
  <w:style w:type="paragraph" w:customStyle="1" w:styleId="CharChar1Char2">
    <w:name w:val="Char Char1 Char2"/>
    <w:basedOn w:val="a0"/>
    <w:uiPriority w:val="99"/>
    <w:qFormat/>
    <w:pPr>
      <w:widowControl w:val="0"/>
      <w:jc w:val="both"/>
    </w:pPr>
    <w:rPr>
      <w:rFonts w:ascii="Times New Roman" w:hAnsi="Times New Roman" w:cs="Times New Roman"/>
      <w:kern w:val="2"/>
      <w:sz w:val="21"/>
      <w:szCs w:val="20"/>
    </w:rPr>
  </w:style>
  <w:style w:type="paragraph" w:customStyle="1" w:styleId="1CharCharCharCharCharChar">
    <w:name w:val="1 Char Char Char Char Char Char"/>
    <w:basedOn w:val="a0"/>
    <w:uiPriority w:val="99"/>
    <w:qFormat/>
    <w:pPr>
      <w:widowControl w:val="0"/>
      <w:jc w:val="both"/>
    </w:pPr>
    <w:rPr>
      <w:rFonts w:ascii="Tahoma" w:hAnsi="Tahoma" w:cs="Times New Roman"/>
      <w:kern w:val="2"/>
      <w:szCs w:val="20"/>
    </w:rPr>
  </w:style>
  <w:style w:type="paragraph" w:customStyle="1" w:styleId="1CharCharCharCharCharChar1Char">
    <w:name w:val="1 Char Char Char Char Char Char1 Char"/>
    <w:basedOn w:val="a0"/>
    <w:uiPriority w:val="99"/>
    <w:qFormat/>
    <w:pPr>
      <w:widowControl w:val="0"/>
      <w:jc w:val="both"/>
    </w:pPr>
    <w:rPr>
      <w:rFonts w:ascii="Tahoma" w:hAnsi="Tahoma" w:cs="Times New Roman"/>
      <w:kern w:val="2"/>
      <w:szCs w:val="20"/>
    </w:rPr>
  </w:style>
  <w:style w:type="paragraph" w:customStyle="1" w:styleId="afffffffe">
    <w:name w:val="表格数据"/>
    <w:basedOn w:val="a0"/>
    <w:uiPriority w:val="99"/>
    <w:qFormat/>
    <w:pPr>
      <w:widowControl w:val="0"/>
      <w:spacing w:line="400" w:lineRule="exact"/>
      <w:jc w:val="right"/>
    </w:pPr>
    <w:rPr>
      <w:rFonts w:ascii="Times New Roman" w:eastAsia="仿宋_GB2312" w:hAnsi="Times New Roman"/>
      <w:kern w:val="2"/>
      <w:sz w:val="21"/>
      <w:szCs w:val="20"/>
    </w:rPr>
  </w:style>
  <w:style w:type="paragraph" w:customStyle="1" w:styleId="affffffff">
    <w:name w:val="表格正文"/>
    <w:basedOn w:val="a0"/>
    <w:uiPriority w:val="99"/>
    <w:qFormat/>
    <w:pPr>
      <w:widowControl w:val="0"/>
      <w:spacing w:line="400" w:lineRule="exact"/>
      <w:jc w:val="both"/>
    </w:pPr>
    <w:rPr>
      <w:rFonts w:ascii="仿宋_GB2312" w:eastAsia="仿宋_GB2312" w:hAnsi="Times New Roman"/>
      <w:b/>
      <w:bCs/>
      <w:kern w:val="2"/>
      <w:sz w:val="21"/>
      <w:szCs w:val="20"/>
    </w:rPr>
  </w:style>
  <w:style w:type="paragraph" w:customStyle="1" w:styleId="AT10">
    <w:name w:val="AT标题1"/>
    <w:basedOn w:val="1"/>
    <w:next w:val="a0"/>
    <w:uiPriority w:val="99"/>
    <w:qFormat/>
    <w:pPr>
      <w:keepNext w:val="0"/>
      <w:keepLines w:val="0"/>
      <w:spacing w:after="0" w:line="360" w:lineRule="auto"/>
      <w:jc w:val="center"/>
    </w:pPr>
    <w:rPr>
      <w:rFonts w:ascii="仿宋_GB2312" w:eastAsia="仿宋_GB2312" w:hAnsi="宋体"/>
      <w:spacing w:val="20"/>
      <w:sz w:val="32"/>
      <w:szCs w:val="36"/>
    </w:rPr>
  </w:style>
  <w:style w:type="paragraph" w:customStyle="1" w:styleId="CharCharCharCharCharCharCharCharCharChar">
    <w:name w:val="Char Char Char Char Char Char Char Char Char Char"/>
    <w:basedOn w:val="a0"/>
    <w:uiPriority w:val="99"/>
    <w:qFormat/>
    <w:pPr>
      <w:widowControl w:val="0"/>
      <w:jc w:val="both"/>
    </w:pPr>
    <w:rPr>
      <w:rFonts w:ascii="Tahoma" w:hAnsi="Tahoma" w:cs="Times New Roman"/>
      <w:kern w:val="2"/>
      <w:szCs w:val="20"/>
    </w:rPr>
  </w:style>
  <w:style w:type="paragraph" w:customStyle="1" w:styleId="CharCharChar1Char2">
    <w:name w:val="Char Char Char1 Char2"/>
    <w:basedOn w:val="a0"/>
    <w:uiPriority w:val="99"/>
    <w:qFormat/>
    <w:pPr>
      <w:widowControl w:val="0"/>
      <w:jc w:val="both"/>
    </w:pPr>
    <w:rPr>
      <w:rFonts w:ascii="Tahoma" w:hAnsi="Tahoma" w:cs="Times New Roman"/>
      <w:kern w:val="2"/>
      <w:szCs w:val="20"/>
    </w:rPr>
  </w:style>
  <w:style w:type="paragraph" w:customStyle="1" w:styleId="Char41">
    <w:name w:val="Char41"/>
    <w:basedOn w:val="a0"/>
    <w:uiPriority w:val="99"/>
    <w:qFormat/>
    <w:pPr>
      <w:widowControl w:val="0"/>
      <w:jc w:val="both"/>
    </w:pPr>
    <w:rPr>
      <w:rFonts w:ascii="Tahoma" w:hAnsi="Tahoma" w:cs="Times New Roman"/>
      <w:kern w:val="2"/>
      <w:szCs w:val="20"/>
    </w:rPr>
  </w:style>
  <w:style w:type="paragraph" w:customStyle="1" w:styleId="Char110">
    <w:name w:val="Char11"/>
    <w:basedOn w:val="a0"/>
    <w:link w:val="Char1Char1"/>
    <w:qFormat/>
    <w:pPr>
      <w:widowControl w:val="0"/>
      <w:jc w:val="both"/>
    </w:pPr>
    <w:rPr>
      <w:rFonts w:ascii="Tahoma" w:hAnsi="Tahoma" w:cs="Times New Roman"/>
      <w:kern w:val="2"/>
      <w:szCs w:val="20"/>
    </w:rPr>
  </w:style>
  <w:style w:type="character" w:customStyle="1" w:styleId="Char1Char1">
    <w:name w:val="Char1 Char1"/>
    <w:link w:val="Char110"/>
    <w:qFormat/>
    <w:rPr>
      <w:rFonts w:ascii="Tahoma" w:eastAsia="宋体" w:hAnsi="Tahoma" w:cs="Times New Roman"/>
      <w:sz w:val="24"/>
      <w:szCs w:val="20"/>
    </w:rPr>
  </w:style>
  <w:style w:type="paragraph" w:customStyle="1" w:styleId="Char2CharCharChar1">
    <w:name w:val="Char2 Char Char Char1"/>
    <w:basedOn w:val="a0"/>
    <w:uiPriority w:val="99"/>
    <w:qFormat/>
    <w:pPr>
      <w:widowControl w:val="0"/>
      <w:jc w:val="both"/>
    </w:pPr>
    <w:rPr>
      <w:rFonts w:ascii="Tahoma" w:hAnsi="Tahoma" w:cs="Times New Roman"/>
      <w:kern w:val="2"/>
      <w:szCs w:val="20"/>
    </w:rPr>
  </w:style>
  <w:style w:type="paragraph" w:customStyle="1" w:styleId="Char1CharCharChar1">
    <w:name w:val="Char1 Char Char Char1"/>
    <w:basedOn w:val="a0"/>
    <w:uiPriority w:val="99"/>
    <w:qFormat/>
    <w:pPr>
      <w:widowControl w:val="0"/>
      <w:jc w:val="both"/>
    </w:pPr>
    <w:rPr>
      <w:rFonts w:ascii="Tahoma" w:hAnsi="Tahoma" w:cs="Times New Roman"/>
      <w:kern w:val="2"/>
      <w:szCs w:val="20"/>
    </w:rPr>
  </w:style>
  <w:style w:type="paragraph" w:customStyle="1" w:styleId="Char4CharCharCharCharCharCharCharCharCharCharCharCharCharChar1">
    <w:name w:val="Char4 Char Char Char Char Char Char Char Char Char Char Char Char Char Char1"/>
    <w:basedOn w:val="a0"/>
    <w:uiPriority w:val="99"/>
    <w:qFormat/>
    <w:pPr>
      <w:widowControl w:val="0"/>
      <w:jc w:val="both"/>
    </w:pPr>
    <w:rPr>
      <w:rFonts w:ascii="Tahoma" w:hAnsi="Tahoma" w:cs="Times New Roman"/>
      <w:kern w:val="2"/>
      <w:szCs w:val="20"/>
    </w:rPr>
  </w:style>
  <w:style w:type="paragraph" w:customStyle="1" w:styleId="Char2CharChar1CharCharCharCharCharCharCharCharChar1">
    <w:name w:val="Char2 Char Char1 Char Char Char Char Char Char Char Char Char1"/>
    <w:basedOn w:val="a0"/>
    <w:uiPriority w:val="99"/>
    <w:qFormat/>
    <w:pPr>
      <w:widowControl w:val="0"/>
      <w:jc w:val="both"/>
    </w:pPr>
    <w:rPr>
      <w:rFonts w:ascii="Tahoma" w:hAnsi="Tahoma" w:cs="Times New Roman"/>
      <w:kern w:val="2"/>
      <w:szCs w:val="20"/>
    </w:rPr>
  </w:style>
  <w:style w:type="paragraph" w:customStyle="1" w:styleId="CharCharChar1">
    <w:name w:val="Char Char Char1"/>
    <w:basedOn w:val="a0"/>
    <w:uiPriority w:val="99"/>
    <w:qFormat/>
    <w:pPr>
      <w:spacing w:after="160" w:line="240" w:lineRule="exact"/>
    </w:pPr>
    <w:rPr>
      <w:rFonts w:ascii="Verdana" w:hAnsi="Verdana" w:cs="Times New Roman"/>
      <w:sz w:val="20"/>
      <w:szCs w:val="20"/>
      <w:lang w:eastAsia="en-US"/>
    </w:rPr>
  </w:style>
  <w:style w:type="paragraph" w:customStyle="1" w:styleId="217">
    <w:name w:val="正文2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CharCharCharCharCharCharChar1">
    <w:name w:val="Char Char Char Char Char Char Char1"/>
    <w:basedOn w:val="a0"/>
    <w:uiPriority w:val="99"/>
    <w:qFormat/>
    <w:pPr>
      <w:spacing w:after="160" w:line="240" w:lineRule="exact"/>
    </w:pPr>
    <w:rPr>
      <w:rFonts w:ascii="Times New Roman" w:eastAsia="Times New Roman" w:hAnsi="Times New Roman" w:cs="Angsana New"/>
      <w:sz w:val="20"/>
      <w:szCs w:val="20"/>
      <w:lang w:bidi="th-TH"/>
    </w:rPr>
  </w:style>
  <w:style w:type="paragraph" w:customStyle="1" w:styleId="3110">
    <w:name w:val="正文文本缩进 311"/>
    <w:basedOn w:val="a0"/>
    <w:uiPriority w:val="99"/>
    <w:qFormat/>
    <w:pPr>
      <w:adjustRightInd w:val="0"/>
      <w:spacing w:line="440" w:lineRule="exact"/>
      <w:ind w:firstLine="480"/>
      <w:textAlignment w:val="baseline"/>
    </w:pPr>
    <w:rPr>
      <w:rFonts w:cs="Times New Roman"/>
      <w:szCs w:val="20"/>
    </w:rPr>
  </w:style>
  <w:style w:type="character" w:customStyle="1" w:styleId="CharChar11">
    <w:name w:val="Char Char11"/>
    <w:qFormat/>
    <w:rPr>
      <w:rFonts w:ascii="宋体" w:eastAsia="宋体" w:hAnsi="宋体" w:cs="宋体"/>
      <w:color w:val="000080"/>
      <w:sz w:val="24"/>
      <w:szCs w:val="24"/>
      <w:lang w:val="en-US" w:eastAsia="zh-CN" w:bidi="ar-SA"/>
    </w:rPr>
  </w:style>
  <w:style w:type="paragraph" w:customStyle="1" w:styleId="116">
    <w:name w:val="日期11"/>
    <w:basedOn w:val="a0"/>
    <w:next w:val="a0"/>
    <w:uiPriority w:val="99"/>
    <w:qFormat/>
    <w:pPr>
      <w:widowControl w:val="0"/>
      <w:adjustRightInd w:val="0"/>
      <w:spacing w:line="312" w:lineRule="atLeast"/>
      <w:jc w:val="both"/>
      <w:textAlignment w:val="baseline"/>
    </w:pPr>
    <w:rPr>
      <w:rFonts w:hAnsi="Times New Roman" w:cs="Times New Roman"/>
      <w:sz w:val="28"/>
      <w:szCs w:val="20"/>
    </w:rPr>
  </w:style>
  <w:style w:type="paragraph" w:customStyle="1" w:styleId="2113">
    <w:name w:val="正文文本缩进 211"/>
    <w:basedOn w:val="a0"/>
    <w:uiPriority w:val="99"/>
    <w:qFormat/>
    <w:pPr>
      <w:widowControl w:val="0"/>
      <w:adjustRightInd w:val="0"/>
      <w:ind w:firstLine="435"/>
      <w:textAlignment w:val="baseline"/>
    </w:pPr>
    <w:rPr>
      <w:rFonts w:ascii="Times New Roman" w:hAnsi="Times New Roman" w:cs="Times New Roman"/>
      <w:color w:val="000000"/>
      <w:kern w:val="2"/>
      <w:sz w:val="28"/>
      <w:szCs w:val="20"/>
    </w:rPr>
  </w:style>
  <w:style w:type="paragraph" w:customStyle="1" w:styleId="2114">
    <w:name w:val="正文文本 211"/>
    <w:basedOn w:val="a0"/>
    <w:uiPriority w:val="99"/>
    <w:qFormat/>
    <w:pPr>
      <w:widowControl w:val="0"/>
      <w:adjustRightInd w:val="0"/>
      <w:ind w:firstLine="420"/>
      <w:textAlignment w:val="baseline"/>
    </w:pPr>
    <w:rPr>
      <w:rFonts w:hAnsi="Times New Roman" w:cs="Times New Roman"/>
      <w:color w:val="000000"/>
      <w:kern w:val="2"/>
      <w:szCs w:val="20"/>
    </w:rPr>
  </w:style>
  <w:style w:type="paragraph" w:customStyle="1" w:styleId="Char20">
    <w:name w:val="Char2"/>
    <w:basedOn w:val="a0"/>
    <w:uiPriority w:val="99"/>
    <w:qFormat/>
    <w:pPr>
      <w:widowControl w:val="0"/>
      <w:jc w:val="both"/>
    </w:pPr>
    <w:rPr>
      <w:rFonts w:ascii="Times New Roman" w:hAnsi="Times New Roman" w:cs="Times New Roman"/>
      <w:kern w:val="2"/>
      <w:sz w:val="21"/>
    </w:rPr>
  </w:style>
  <w:style w:type="paragraph" w:customStyle="1" w:styleId="Char2CharCharCharCharCharCharCharCharChar1">
    <w:name w:val="Char2 Char Char Char Char Char Char Char Char Char1"/>
    <w:basedOn w:val="a0"/>
    <w:uiPriority w:val="99"/>
    <w:qFormat/>
    <w:pPr>
      <w:widowControl w:val="0"/>
      <w:jc w:val="both"/>
    </w:pPr>
    <w:rPr>
      <w:rFonts w:ascii="Tahoma" w:hAnsi="Tahoma" w:cs="Times New Roman"/>
      <w:kern w:val="2"/>
      <w:szCs w:val="20"/>
    </w:rPr>
  </w:style>
  <w:style w:type="paragraph" w:customStyle="1" w:styleId="117">
    <w:name w:val="纯文本11"/>
    <w:basedOn w:val="a0"/>
    <w:uiPriority w:val="99"/>
    <w:qFormat/>
    <w:pPr>
      <w:widowControl w:val="0"/>
      <w:adjustRightInd w:val="0"/>
      <w:jc w:val="both"/>
      <w:textAlignment w:val="baseline"/>
    </w:pPr>
    <w:rPr>
      <w:rFonts w:hAnsi="Times New Roman" w:cs="Times New Roman"/>
      <w:sz w:val="21"/>
      <w:szCs w:val="20"/>
    </w:rPr>
  </w:style>
  <w:style w:type="paragraph" w:customStyle="1" w:styleId="CharChar1Char1">
    <w:name w:val="Char Char1 Char1"/>
    <w:basedOn w:val="a0"/>
    <w:uiPriority w:val="99"/>
    <w:qFormat/>
    <w:pPr>
      <w:widowControl w:val="0"/>
      <w:jc w:val="both"/>
    </w:pPr>
    <w:rPr>
      <w:rFonts w:ascii="Times New Roman" w:hAnsi="Times New Roman" w:cs="Times New Roman"/>
      <w:kern w:val="2"/>
      <w:sz w:val="21"/>
      <w:szCs w:val="20"/>
    </w:rPr>
  </w:style>
  <w:style w:type="paragraph" w:customStyle="1" w:styleId="CharCharChar1Char1">
    <w:name w:val="Char Char Char1 Char1"/>
    <w:basedOn w:val="a0"/>
    <w:uiPriority w:val="99"/>
    <w:qFormat/>
    <w:pPr>
      <w:widowControl w:val="0"/>
      <w:jc w:val="both"/>
    </w:pPr>
    <w:rPr>
      <w:rFonts w:ascii="Tahoma" w:hAnsi="Tahoma" w:cs="Times New Roman"/>
      <w:kern w:val="2"/>
      <w:szCs w:val="20"/>
    </w:rPr>
  </w:style>
  <w:style w:type="paragraph" w:customStyle="1" w:styleId="CharCharCharChar1">
    <w:name w:val="Char Char Char Char1"/>
    <w:basedOn w:val="a0"/>
    <w:uiPriority w:val="99"/>
    <w:qFormat/>
    <w:pPr>
      <w:widowControl w:val="0"/>
      <w:jc w:val="both"/>
    </w:pPr>
    <w:rPr>
      <w:rFonts w:ascii="Tahoma" w:hAnsi="Tahoma" w:cs="Times New Roman"/>
      <w:kern w:val="2"/>
      <w:szCs w:val="20"/>
    </w:rPr>
  </w:style>
  <w:style w:type="character" w:customStyle="1" w:styleId="af">
    <w:name w:val="正文缩进 字符"/>
    <w:link w:val="ae"/>
    <w:qFormat/>
    <w:rPr>
      <w:rFonts w:ascii="Times New Roman" w:eastAsia="仿宋_GB2312" w:hAnsi="Times New Roman" w:cs="Times New Roman"/>
      <w:sz w:val="24"/>
      <w:szCs w:val="20"/>
    </w:rPr>
  </w:style>
  <w:style w:type="paragraph" w:customStyle="1" w:styleId="affffffff0">
    <w:name w:val="尽职正文"/>
    <w:basedOn w:val="HTML1"/>
    <w:uiPriority w:val="99"/>
    <w:qFormat/>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s>
      <w:spacing w:beforeLines="50" w:line="400" w:lineRule="exact"/>
      <w:ind w:firstLineChars="200" w:firstLine="200"/>
      <w:jc w:val="both"/>
    </w:pPr>
    <w:rPr>
      <w:rFonts w:hAnsi="Courier New" w:cs="Courier New"/>
      <w:kern w:val="0"/>
      <w:sz w:val="23"/>
      <w:szCs w:val="20"/>
    </w:rPr>
  </w:style>
  <w:style w:type="paragraph" w:customStyle="1" w:styleId="Charff">
    <w:name w:val="默认段落字体 Char"/>
    <w:basedOn w:val="a0"/>
    <w:uiPriority w:val="99"/>
    <w:qFormat/>
    <w:pPr>
      <w:widowControl w:val="0"/>
      <w:jc w:val="both"/>
    </w:pPr>
    <w:rPr>
      <w:rFonts w:ascii="Tahoma" w:hAnsi="Tahoma" w:cs="Times New Roman"/>
      <w:kern w:val="2"/>
      <w:szCs w:val="20"/>
    </w:rPr>
  </w:style>
  <w:style w:type="paragraph" w:customStyle="1" w:styleId="1CharCharCharChar">
    <w:name w:val="1 Char Char Char Char"/>
    <w:basedOn w:val="a0"/>
    <w:uiPriority w:val="99"/>
    <w:qFormat/>
    <w:pPr>
      <w:widowControl w:val="0"/>
      <w:jc w:val="both"/>
    </w:pPr>
    <w:rPr>
      <w:rFonts w:ascii="Tahoma" w:hAnsi="Tahoma" w:cs="Times New Roman"/>
      <w:kern w:val="2"/>
      <w:szCs w:val="20"/>
    </w:rPr>
  </w:style>
  <w:style w:type="character" w:customStyle="1" w:styleId="highlight1">
    <w:name w:val="highlight1"/>
    <w:qFormat/>
    <w:rPr>
      <w:sz w:val="21"/>
      <w:szCs w:val="21"/>
    </w:rPr>
  </w:style>
  <w:style w:type="paragraph" w:customStyle="1" w:styleId="DecimalAligned">
    <w:name w:val="Decimal Aligned"/>
    <w:basedOn w:val="a0"/>
    <w:uiPriority w:val="40"/>
    <w:qFormat/>
    <w:pPr>
      <w:tabs>
        <w:tab w:val="decimal" w:pos="360"/>
      </w:tabs>
      <w:spacing w:after="200" w:line="276" w:lineRule="auto"/>
    </w:pPr>
    <w:rPr>
      <w:rFonts w:ascii="Calibri" w:hAnsi="Calibri" w:cs="Times New Roman"/>
      <w:sz w:val="22"/>
      <w:szCs w:val="22"/>
    </w:rPr>
  </w:style>
  <w:style w:type="character" w:customStyle="1" w:styleId="1ff1">
    <w:name w:val="不明显强调1"/>
    <w:uiPriority w:val="19"/>
    <w:qFormat/>
    <w:rPr>
      <w:rFonts w:eastAsia="宋体" w:cs="Times New Roman"/>
      <w:i/>
      <w:iCs/>
      <w:color w:val="808080"/>
      <w:szCs w:val="22"/>
      <w:lang w:eastAsia="zh-CN"/>
    </w:rPr>
  </w:style>
  <w:style w:type="character" w:customStyle="1" w:styleId="CharChar12">
    <w:name w:val="Char Char12"/>
    <w:qFormat/>
    <w:rPr>
      <w:rFonts w:eastAsia="宋体"/>
      <w:kern w:val="2"/>
      <w:sz w:val="21"/>
      <w:szCs w:val="20"/>
      <w:lang w:val="en-US" w:eastAsia="zh-CN" w:bidi="ar-SA"/>
    </w:rPr>
  </w:style>
  <w:style w:type="character" w:customStyle="1" w:styleId="CharChar9">
    <w:name w:val="Char Char9"/>
    <w:qFormat/>
    <w:rPr>
      <w:rFonts w:ascii="Times New Roman" w:eastAsia="宋体" w:hAnsi="Times New Roman" w:cs="Times New Roman"/>
      <w:sz w:val="18"/>
      <w:szCs w:val="20"/>
    </w:rPr>
  </w:style>
  <w:style w:type="character" w:customStyle="1" w:styleId="CharChar6">
    <w:name w:val="Char Char6"/>
    <w:qFormat/>
    <w:rPr>
      <w:rFonts w:ascii="Times New Roman" w:eastAsia="宋体" w:hAnsi="Times New Roman" w:cs="Times New Roman"/>
      <w:sz w:val="18"/>
      <w:szCs w:val="20"/>
    </w:rPr>
  </w:style>
  <w:style w:type="character" w:customStyle="1" w:styleId="k1">
    <w:name w:val="k1"/>
    <w:qFormat/>
    <w:rPr>
      <w:color w:val="999999"/>
    </w:rPr>
  </w:style>
  <w:style w:type="character" w:customStyle="1" w:styleId="zzzz1">
    <w:name w:val="zzzz1"/>
    <w:qFormat/>
    <w:rPr>
      <w:sz w:val="20"/>
      <w:szCs w:val="20"/>
    </w:rPr>
  </w:style>
  <w:style w:type="character" w:customStyle="1" w:styleId="CharChar3">
    <w:name w:val="Char Char3"/>
    <w:qFormat/>
    <w:rPr>
      <w:rFonts w:ascii="宋体" w:hAnsi="Courier New"/>
      <w:kern w:val="2"/>
      <w:sz w:val="28"/>
    </w:rPr>
  </w:style>
  <w:style w:type="paragraph" w:customStyle="1" w:styleId="affffffff1">
    <w:name w:val="内容"/>
    <w:basedOn w:val="a0"/>
    <w:uiPriority w:val="99"/>
    <w:qFormat/>
    <w:pPr>
      <w:widowControl w:val="0"/>
      <w:spacing w:line="360" w:lineRule="exact"/>
      <w:ind w:firstLine="314"/>
      <w:jc w:val="both"/>
    </w:pPr>
    <w:rPr>
      <w:rFonts w:ascii="楷体_GB2312" w:eastAsia="楷体_GB2312" w:hAnsi="Arial" w:cs="Arial"/>
      <w:kern w:val="2"/>
      <w:sz w:val="28"/>
    </w:rPr>
  </w:style>
  <w:style w:type="character" w:customStyle="1" w:styleId="content1">
    <w:name w:val="content1"/>
    <w:qFormat/>
    <w:rPr>
      <w:rFonts w:ascii="Arial" w:hAnsi="Arial" w:cs="Arial" w:hint="default"/>
      <w:color w:val="000000"/>
      <w:sz w:val="16"/>
      <w:szCs w:val="16"/>
    </w:rPr>
  </w:style>
  <w:style w:type="character" w:customStyle="1" w:styleId="CharChar">
    <w:name w:val="Char Char"/>
    <w:qFormat/>
    <w:locked/>
    <w:rPr>
      <w:rFonts w:ascii="宋体" w:eastAsia="宋体" w:hAnsi="Courier New"/>
      <w:kern w:val="2"/>
      <w:sz w:val="21"/>
      <w:lang w:val="en-US" w:eastAsia="zh-CN" w:bidi="ar-SA"/>
    </w:rPr>
  </w:style>
  <w:style w:type="paragraph" w:customStyle="1" w:styleId="zw00">
    <w:name w:val="zw0"/>
    <w:basedOn w:val="a0"/>
    <w:uiPriority w:val="99"/>
    <w:qFormat/>
    <w:pPr>
      <w:spacing w:line="440" w:lineRule="atLeast"/>
      <w:ind w:firstLine="601"/>
      <w:jc w:val="both"/>
    </w:pPr>
    <w:rPr>
      <w:rFonts w:ascii="Arial Narrow" w:hAnsi="Arial Narrow"/>
      <w:sz w:val="28"/>
      <w:szCs w:val="28"/>
    </w:rPr>
  </w:style>
  <w:style w:type="paragraph" w:styleId="affffffff2">
    <w:name w:val="No Spacing"/>
    <w:uiPriority w:val="1"/>
    <w:qFormat/>
    <w:pPr>
      <w:widowControl w:val="0"/>
      <w:jc w:val="both"/>
    </w:pPr>
    <w:rPr>
      <w:rFonts w:ascii="Calibri" w:eastAsia="宋体" w:hAnsi="Calibri" w:cs="Times New Roman"/>
      <w:kern w:val="2"/>
      <w:sz w:val="21"/>
      <w:szCs w:val="22"/>
    </w:rPr>
  </w:style>
  <w:style w:type="character" w:customStyle="1" w:styleId="zwCharChar">
    <w:name w:val="zw Char Char"/>
    <w:qFormat/>
    <w:rPr>
      <w:rFonts w:ascii="Arial Narrow" w:eastAsia="楷体_GB2312" w:hAnsi="Arial Narrow" w:cs="Times New Roman"/>
      <w:kern w:val="0"/>
      <w:sz w:val="24"/>
      <w:szCs w:val="20"/>
    </w:rPr>
  </w:style>
  <w:style w:type="character" w:customStyle="1" w:styleId="comment-gmt1">
    <w:name w:val="comment-gmt1"/>
    <w:qFormat/>
    <w:rPr>
      <w:color w:val="666666"/>
      <w:sz w:val="17"/>
      <w:szCs w:val="17"/>
    </w:rPr>
  </w:style>
  <w:style w:type="paragraph" w:customStyle="1" w:styleId="z-1">
    <w:name w:val="z-窗体顶端1"/>
    <w:basedOn w:val="a0"/>
    <w:next w:val="a0"/>
    <w:link w:val="z-Char"/>
    <w:uiPriority w:val="99"/>
    <w:unhideWhenUsed/>
    <w:qFormat/>
    <w:pPr>
      <w:pBdr>
        <w:bottom w:val="single" w:sz="6" w:space="1" w:color="auto"/>
      </w:pBdr>
      <w:jc w:val="center"/>
    </w:pPr>
    <w:rPr>
      <w:rFonts w:ascii="Arial" w:hAnsi="Arial" w:cs="Arial"/>
      <w:vanish/>
      <w:sz w:val="16"/>
      <w:szCs w:val="16"/>
    </w:rPr>
  </w:style>
  <w:style w:type="character" w:customStyle="1" w:styleId="z-Char">
    <w:name w:val="z-窗体顶端 Char"/>
    <w:link w:val="z-1"/>
    <w:uiPriority w:val="99"/>
    <w:qFormat/>
    <w:rPr>
      <w:rFonts w:ascii="Arial" w:eastAsia="宋体" w:hAnsi="Arial" w:cs="Arial"/>
      <w:vanish/>
      <w:kern w:val="0"/>
      <w:sz w:val="16"/>
      <w:szCs w:val="16"/>
    </w:rPr>
  </w:style>
  <w:style w:type="character" w:customStyle="1" w:styleId="font-blue">
    <w:name w:val="font-blue"/>
    <w:qFormat/>
  </w:style>
  <w:style w:type="character" w:customStyle="1" w:styleId="contentredmiddlebold1">
    <w:name w:val="content_red_middle_bold1"/>
    <w:qFormat/>
    <w:rPr>
      <w:rFonts w:ascii="Verdana" w:hAnsi="Verdana" w:hint="default"/>
      <w:b/>
      <w:bCs/>
      <w:color w:val="CC3300"/>
      <w:sz w:val="18"/>
      <w:szCs w:val="18"/>
    </w:rPr>
  </w:style>
  <w:style w:type="paragraph" w:customStyle="1" w:styleId="z-10">
    <w:name w:val="z-窗体底端1"/>
    <w:basedOn w:val="a0"/>
    <w:next w:val="a0"/>
    <w:link w:val="z-Char0"/>
    <w:unhideWhenUsed/>
    <w:qFormat/>
    <w:pPr>
      <w:pBdr>
        <w:top w:val="single" w:sz="6" w:space="1" w:color="auto"/>
      </w:pBdr>
      <w:jc w:val="center"/>
    </w:pPr>
    <w:rPr>
      <w:rFonts w:ascii="Arial" w:hAnsi="Arial" w:cs="Arial"/>
      <w:vanish/>
      <w:sz w:val="16"/>
      <w:szCs w:val="16"/>
    </w:rPr>
  </w:style>
  <w:style w:type="character" w:customStyle="1" w:styleId="z-Char0">
    <w:name w:val="z-窗体底端 Char"/>
    <w:link w:val="z-10"/>
    <w:qFormat/>
    <w:rPr>
      <w:rFonts w:ascii="Arial" w:eastAsia="宋体" w:hAnsi="Arial" w:cs="Arial"/>
      <w:vanish/>
      <w:kern w:val="0"/>
      <w:sz w:val="16"/>
      <w:szCs w:val="16"/>
    </w:rPr>
  </w:style>
  <w:style w:type="character" w:customStyle="1" w:styleId="contentblacksmall5">
    <w:name w:val="content_black_small5"/>
    <w:qFormat/>
    <w:rPr>
      <w:rFonts w:ascii="Verdana" w:hAnsi="Verdana" w:hint="default"/>
      <w:color w:val="333333"/>
      <w:sz w:val="18"/>
      <w:szCs w:val="18"/>
    </w:rPr>
  </w:style>
  <w:style w:type="paragraph" w:customStyle="1" w:styleId="affffffff3">
    <w:name w:val="文"/>
    <w:basedOn w:val="a0"/>
    <w:link w:val="Charff0"/>
    <w:qFormat/>
    <w:pPr>
      <w:widowControl w:val="0"/>
      <w:tabs>
        <w:tab w:val="left" w:pos="1255"/>
      </w:tabs>
      <w:autoSpaceDE w:val="0"/>
      <w:autoSpaceDN w:val="0"/>
      <w:adjustRightInd w:val="0"/>
      <w:snapToGrid w:val="0"/>
      <w:spacing w:line="360" w:lineRule="auto"/>
      <w:ind w:firstLineChars="200" w:firstLine="560"/>
      <w:jc w:val="both"/>
    </w:pPr>
    <w:rPr>
      <w:rFonts w:ascii="Times New Roman" w:eastAsia="仿宋_GB2312" w:hAnsi="Times New Roman" w:cs="Times New Roman"/>
      <w:kern w:val="2"/>
      <w:sz w:val="28"/>
      <w:szCs w:val="28"/>
    </w:rPr>
  </w:style>
  <w:style w:type="character" w:customStyle="1" w:styleId="Charff0">
    <w:name w:val="文 Char"/>
    <w:link w:val="affffffff3"/>
    <w:qFormat/>
    <w:rPr>
      <w:rFonts w:ascii="Times New Roman" w:eastAsia="仿宋_GB2312" w:hAnsi="Times New Roman" w:cs="Times New Roman"/>
      <w:sz w:val="28"/>
      <w:szCs w:val="28"/>
    </w:rPr>
  </w:style>
  <w:style w:type="character" w:styleId="affffffff4">
    <w:name w:val="Placeholder Text"/>
    <w:uiPriority w:val="99"/>
    <w:semiHidden/>
    <w:qFormat/>
    <w:rPr>
      <w:color w:val="808080"/>
    </w:rPr>
  </w:style>
  <w:style w:type="paragraph" w:customStyle="1" w:styleId="118">
    <w:name w:val="列出段落11"/>
    <w:basedOn w:val="a0"/>
    <w:uiPriority w:val="34"/>
    <w:qFormat/>
    <w:pPr>
      <w:widowControl w:val="0"/>
      <w:ind w:firstLineChars="200" w:firstLine="420"/>
      <w:jc w:val="both"/>
    </w:pPr>
    <w:rPr>
      <w:rFonts w:ascii="Times New Roman" w:hAnsi="Times New Roman" w:cs="Times New Roman"/>
      <w:kern w:val="2"/>
      <w:sz w:val="21"/>
    </w:rPr>
  </w:style>
  <w:style w:type="character" w:customStyle="1" w:styleId="font31">
    <w:name w:val="font31"/>
    <w:qFormat/>
    <w:rPr>
      <w:rFonts w:ascii="Times New Roman" w:hAnsi="Times New Roman" w:cs="Times New Roman" w:hint="default"/>
      <w:b/>
      <w:bCs/>
      <w:color w:val="000000"/>
      <w:sz w:val="20"/>
      <w:szCs w:val="20"/>
      <w:u w:val="none"/>
    </w:rPr>
  </w:style>
  <w:style w:type="character" w:customStyle="1" w:styleId="font51">
    <w:name w:val="font51"/>
    <w:qFormat/>
    <w:rPr>
      <w:rFonts w:ascii="Times New Roman" w:hAnsi="Times New Roman" w:cs="Times New Roman" w:hint="default"/>
      <w:b/>
      <w:bCs/>
      <w:color w:val="000000"/>
      <w:sz w:val="20"/>
      <w:szCs w:val="20"/>
      <w:u w:val="none"/>
    </w:rPr>
  </w:style>
  <w:style w:type="character" w:customStyle="1" w:styleId="font01">
    <w:name w:val="font01"/>
    <w:qFormat/>
    <w:rPr>
      <w:rFonts w:ascii="宋体" w:eastAsia="宋体" w:hAnsi="宋体" w:hint="eastAsia"/>
      <w:color w:val="000000"/>
      <w:sz w:val="20"/>
      <w:szCs w:val="20"/>
      <w:u w:val="none"/>
    </w:rPr>
  </w:style>
  <w:style w:type="character" w:customStyle="1" w:styleId="font41">
    <w:name w:val="font41"/>
    <w:qFormat/>
    <w:rPr>
      <w:rFonts w:ascii="Times New Roman" w:hAnsi="Times New Roman" w:cs="Times New Roman" w:hint="default"/>
      <w:color w:val="000000"/>
      <w:sz w:val="20"/>
      <w:szCs w:val="20"/>
      <w:u w:val="none"/>
    </w:rPr>
  </w:style>
  <w:style w:type="character" w:customStyle="1" w:styleId="font71">
    <w:name w:val="font71"/>
    <w:qFormat/>
    <w:rPr>
      <w:rFonts w:ascii="Times New Roman" w:hAnsi="Times New Roman" w:cs="Times New Roman" w:hint="default"/>
      <w:b/>
      <w:bCs/>
      <w:color w:val="000000"/>
      <w:sz w:val="20"/>
      <w:szCs w:val="20"/>
      <w:u w:val="none"/>
    </w:rPr>
  </w:style>
  <w:style w:type="character" w:customStyle="1" w:styleId="font61">
    <w:name w:val="font61"/>
    <w:qFormat/>
    <w:rPr>
      <w:rFonts w:ascii="宋体" w:eastAsia="宋体" w:hAnsi="宋体" w:hint="eastAsia"/>
      <w:color w:val="000000"/>
      <w:sz w:val="20"/>
      <w:szCs w:val="20"/>
      <w:u w:val="none"/>
    </w:rPr>
  </w:style>
  <w:style w:type="character" w:customStyle="1" w:styleId="font81">
    <w:name w:val="font81"/>
    <w:qFormat/>
    <w:rPr>
      <w:rFonts w:ascii="Times New Roman" w:hAnsi="Times New Roman" w:cs="Times New Roman" w:hint="default"/>
      <w:color w:val="000000"/>
      <w:sz w:val="20"/>
      <w:szCs w:val="20"/>
      <w:u w:val="none"/>
    </w:rPr>
  </w:style>
  <w:style w:type="character" w:customStyle="1" w:styleId="font91">
    <w:name w:val="font91"/>
    <w:qFormat/>
    <w:rPr>
      <w:rFonts w:ascii="宋体" w:eastAsia="宋体" w:hAnsi="宋体" w:hint="eastAsia"/>
      <w:color w:val="000000"/>
      <w:sz w:val="20"/>
      <w:szCs w:val="20"/>
      <w:u w:val="none"/>
    </w:rPr>
  </w:style>
  <w:style w:type="character" w:customStyle="1" w:styleId="1Char1">
    <w:name w:val="标题 1 Char1"/>
    <w:uiPriority w:val="99"/>
    <w:qFormat/>
    <w:rPr>
      <w:rFonts w:eastAsia="仿宋_GB2312"/>
      <w:kern w:val="2"/>
      <w:sz w:val="28"/>
    </w:rPr>
  </w:style>
  <w:style w:type="paragraph" w:customStyle="1" w:styleId="msonormal0">
    <w:name w:val="msonormal"/>
    <w:basedOn w:val="a0"/>
    <w:qFormat/>
    <w:pPr>
      <w:spacing w:before="100" w:beforeAutospacing="1" w:after="100" w:afterAutospacing="1"/>
    </w:pPr>
  </w:style>
  <w:style w:type="paragraph" w:customStyle="1" w:styleId="Style9">
    <w:name w:val="_Style 9"/>
    <w:basedOn w:val="a0"/>
    <w:uiPriority w:val="34"/>
    <w:qFormat/>
    <w:pPr>
      <w:widowControl w:val="0"/>
      <w:ind w:firstLineChars="200" w:firstLine="420"/>
      <w:jc w:val="both"/>
    </w:pPr>
    <w:rPr>
      <w:rFonts w:ascii="Calibri" w:hAnsi="Calibri" w:cs="Times New Roman"/>
      <w:kern w:val="2"/>
      <w:sz w:val="21"/>
    </w:rPr>
  </w:style>
  <w:style w:type="paragraph" w:customStyle="1" w:styleId="Style2">
    <w:name w:val="_Style 2"/>
    <w:basedOn w:val="a0"/>
    <w:uiPriority w:val="34"/>
    <w:qFormat/>
    <w:pPr>
      <w:widowControl w:val="0"/>
      <w:ind w:firstLineChars="200" w:firstLine="420"/>
      <w:jc w:val="both"/>
    </w:pPr>
    <w:rPr>
      <w:rFonts w:ascii="等线" w:eastAsia="等线" w:hAnsi="等线" w:cs="Times New Roman"/>
      <w:kern w:val="2"/>
      <w:sz w:val="21"/>
    </w:rPr>
  </w:style>
  <w:style w:type="character" w:customStyle="1" w:styleId="a6">
    <w:name w:val="宏文本 字符"/>
    <w:basedOn w:val="a2"/>
    <w:link w:val="a5"/>
    <w:semiHidden/>
    <w:qFormat/>
    <w:rPr>
      <w:rFonts w:ascii="Courier New" w:eastAsia="宋体" w:hAnsi="Courier New" w:cs="Courier New"/>
      <w:color w:val="333333"/>
      <w:kern w:val="0"/>
      <w:sz w:val="20"/>
      <w:szCs w:val="20"/>
      <w:lang w:eastAsia="en-US"/>
    </w:rPr>
  </w:style>
  <w:style w:type="character" w:customStyle="1" w:styleId="a9">
    <w:name w:val="注释标题 字符"/>
    <w:basedOn w:val="a2"/>
    <w:link w:val="a8"/>
    <w:qFormat/>
    <w:rPr>
      <w:rFonts w:ascii="Times New Roman" w:eastAsia="宋体" w:hAnsi="Times New Roman" w:cs="Times New Roman"/>
      <w:szCs w:val="24"/>
    </w:rPr>
  </w:style>
  <w:style w:type="character" w:customStyle="1" w:styleId="ab">
    <w:name w:val="电子邮件签名 字符"/>
    <w:basedOn w:val="a2"/>
    <w:link w:val="aa"/>
    <w:qFormat/>
    <w:rPr>
      <w:rFonts w:ascii="Times New Roman" w:eastAsia="宋体" w:hAnsi="Times New Roman" w:cs="Times New Roman"/>
      <w:szCs w:val="24"/>
    </w:rPr>
  </w:style>
  <w:style w:type="character" w:customStyle="1" w:styleId="afa">
    <w:name w:val="称呼 字符"/>
    <w:basedOn w:val="a2"/>
    <w:link w:val="af9"/>
    <w:qFormat/>
    <w:rPr>
      <w:rFonts w:ascii="Times New Roman" w:eastAsia="宋体" w:hAnsi="Times New Roman" w:cs="Times New Roman"/>
      <w:szCs w:val="24"/>
    </w:rPr>
  </w:style>
  <w:style w:type="character" w:customStyle="1" w:styleId="afc">
    <w:name w:val="结束语 字符"/>
    <w:basedOn w:val="a2"/>
    <w:link w:val="afb"/>
    <w:qFormat/>
    <w:rPr>
      <w:rFonts w:ascii="Times New Roman" w:eastAsia="宋体" w:hAnsi="Times New Roman" w:cs="Times New Roman"/>
      <w:szCs w:val="24"/>
    </w:rPr>
  </w:style>
  <w:style w:type="character" w:customStyle="1" w:styleId="HTML0">
    <w:name w:val="HTML 地址 字符"/>
    <w:basedOn w:val="a2"/>
    <w:link w:val="HTML"/>
    <w:qFormat/>
    <w:rPr>
      <w:rFonts w:ascii="Times New Roman" w:eastAsia="宋体" w:hAnsi="Times New Roman" w:cs="Times New Roman"/>
      <w:i/>
      <w:iCs/>
      <w:szCs w:val="24"/>
    </w:rPr>
  </w:style>
  <w:style w:type="paragraph" w:customStyle="1" w:styleId="KWNormal">
    <w:name w:val="K&amp;W Normal"/>
    <w:link w:val="KWNormalChar"/>
    <w:qFormat/>
    <w:pPr>
      <w:spacing w:after="360" w:line="320" w:lineRule="atLeast"/>
      <w:jc w:val="both"/>
    </w:pPr>
    <w:rPr>
      <w:rFonts w:ascii="Arial" w:eastAsia="楷体_GB2312" w:hAnsi="Arial" w:cs="Times New Roman"/>
      <w:color w:val="000000"/>
      <w:sz w:val="24"/>
      <w:lang w:eastAsia="en-US"/>
    </w:rPr>
  </w:style>
  <w:style w:type="character" w:customStyle="1" w:styleId="KWNormalChar">
    <w:name w:val="K&amp;W Normal Char"/>
    <w:link w:val="KWNormal"/>
    <w:qFormat/>
    <w:rPr>
      <w:rFonts w:ascii="Arial" w:eastAsia="楷体_GB2312" w:hAnsi="Arial" w:cs="Times New Roman"/>
      <w:color w:val="000000"/>
      <w:kern w:val="0"/>
      <w:sz w:val="24"/>
      <w:szCs w:val="20"/>
      <w:lang w:eastAsia="en-US"/>
    </w:rPr>
  </w:style>
  <w:style w:type="character" w:customStyle="1" w:styleId="2b">
    <w:name w:val="正文文本首行缩进 2 字符"/>
    <w:basedOn w:val="afe"/>
    <w:link w:val="2a"/>
    <w:uiPriority w:val="99"/>
    <w:qFormat/>
    <w:rPr>
      <w:rFonts w:ascii="Times New Roman" w:eastAsia="宋体" w:hAnsi="Times New Roman" w:cs="Times New Roman"/>
      <w:szCs w:val="24"/>
      <w:lang w:val="zh-CN" w:eastAsia="zh-CN"/>
    </w:rPr>
  </w:style>
  <w:style w:type="character" w:customStyle="1" w:styleId="3Char10">
    <w:name w:val="正文文本缩进 3 Char1"/>
    <w:qFormat/>
    <w:rPr>
      <w:rFonts w:ascii="宋体" w:eastAsia="宋体" w:hAnsi="宋体" w:cs="Times New Roman"/>
      <w:sz w:val="24"/>
      <w:szCs w:val="24"/>
    </w:rPr>
  </w:style>
  <w:style w:type="character" w:customStyle="1" w:styleId="afff7">
    <w:name w:val="信息标题 字符"/>
    <w:basedOn w:val="a2"/>
    <w:link w:val="afff6"/>
    <w:qFormat/>
    <w:rPr>
      <w:rFonts w:ascii="Times New Roman" w:eastAsia="宋体" w:hAnsi="Times New Roman" w:cs="Arial"/>
      <w:sz w:val="24"/>
      <w:szCs w:val="24"/>
      <w:shd w:val="pct20" w:color="auto" w:fill="auto"/>
    </w:rPr>
  </w:style>
  <w:style w:type="character" w:customStyle="1" w:styleId="Char21">
    <w:name w:val="标题 Char2"/>
    <w:qFormat/>
    <w:rPr>
      <w:rFonts w:ascii="宋体" w:eastAsia="宋体" w:hAnsi="Times New Roman" w:cs="Arial"/>
      <w:b/>
      <w:bCs/>
      <w:kern w:val="28"/>
      <w:sz w:val="32"/>
      <w:szCs w:val="32"/>
    </w:rPr>
  </w:style>
  <w:style w:type="table" w:customStyle="1" w:styleId="76">
    <w:name w:val="网格型7"/>
    <w:basedOn w:val="a3"/>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彩色型 21"/>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5f">
    <w:name w:val="典雅型5"/>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9">
    <w:name w:val="简明型 11"/>
    <w:basedOn w:val="a3"/>
    <w:qFormat/>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0">
    <w:name w:val="网格型 55"/>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10">
    <w:name w:val="网格型 81"/>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character" w:customStyle="1" w:styleId="bfont">
    <w:name w:val="bfont"/>
    <w:qFormat/>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0"/>
    <w:qFormat/>
    <w:pPr>
      <w:spacing w:after="160" w:line="240" w:lineRule="exact"/>
      <w:jc w:val="both"/>
    </w:pPr>
    <w:rPr>
      <w:rFonts w:ascii="Verdana" w:eastAsia="Times New Roman" w:hAnsi="Verdana" w:cs="Arial"/>
      <w:sz w:val="22"/>
      <w:szCs w:val="20"/>
      <w:lang w:eastAsia="en-US"/>
    </w:rPr>
  </w:style>
  <w:style w:type="character" w:customStyle="1" w:styleId="pagetitle">
    <w:name w:val="pagetitle"/>
    <w:qFormat/>
  </w:style>
  <w:style w:type="paragraph" w:customStyle="1" w:styleId="Char70">
    <w:name w:val="Char7"/>
    <w:basedOn w:val="a0"/>
    <w:qFormat/>
    <w:pPr>
      <w:spacing w:after="160" w:line="240" w:lineRule="exact"/>
      <w:jc w:val="both"/>
    </w:pPr>
    <w:rPr>
      <w:rFonts w:ascii="Verdana" w:eastAsia="Times New Roman" w:hAnsi="Verdana" w:cs="Arial"/>
      <w:sz w:val="22"/>
      <w:szCs w:val="20"/>
      <w:lang w:eastAsia="en-US"/>
    </w:rPr>
  </w:style>
  <w:style w:type="paragraph" w:customStyle="1" w:styleId="CM31">
    <w:name w:val="CM31"/>
    <w:basedOn w:val="a0"/>
    <w:next w:val="a0"/>
    <w:qFormat/>
    <w:pPr>
      <w:widowControl w:val="0"/>
      <w:autoSpaceDE w:val="0"/>
      <w:autoSpaceDN w:val="0"/>
      <w:adjustRightInd w:val="0"/>
      <w:spacing w:after="70"/>
    </w:pPr>
    <w:rPr>
      <w:rFonts w:ascii=".." w:eastAsia=".." w:hAnsi="Times New Roman" w:cs="Times New Roman"/>
    </w:rPr>
  </w:style>
  <w:style w:type="paragraph" w:customStyle="1" w:styleId="affffffff5">
    <w:name w:val="插入表格"/>
    <w:next w:val="a0"/>
    <w:qFormat/>
    <w:pPr>
      <w:widowControl w:val="0"/>
      <w:adjustRightInd w:val="0"/>
      <w:spacing w:before="360" w:after="400" w:line="312" w:lineRule="atLeast"/>
      <w:jc w:val="center"/>
      <w:textAlignment w:val="baseline"/>
    </w:pPr>
    <w:rPr>
      <w:rFonts w:ascii="宋体" w:eastAsia="宋体" w:hAnsi="Times New Roman" w:cs="Times New Roman"/>
      <w:spacing w:val="18"/>
      <w:sz w:val="24"/>
    </w:rPr>
  </w:style>
  <w:style w:type="paragraph" w:customStyle="1" w:styleId="Subhead-1">
    <w:name w:val="Subhead-1"/>
    <w:basedOn w:val="a0"/>
    <w:qFormat/>
    <w:pPr>
      <w:widowControl w:val="0"/>
      <w:tabs>
        <w:tab w:val="left" w:pos="454"/>
        <w:tab w:val="left" w:pos="907"/>
        <w:tab w:val="left" w:pos="1361"/>
        <w:tab w:val="left" w:pos="1814"/>
      </w:tabs>
      <w:spacing w:line="310" w:lineRule="exact"/>
      <w:jc w:val="both"/>
    </w:pPr>
    <w:rPr>
      <w:rFonts w:ascii="Times" w:eastAsia="PMingLiU" w:hAnsi="Times" w:cs="Times New Roman"/>
      <w:b/>
      <w:bCs/>
      <w:i/>
      <w:kern w:val="2"/>
      <w:sz w:val="21"/>
      <w:lang w:eastAsia="zh-TW"/>
    </w:rPr>
  </w:style>
  <w:style w:type="paragraph" w:customStyle="1" w:styleId="KWheading2">
    <w:name w:val="K&amp;W heading 2"/>
    <w:basedOn w:val="a0"/>
    <w:next w:val="a0"/>
    <w:link w:val="KWheading2Char"/>
    <w:qFormat/>
    <w:pPr>
      <w:keepNext/>
      <w:widowControl w:val="0"/>
      <w:tabs>
        <w:tab w:val="left" w:pos="567"/>
        <w:tab w:val="left" w:pos="1050"/>
      </w:tabs>
      <w:adjustRightInd w:val="0"/>
      <w:spacing w:after="280" w:line="280" w:lineRule="exact"/>
      <w:ind w:left="1050" w:hanging="630"/>
      <w:jc w:val="both"/>
      <w:textAlignment w:val="baseline"/>
      <w:outlineLvl w:val="1"/>
    </w:pPr>
    <w:rPr>
      <w:rFonts w:ascii="Arial" w:eastAsia="楷体_GB2312" w:hAnsi="Arial" w:cs="Times New Roman"/>
      <w:sz w:val="20"/>
      <w:szCs w:val="20"/>
      <w:lang w:eastAsia="en-US"/>
    </w:rPr>
  </w:style>
  <w:style w:type="character" w:customStyle="1" w:styleId="KWheading2Char">
    <w:name w:val="K&amp;W heading 2 Char"/>
    <w:link w:val="KWheading2"/>
    <w:qFormat/>
    <w:locked/>
    <w:rPr>
      <w:rFonts w:ascii="Arial" w:eastAsia="楷体_GB2312" w:hAnsi="Arial" w:cs="Times New Roman"/>
      <w:kern w:val="0"/>
      <w:sz w:val="20"/>
      <w:szCs w:val="20"/>
      <w:lang w:eastAsia="en-US"/>
    </w:rPr>
  </w:style>
  <w:style w:type="paragraph" w:customStyle="1" w:styleId="-11">
    <w:name w:val="彩色列表 - 强调文字颜色 11"/>
    <w:basedOn w:val="a0"/>
    <w:qFormat/>
    <w:pPr>
      <w:widowControl w:val="0"/>
      <w:ind w:firstLineChars="200" w:firstLine="420"/>
      <w:jc w:val="both"/>
    </w:pPr>
    <w:rPr>
      <w:rFonts w:ascii="Times New Roman" w:eastAsia="楷体_GB2312" w:hAnsi="Times New Roman" w:cs="Times New Roman"/>
      <w:kern w:val="2"/>
    </w:rPr>
  </w:style>
  <w:style w:type="paragraph" w:customStyle="1" w:styleId="KWheading4">
    <w:name w:val="K&amp;W heading 4"/>
    <w:basedOn w:val="a0"/>
    <w:link w:val="KWheading4Char"/>
    <w:qFormat/>
    <w:pPr>
      <w:tabs>
        <w:tab w:val="left" w:pos="1134"/>
      </w:tabs>
      <w:spacing w:after="280" w:line="280" w:lineRule="exact"/>
      <w:ind w:left="1134" w:hanging="567"/>
      <w:jc w:val="both"/>
      <w:outlineLvl w:val="3"/>
    </w:pPr>
    <w:rPr>
      <w:rFonts w:ascii="Arial" w:eastAsia="楷体_GB2312" w:hAnsi="Arial" w:cs="Times New Roman"/>
      <w:sz w:val="20"/>
      <w:szCs w:val="20"/>
      <w:lang w:eastAsia="en-US"/>
    </w:rPr>
  </w:style>
  <w:style w:type="character" w:customStyle="1" w:styleId="KWheading4Char">
    <w:name w:val="K&amp;W heading 4 Char"/>
    <w:link w:val="KWheading4"/>
    <w:qFormat/>
    <w:rPr>
      <w:rFonts w:ascii="Arial" w:eastAsia="楷体_GB2312" w:hAnsi="Arial" w:cs="Times New Roman"/>
      <w:kern w:val="0"/>
      <w:sz w:val="20"/>
      <w:szCs w:val="20"/>
      <w:lang w:eastAsia="en-US"/>
    </w:rPr>
  </w:style>
  <w:style w:type="paragraph" w:customStyle="1" w:styleId="KWheading5">
    <w:name w:val="K&amp;W heading 5"/>
    <w:basedOn w:val="a0"/>
    <w:qFormat/>
    <w:pPr>
      <w:tabs>
        <w:tab w:val="left" w:pos="1701"/>
      </w:tabs>
      <w:spacing w:after="280" w:line="280" w:lineRule="exact"/>
      <w:ind w:left="1701" w:hanging="567"/>
      <w:jc w:val="both"/>
      <w:outlineLvl w:val="4"/>
    </w:pPr>
    <w:rPr>
      <w:rFonts w:ascii="Arial" w:eastAsia="楷体_GB2312" w:hAnsi="Arial" w:cs="Times New Roman"/>
      <w:sz w:val="20"/>
      <w:szCs w:val="20"/>
      <w:lang w:eastAsia="en-US"/>
    </w:rPr>
  </w:style>
  <w:style w:type="character" w:customStyle="1" w:styleId="CharChar20">
    <w:name w:val="Char Char20"/>
    <w:qFormat/>
    <w:rPr>
      <w:rFonts w:eastAsia="宋体"/>
      <w:kern w:val="2"/>
      <w:sz w:val="21"/>
      <w:szCs w:val="24"/>
      <w:lang w:val="en-US" w:eastAsia="zh-CN" w:bidi="ar-SA"/>
    </w:rPr>
  </w:style>
  <w:style w:type="character" w:customStyle="1" w:styleId="ft211">
    <w:name w:val="ft211"/>
    <w:qFormat/>
    <w:rPr>
      <w:rFonts w:ascii="Times" w:hAnsi="Times" w:cs="Times" w:hint="default"/>
      <w:color w:val="000000"/>
      <w:spacing w:val="15"/>
      <w:sz w:val="24"/>
      <w:szCs w:val="24"/>
    </w:rPr>
  </w:style>
  <w:style w:type="paragraph" w:customStyle="1" w:styleId="c">
    <w:name w:val="c"/>
    <w:qFormat/>
    <w:pPr>
      <w:widowControl w:val="0"/>
      <w:autoSpaceDE w:val="0"/>
      <w:autoSpaceDN w:val="0"/>
      <w:adjustRightInd w:val="0"/>
      <w:jc w:val="both"/>
    </w:pPr>
    <w:rPr>
      <w:rFonts w:ascii="Arial" w:eastAsia="宋体" w:hAnsi="Arial" w:cs="Times New Roman"/>
      <w:sz w:val="24"/>
      <w:szCs w:val="24"/>
    </w:rPr>
  </w:style>
  <w:style w:type="paragraph" w:customStyle="1" w:styleId="kwheading1">
    <w:name w:val="kwheading1"/>
    <w:basedOn w:val="a0"/>
    <w:qFormat/>
    <w:pPr>
      <w:spacing w:before="100" w:beforeAutospacing="1" w:after="100" w:afterAutospacing="1"/>
    </w:pPr>
  </w:style>
  <w:style w:type="paragraph" w:customStyle="1" w:styleId="kwbodytext0">
    <w:name w:val="kwbodytext"/>
    <w:basedOn w:val="a0"/>
    <w:qFormat/>
    <w:pPr>
      <w:spacing w:before="100" w:beforeAutospacing="1" w:after="100" w:afterAutospacing="1"/>
    </w:pPr>
  </w:style>
  <w:style w:type="paragraph" w:customStyle="1" w:styleId="KWheading10">
    <w:name w:val="K&amp;W heading 1"/>
    <w:basedOn w:val="KWNormal"/>
    <w:next w:val="KWBodytext"/>
    <w:qFormat/>
    <w:pPr>
      <w:keepNext/>
      <w:widowControl w:val="0"/>
      <w:tabs>
        <w:tab w:val="left" w:pos="1407"/>
      </w:tabs>
      <w:spacing w:after="280" w:line="280" w:lineRule="exact"/>
      <w:ind w:left="1407" w:hanging="420"/>
      <w:outlineLvl w:val="0"/>
    </w:pPr>
    <w:rPr>
      <w:b/>
      <w:color w:val="auto"/>
    </w:rPr>
  </w:style>
  <w:style w:type="paragraph" w:customStyle="1" w:styleId="KWheading3">
    <w:name w:val="K&amp;W heading 3"/>
    <w:basedOn w:val="KWNormal"/>
    <w:qFormat/>
    <w:pPr>
      <w:tabs>
        <w:tab w:val="left" w:pos="567"/>
      </w:tabs>
      <w:spacing w:after="280" w:line="280" w:lineRule="exact"/>
      <w:ind w:left="567" w:hanging="567"/>
      <w:outlineLvl w:val="2"/>
    </w:pPr>
    <w:rPr>
      <w:color w:val="auto"/>
      <w:sz w:val="20"/>
    </w:rPr>
  </w:style>
  <w:style w:type="paragraph" w:customStyle="1" w:styleId="content">
    <w:name w:val="content"/>
    <w:basedOn w:val="a0"/>
    <w:qFormat/>
    <w:pPr>
      <w:spacing w:line="300" w:lineRule="auto"/>
      <w:jc w:val="both"/>
    </w:pPr>
    <w:rPr>
      <w:rFonts w:ascii="华文仿宋" w:eastAsia="华文仿宋" w:hAnsi="华文仿宋"/>
      <w:sz w:val="32"/>
      <w:szCs w:val="32"/>
    </w:rPr>
  </w:style>
  <w:style w:type="paragraph" w:customStyle="1" w:styleId="Body">
    <w:name w:val="Body"/>
    <w:basedOn w:val="a0"/>
    <w:qFormat/>
    <w:pPr>
      <w:widowControl w:val="0"/>
      <w:spacing w:after="240"/>
      <w:jc w:val="both"/>
    </w:pPr>
    <w:rPr>
      <w:rFonts w:ascii="Times New Roman" w:hAnsi="Times New Roman" w:cs="Times New Roman"/>
      <w:kern w:val="2"/>
      <w:sz w:val="21"/>
    </w:rPr>
  </w:style>
  <w:style w:type="paragraph" w:customStyle="1" w:styleId="BodyTextNoIndent">
    <w:name w:val="Body Text No Indent"/>
    <w:basedOn w:val="ac"/>
    <w:qFormat/>
    <w:pPr>
      <w:spacing w:after="240"/>
    </w:pPr>
    <w:rPr>
      <w:rFonts w:eastAsia="宋体"/>
      <w:lang w:val="en-US"/>
    </w:rPr>
  </w:style>
  <w:style w:type="character" w:customStyle="1" w:styleId="KW">
    <w:name w:val="K&amp;W"/>
    <w:semiHidden/>
    <w:qFormat/>
    <w:rPr>
      <w:rFonts w:ascii="Arial" w:hAnsi="Arial" w:cs="Arial"/>
      <w:color w:val="004473"/>
      <w:sz w:val="18"/>
      <w:szCs w:val="18"/>
    </w:rPr>
  </w:style>
  <w:style w:type="paragraph" w:customStyle="1" w:styleId="KWHeading">
    <w:name w:val="K&amp;W Heading"/>
    <w:basedOn w:val="KWheading10"/>
    <w:next w:val="KWBodytext"/>
    <w:qFormat/>
    <w:pPr>
      <w:tabs>
        <w:tab w:val="clear" w:pos="1407"/>
      </w:tabs>
      <w:ind w:left="0" w:firstLine="0"/>
    </w:pPr>
  </w:style>
  <w:style w:type="paragraph" w:customStyle="1" w:styleId="KWListBullet">
    <w:name w:val="K&amp;W List Bullet"/>
    <w:basedOn w:val="KWNormal"/>
    <w:qFormat/>
    <w:pPr>
      <w:numPr>
        <w:numId w:val="11"/>
      </w:numPr>
      <w:tabs>
        <w:tab w:val="clear" w:pos="1134"/>
      </w:tabs>
      <w:spacing w:after="240" w:line="240" w:lineRule="atLeast"/>
      <w:ind w:left="840" w:hanging="360"/>
    </w:pPr>
    <w:rPr>
      <w:sz w:val="20"/>
    </w:rPr>
  </w:style>
  <w:style w:type="paragraph" w:customStyle="1" w:styleId="KWListNumber">
    <w:name w:val="K&amp;W List Number"/>
    <w:basedOn w:val="KWNormal"/>
    <w:qFormat/>
    <w:pPr>
      <w:numPr>
        <w:numId w:val="12"/>
      </w:numPr>
      <w:tabs>
        <w:tab w:val="clear" w:pos="1134"/>
      </w:tabs>
      <w:spacing w:after="240" w:line="240" w:lineRule="atLeast"/>
      <w:ind w:left="840" w:hanging="360"/>
    </w:pPr>
    <w:rPr>
      <w:sz w:val="20"/>
    </w:rPr>
  </w:style>
  <w:style w:type="paragraph" w:customStyle="1" w:styleId="KWSubheading">
    <w:name w:val="K&amp;W Subheading"/>
    <w:basedOn w:val="KWheading2"/>
    <w:next w:val="KWBodytext"/>
    <w:qFormat/>
    <w:pPr>
      <w:tabs>
        <w:tab w:val="clear" w:pos="567"/>
        <w:tab w:val="clear" w:pos="1050"/>
      </w:tabs>
      <w:adjustRightInd/>
      <w:ind w:left="0" w:firstLine="0"/>
      <w:textAlignment w:val="auto"/>
    </w:pPr>
    <w:rPr>
      <w:kern w:val="28"/>
    </w:rPr>
  </w:style>
  <w:style w:type="table" w:customStyle="1" w:styleId="KWTable">
    <w:name w:val="K&amp;W Table"/>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paragraph" w:customStyle="1" w:styleId="Table0">
    <w:name w:val="Table"/>
    <w:basedOn w:val="a0"/>
    <w:qFormat/>
    <w:pPr>
      <w:widowControl w:val="0"/>
      <w:spacing w:before="120" w:after="120" w:line="240" w:lineRule="atLeast"/>
      <w:jc w:val="both"/>
    </w:pPr>
    <w:rPr>
      <w:rFonts w:ascii="Times New Roman" w:hAnsi="Times New Roman" w:cs="Times New Roman"/>
      <w:kern w:val="2"/>
      <w:sz w:val="21"/>
    </w:rPr>
  </w:style>
  <w:style w:type="paragraph" w:customStyle="1" w:styleId="Char1CharCharCharCharChar1Char">
    <w:name w:val="Char1 Char Char Char Char Char1 Char"/>
    <w:basedOn w:val="a0"/>
    <w:qFormat/>
    <w:pPr>
      <w:spacing w:after="160" w:line="240" w:lineRule="exact"/>
    </w:pPr>
    <w:rPr>
      <w:rFonts w:ascii="Verdana" w:hAnsi="Verdana" w:cs="Times New Roman"/>
      <w:sz w:val="20"/>
      <w:szCs w:val="20"/>
      <w:lang w:eastAsia="en-US"/>
    </w:rPr>
  </w:style>
  <w:style w:type="character" w:customStyle="1" w:styleId="CharChar10">
    <w:name w:val="Char Char10"/>
    <w:qFormat/>
    <w:rPr>
      <w:kern w:val="2"/>
      <w:sz w:val="21"/>
      <w:szCs w:val="24"/>
    </w:rPr>
  </w:style>
  <w:style w:type="character" w:customStyle="1" w:styleId="CharChar25">
    <w:name w:val="Char Char25"/>
    <w:qFormat/>
    <w:rPr>
      <w:rFonts w:ascii="Courier New" w:eastAsia="宋体" w:hAnsi="Courier New"/>
      <w:sz w:val="21"/>
      <w:lang w:val="en-US" w:eastAsia="zh-CN" w:bidi="ar-SA"/>
    </w:rPr>
  </w:style>
  <w:style w:type="paragraph" w:customStyle="1" w:styleId="Char1CharCharCharCharChar1Char2">
    <w:name w:val="Char1 Char Char Char Char Char1 Char2"/>
    <w:basedOn w:val="a0"/>
    <w:qFormat/>
    <w:pPr>
      <w:spacing w:after="160" w:line="240" w:lineRule="exact"/>
    </w:pPr>
    <w:rPr>
      <w:rFonts w:ascii="Verdana" w:hAnsi="Verdana" w:cs="Times New Roman"/>
      <w:sz w:val="20"/>
      <w:szCs w:val="20"/>
      <w:lang w:eastAsia="en-US"/>
    </w:rPr>
  </w:style>
  <w:style w:type="character" w:customStyle="1" w:styleId="FooterCharChar">
    <w:name w:val="Footer Char Char"/>
    <w:qFormat/>
    <w:locked/>
    <w:rPr>
      <w:rFonts w:ascii="Arial" w:eastAsia="宋体" w:hAnsi="Arial" w:cs="Times New Roman"/>
      <w:sz w:val="18"/>
    </w:rPr>
  </w:style>
  <w:style w:type="paragraph" w:customStyle="1" w:styleId="1ff2">
    <w:name w:val="标题1"/>
    <w:basedOn w:val="a0"/>
    <w:next w:val="a0"/>
    <w:qFormat/>
    <w:pPr>
      <w:spacing w:after="240"/>
      <w:jc w:val="center"/>
    </w:pPr>
    <w:rPr>
      <w:rFonts w:ascii="Times New Roman Bold" w:eastAsia="PMingLiU" w:hAnsi="Times New Roman Bold" w:cs="Times New Roman"/>
      <w:b/>
      <w:kern w:val="2"/>
      <w:sz w:val="21"/>
      <w:szCs w:val="22"/>
      <w:lang w:eastAsia="zh-TW"/>
    </w:rPr>
  </w:style>
  <w:style w:type="paragraph" w:customStyle="1" w:styleId="-21">
    <w:name w:val="浅色底纹 - 强调文字颜色 21"/>
    <w:basedOn w:val="a0"/>
    <w:next w:val="a0"/>
    <w:link w:val="-2Char"/>
    <w:uiPriority w:val="30"/>
    <w:qFormat/>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1"/>
    </w:rPr>
  </w:style>
  <w:style w:type="character" w:customStyle="1" w:styleId="-2Char">
    <w:name w:val="浅色底纹 - 强调文字颜色 2 Char"/>
    <w:link w:val="-21"/>
    <w:uiPriority w:val="30"/>
    <w:qFormat/>
    <w:rPr>
      <w:rFonts w:ascii="Times New Roman" w:eastAsia="宋体" w:hAnsi="Times New Roman" w:cs="Times New Roman"/>
      <w:b/>
      <w:bCs/>
      <w:i/>
      <w:iCs/>
      <w:color w:val="4F81BD"/>
      <w:szCs w:val="24"/>
    </w:rPr>
  </w:style>
  <w:style w:type="paragraph" w:customStyle="1" w:styleId="1ff3">
    <w:name w:val="书目1"/>
    <w:basedOn w:val="a0"/>
    <w:next w:val="a0"/>
    <w:uiPriority w:val="37"/>
    <w:unhideWhenUsed/>
    <w:qFormat/>
    <w:pPr>
      <w:widowControl w:val="0"/>
      <w:jc w:val="both"/>
    </w:pPr>
    <w:rPr>
      <w:rFonts w:ascii="Times New Roman" w:hAnsi="Times New Roman" w:cs="Times New Roman"/>
      <w:kern w:val="2"/>
      <w:sz w:val="21"/>
    </w:rPr>
  </w:style>
  <w:style w:type="paragraph" w:customStyle="1" w:styleId="219">
    <w:name w:val="中等深浅网格 21"/>
    <w:uiPriority w:val="1"/>
    <w:qFormat/>
    <w:pPr>
      <w:widowControl w:val="0"/>
      <w:jc w:val="both"/>
    </w:pPr>
    <w:rPr>
      <w:rFonts w:ascii="Times New Roman" w:eastAsia="宋体" w:hAnsi="Times New Roman" w:cs="Times New Roman"/>
      <w:kern w:val="2"/>
      <w:sz w:val="21"/>
      <w:szCs w:val="24"/>
    </w:rPr>
  </w:style>
  <w:style w:type="paragraph" w:customStyle="1" w:styleId="-110">
    <w:name w:val="彩色网格 - 强调文字颜色 11"/>
    <w:basedOn w:val="a0"/>
    <w:next w:val="a0"/>
    <w:link w:val="-1Char0"/>
    <w:uiPriority w:val="29"/>
    <w:qFormat/>
    <w:pPr>
      <w:widowControl w:val="0"/>
      <w:jc w:val="both"/>
    </w:pPr>
    <w:rPr>
      <w:rFonts w:ascii="Times New Roman" w:hAnsi="Times New Roman" w:cs="Times New Roman"/>
      <w:i/>
      <w:iCs/>
      <w:color w:val="000000"/>
      <w:kern w:val="2"/>
      <w:sz w:val="21"/>
    </w:rPr>
  </w:style>
  <w:style w:type="character" w:customStyle="1" w:styleId="-1Char0">
    <w:name w:val="彩色网格 - 强调文字颜色 1 Char"/>
    <w:link w:val="-110"/>
    <w:uiPriority w:val="29"/>
    <w:qFormat/>
    <w:rPr>
      <w:rFonts w:ascii="Times New Roman" w:eastAsia="宋体" w:hAnsi="Times New Roman" w:cs="Times New Roman"/>
      <w:i/>
      <w:iCs/>
      <w:color w:val="000000"/>
      <w:szCs w:val="24"/>
    </w:rPr>
  </w:style>
  <w:style w:type="paragraph" w:customStyle="1" w:styleId="-111">
    <w:name w:val="彩色底纹 - 强调文字颜色 11"/>
    <w:hidden/>
    <w:uiPriority w:val="99"/>
    <w:qFormat/>
    <w:rPr>
      <w:rFonts w:ascii="Times New Roman" w:eastAsia="宋体" w:hAnsi="Times New Roman" w:cs="Times New Roman"/>
      <w:kern w:val="2"/>
      <w:sz w:val="21"/>
      <w:szCs w:val="24"/>
    </w:rPr>
  </w:style>
  <w:style w:type="paragraph" w:customStyle="1" w:styleId="77">
    <w:name w:val="7正文"/>
    <w:basedOn w:val="a0"/>
    <w:link w:val="7Char0"/>
    <w:qFormat/>
    <w:pPr>
      <w:spacing w:beforeLines="50" w:line="360" w:lineRule="auto"/>
      <w:ind w:firstLineChars="200" w:firstLine="200"/>
      <w:jc w:val="both"/>
    </w:pPr>
    <w:rPr>
      <w:rFonts w:ascii="Arial" w:hAnsi="Arial" w:cs="Times New Roman"/>
      <w:szCs w:val="22"/>
    </w:rPr>
  </w:style>
  <w:style w:type="character" w:customStyle="1" w:styleId="7Char0">
    <w:name w:val="7正文 Char"/>
    <w:link w:val="77"/>
    <w:qFormat/>
    <w:rPr>
      <w:rFonts w:ascii="Arial" w:eastAsia="宋体" w:hAnsi="Arial" w:cs="Times New Roman"/>
      <w:kern w:val="0"/>
      <w:sz w:val="24"/>
    </w:rPr>
  </w:style>
  <w:style w:type="character" w:customStyle="1" w:styleId="z-">
    <w:name w:val="z-窗体顶端 字符"/>
    <w:uiPriority w:val="99"/>
    <w:qFormat/>
    <w:rPr>
      <w:rFonts w:ascii="Arial" w:eastAsia="宋体" w:hAnsi="Arial" w:cs="Times New Roman"/>
      <w:vanish/>
      <w:kern w:val="0"/>
      <w:sz w:val="16"/>
      <w:szCs w:val="16"/>
    </w:rPr>
  </w:style>
  <w:style w:type="table" w:customStyle="1" w:styleId="140">
    <w:name w:val="网格型14"/>
    <w:basedOn w:val="a3"/>
    <w:qFormat/>
    <w:pPr>
      <w:spacing w:before="120" w:after="120" w:line="240" w:lineRule="atLeast"/>
    </w:pPr>
    <w:rPr>
      <w:rFonts w:ascii="Arial" w:eastAsia="宋体" w:hAnsi="Arial" w:cs="Times New Roman"/>
    </w:rPr>
    <w:tblPr/>
  </w:style>
  <w:style w:type="table" w:customStyle="1" w:styleId="21a">
    <w:name w:val="网格型21"/>
    <w:basedOn w:val="a3"/>
    <w:uiPriority w:val="59"/>
    <w:qFormat/>
    <w:pPr>
      <w:spacing w:before="120" w:after="120" w:line="240" w:lineRule="atLeast"/>
    </w:pPr>
    <w:rPr>
      <w:rFonts w:ascii="Arial" w:eastAsia="宋体" w:hAnsi="Arial" w:cs="Times New Roman"/>
    </w:rPr>
    <w:tblPr/>
  </w:style>
  <w:style w:type="table" w:customStyle="1" w:styleId="315">
    <w:name w:val="彩色型 31"/>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
    <w:name w:val="典雅型14"/>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a">
    <w:name w:val="古典型 11"/>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b">
    <w:name w:val="古典型 21"/>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6">
    <w:name w:val="古典型 3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0">
    <w:name w:val="古典型 4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c">
    <w:name w:val="简明型 2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7">
    <w:name w:val="简明型 3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b">
    <w:name w:val="立体型 11"/>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8">
    <w:name w:val="立体型 31"/>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c">
    <w:name w:val="列表型 11"/>
    <w:basedOn w:val="a3"/>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d">
    <w:name w:val="列表型 2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9">
    <w:name w:val="列表型 31"/>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
    <w:name w:val="列表型 4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0">
    <w:name w:val="列表型 71"/>
    <w:basedOn w:val="a3"/>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
    <w:name w:val="列表型 8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ff4">
    <w:name w:val="流行型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d">
    <w:name w:val="竖列型 1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e">
    <w:name w:val="竖列型 2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a">
    <w:name w:val="竖列型 31"/>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
    <w:name w:val="竖列型 4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竖列型 5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3">
    <w:name w:val="网格型 4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0">
    <w:name w:val="网格型 6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e">
    <w:name w:val="网页型 1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
    <w:name w:val="网页型 2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b">
    <w:name w:val="网页型 31"/>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ff5">
    <w:name w:val="专业型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1">
    <w:name w:val="网格型311"/>
    <w:basedOn w:val="a3"/>
    <w:uiPriority w:val="59"/>
    <w:qFormat/>
    <w:pPr>
      <w:spacing w:before="120" w:after="120" w:line="240" w:lineRule="atLeast"/>
    </w:pPr>
    <w:rPr>
      <w:rFonts w:ascii="Arial" w:eastAsia="宋体" w:hAnsi="Arial" w:cs="Times New Roman"/>
    </w:rPr>
    <w:tblPr/>
  </w:style>
  <w:style w:type="table" w:customStyle="1" w:styleId="224">
    <w:name w:val="彩色型 22"/>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0">
    <w:name w:val="彩色型 32"/>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1">
    <w:name w:val="典雅型23"/>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7">
    <w:name w:val="古典型 12"/>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5">
    <w:name w:val="古典型 22"/>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
    <w:name w:val="古典型 32"/>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0">
    <w:name w:val="古典型 42"/>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6">
    <w:name w:val="简明型 22"/>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
    <w:name w:val="简明型 3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8">
    <w:name w:val="立体型 12"/>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3">
    <w:name w:val="立体型 32"/>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9">
    <w:name w:val="列表型 12"/>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7">
    <w:name w:val="列表型 22"/>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4">
    <w:name w:val="列表型 32"/>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
    <w:name w:val="列表型 4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0">
    <w:name w:val="列表型 72"/>
    <w:basedOn w:val="a3"/>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0">
    <w:name w:val="列表型 8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ff7">
    <w:name w:val="流行型2"/>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a">
    <w:name w:val="竖列型 12"/>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8">
    <w:name w:val="竖列型 22"/>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5">
    <w:name w:val="竖列型 32"/>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
    <w:name w:val="竖列型 42"/>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竖列型 52"/>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3">
    <w:name w:val="网格型 42"/>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0">
    <w:name w:val="网格型 6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1">
    <w:name w:val="网格型 82"/>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b">
    <w:name w:val="网页型 12"/>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9">
    <w:name w:val="网页型 22"/>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6">
    <w:name w:val="网页型 32"/>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ff8">
    <w:name w:val="专业型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
    <w:name w:val="Table Normal1"/>
    <w:uiPriority w:v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paragraph" w:customStyle="1" w:styleId="1ff6">
    <w:name w:val="明显引用1"/>
    <w:basedOn w:val="a0"/>
    <w:next w:val="a0"/>
    <w:link w:val="affffffff6"/>
    <w:uiPriority w:val="30"/>
    <w:qFormat/>
    <w:pPr>
      <w:widowControl w:val="0"/>
      <w:pBdr>
        <w:bottom w:val="single" w:sz="4" w:space="4" w:color="4F81BD"/>
      </w:pBdr>
      <w:spacing w:before="200" w:after="280"/>
      <w:ind w:left="936" w:right="936"/>
      <w:jc w:val="both"/>
    </w:pPr>
    <w:rPr>
      <w:rFonts w:ascii="Times New Roman" w:hAnsi="Times New Roman" w:cs="Times New Roman"/>
      <w:b/>
      <w:bCs/>
      <w:i/>
      <w:iCs/>
      <w:color w:val="4F81BD"/>
      <w:kern w:val="2"/>
      <w:sz w:val="21"/>
    </w:rPr>
  </w:style>
  <w:style w:type="character" w:customStyle="1" w:styleId="affffffff6">
    <w:name w:val="明显引用 字符"/>
    <w:link w:val="1ff6"/>
    <w:uiPriority w:val="30"/>
    <w:qFormat/>
    <w:rPr>
      <w:rFonts w:ascii="Times New Roman" w:eastAsia="宋体" w:hAnsi="Times New Roman" w:cs="Times New Roman"/>
      <w:b/>
      <w:bCs/>
      <w:i/>
      <w:iCs/>
      <w:color w:val="4F81BD"/>
      <w:szCs w:val="24"/>
    </w:rPr>
  </w:style>
  <w:style w:type="paragraph" w:customStyle="1" w:styleId="1ff7">
    <w:name w:val="引用1"/>
    <w:basedOn w:val="a0"/>
    <w:next w:val="a0"/>
    <w:link w:val="affffffff7"/>
    <w:uiPriority w:val="29"/>
    <w:qFormat/>
    <w:pPr>
      <w:widowControl w:val="0"/>
      <w:jc w:val="both"/>
    </w:pPr>
    <w:rPr>
      <w:rFonts w:ascii="Times New Roman" w:hAnsi="Times New Roman" w:cs="Times New Roman"/>
      <w:i/>
      <w:iCs/>
      <w:color w:val="000000"/>
      <w:kern w:val="2"/>
      <w:sz w:val="21"/>
    </w:rPr>
  </w:style>
  <w:style w:type="character" w:customStyle="1" w:styleId="affffffff7">
    <w:name w:val="引用 字符"/>
    <w:link w:val="1ff7"/>
    <w:uiPriority w:val="29"/>
    <w:qFormat/>
    <w:rPr>
      <w:rFonts w:ascii="Times New Roman" w:eastAsia="宋体" w:hAnsi="Times New Roman" w:cs="Times New Roman"/>
      <w:i/>
      <w:iCs/>
      <w:color w:val="000000"/>
      <w:szCs w:val="24"/>
    </w:rPr>
  </w:style>
  <w:style w:type="paragraph" w:customStyle="1" w:styleId="CharChar1CharCharCharCharCharCharCharCharCharCharCharCharCharCharCharCharCharCharCharCharCharCharCharCharCharCharCharCharCharCharCharCharCharCharCharCharCharChar1">
    <w:name w:val="Char Char1 Char Char Char Char Char Char Char Char Char Char Char Char Char Char Char Char Char Char Char Char Char Char Char Char Char Char Char Char Char Char Char Char Char Char Char Char Char Char1"/>
    <w:basedOn w:val="a0"/>
    <w:qFormat/>
    <w:pPr>
      <w:spacing w:after="160" w:line="240" w:lineRule="exact"/>
      <w:jc w:val="both"/>
    </w:pPr>
    <w:rPr>
      <w:rFonts w:ascii="Verdana" w:eastAsia="Times New Roman" w:hAnsi="Verdana" w:cs="Arial"/>
      <w:sz w:val="22"/>
      <w:szCs w:val="20"/>
      <w:lang w:eastAsia="en-US"/>
    </w:rPr>
  </w:style>
  <w:style w:type="paragraph" w:customStyle="1" w:styleId="Char60">
    <w:name w:val="Char6"/>
    <w:basedOn w:val="a0"/>
    <w:uiPriority w:val="99"/>
    <w:qFormat/>
    <w:pPr>
      <w:spacing w:after="160" w:line="240" w:lineRule="exact"/>
      <w:jc w:val="both"/>
    </w:pPr>
    <w:rPr>
      <w:rFonts w:ascii="Verdana" w:eastAsia="Times New Roman" w:hAnsi="Verdana" w:cs="Arial"/>
      <w:sz w:val="22"/>
      <w:szCs w:val="20"/>
      <w:lang w:eastAsia="en-US"/>
    </w:rPr>
  </w:style>
  <w:style w:type="character" w:customStyle="1" w:styleId="CharChar19">
    <w:name w:val="Char Char19"/>
    <w:qFormat/>
    <w:rPr>
      <w:rFonts w:eastAsia="宋体"/>
      <w:kern w:val="2"/>
      <w:sz w:val="21"/>
      <w:szCs w:val="24"/>
      <w:lang w:val="en-US" w:eastAsia="zh-CN" w:bidi="ar-SA"/>
    </w:rPr>
  </w:style>
  <w:style w:type="table" w:customStyle="1" w:styleId="KWTable1">
    <w:name w:val="K&amp;W Table1"/>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2">
    <w:name w:val="彩色型 23"/>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0">
    <w:name w:val="彩色型 33"/>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7">
    <w:name w:val="典雅型32"/>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4">
    <w:name w:val="古典型 13"/>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3">
    <w:name w:val="古典型 23"/>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
    <w:name w:val="古典型 33"/>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0">
    <w:name w:val="古典型 43"/>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4">
    <w:name w:val="简明型 23"/>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
    <w:name w:val="简明型 33"/>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5">
    <w:name w:val="立体型 13"/>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3">
    <w:name w:val="立体型 33"/>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6">
    <w:name w:val="列表型 13"/>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5">
    <w:name w:val="列表型 23"/>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4">
    <w:name w:val="列表型 33"/>
    <w:basedOn w:val="a3"/>
    <w:semiHidden/>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
    <w:name w:val="列表型 43"/>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0">
    <w:name w:val="列表型 73"/>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0">
    <w:name w:val="列表型 83"/>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ff0">
    <w:name w:val="流行型3"/>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7">
    <w:name w:val="竖列型 13"/>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6">
    <w:name w:val="竖列型 23"/>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5">
    <w:name w:val="竖列型 33"/>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
    <w:name w:val="竖列型 43"/>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竖列型 53"/>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3">
    <w:name w:val="网格型 43"/>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0">
    <w:name w:val="网格型 63"/>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1">
    <w:name w:val="网格型 83"/>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8">
    <w:name w:val="网页型 13"/>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7">
    <w:name w:val="网页型 23"/>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6">
    <w:name w:val="网页型 33"/>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ff1">
    <w:name w:val="专业型3"/>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CharChar24">
    <w:name w:val="Char Char24"/>
    <w:qFormat/>
    <w:rPr>
      <w:rFonts w:ascii="Courier New" w:eastAsia="宋体" w:hAnsi="Courier New"/>
      <w:sz w:val="21"/>
      <w:lang w:val="en-US" w:eastAsia="zh-CN" w:bidi="ar-SA"/>
    </w:rPr>
  </w:style>
  <w:style w:type="paragraph" w:customStyle="1" w:styleId="Char1CharCharCharCharChar1Char1">
    <w:name w:val="Char1 Char Char Char Char Char1 Char1"/>
    <w:basedOn w:val="a0"/>
    <w:qFormat/>
    <w:pPr>
      <w:spacing w:after="160" w:line="240" w:lineRule="exact"/>
    </w:pPr>
    <w:rPr>
      <w:rFonts w:ascii="Verdana" w:hAnsi="Verdana" w:cs="Times New Roman"/>
      <w:sz w:val="20"/>
      <w:szCs w:val="20"/>
      <w:lang w:eastAsia="en-US"/>
    </w:rPr>
  </w:style>
  <w:style w:type="character" w:customStyle="1" w:styleId="CharChar101">
    <w:name w:val="Char Char101"/>
    <w:qFormat/>
    <w:rPr>
      <w:kern w:val="2"/>
      <w:sz w:val="21"/>
      <w:szCs w:val="24"/>
    </w:rPr>
  </w:style>
  <w:style w:type="paragraph" w:customStyle="1" w:styleId="TOCHeading1">
    <w:name w:val="TOC Heading1"/>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Bibliography1">
    <w:name w:val="Bibliography1"/>
    <w:basedOn w:val="a0"/>
    <w:next w:val="a0"/>
    <w:uiPriority w:val="37"/>
    <w:unhideWhenUsed/>
    <w:qFormat/>
    <w:pPr>
      <w:widowControl w:val="0"/>
      <w:jc w:val="both"/>
    </w:pPr>
    <w:rPr>
      <w:rFonts w:ascii="Times New Roman" w:hAnsi="Times New Roman" w:cs="Times New Roman"/>
      <w:kern w:val="2"/>
      <w:sz w:val="21"/>
    </w:rPr>
  </w:style>
  <w:style w:type="character" w:customStyle="1" w:styleId="3Char11">
    <w:name w:val="标题 3 Char1"/>
    <w:uiPriority w:val="99"/>
    <w:qFormat/>
    <w:rPr>
      <w:rFonts w:ascii="宋体" w:eastAsia="宋体" w:hAnsi="宋体" w:hint="eastAsia"/>
      <w:b/>
      <w:bCs/>
      <w:kern w:val="2"/>
      <w:sz w:val="32"/>
      <w:szCs w:val="32"/>
    </w:rPr>
  </w:style>
  <w:style w:type="character" w:customStyle="1" w:styleId="4Char2">
    <w:name w:val="标题 4 Char2"/>
    <w:semiHidden/>
    <w:qFormat/>
    <w:rPr>
      <w:rFonts w:ascii="Calibri Light" w:eastAsia="宋体" w:hAnsi="Calibri Light" w:cs="Times New Roman" w:hint="default"/>
      <w:b/>
      <w:bCs/>
      <w:kern w:val="2"/>
      <w:sz w:val="28"/>
      <w:szCs w:val="28"/>
    </w:rPr>
  </w:style>
  <w:style w:type="character" w:customStyle="1" w:styleId="5Char1">
    <w:name w:val="标题 5 Char1"/>
    <w:uiPriority w:val="99"/>
    <w:semiHidden/>
    <w:qFormat/>
    <w:locked/>
    <w:rPr>
      <w:rFonts w:ascii="宋体" w:eastAsia="宋体" w:hAnsi="宋体" w:hint="eastAsia"/>
      <w:b/>
      <w:bCs/>
      <w:spacing w:val="-4"/>
      <w:kern w:val="28"/>
      <w:sz w:val="24"/>
      <w:szCs w:val="24"/>
      <w:lang w:bidi="he-IL"/>
    </w:rPr>
  </w:style>
  <w:style w:type="character" w:customStyle="1" w:styleId="6Char1">
    <w:name w:val="标题 6 Char1"/>
    <w:semiHidden/>
    <w:qFormat/>
    <w:locked/>
    <w:rPr>
      <w:rFonts w:ascii="仿宋_GB2312" w:eastAsia="仿宋_GB2312" w:hint="eastAsia"/>
      <w:i/>
      <w:spacing w:val="-4"/>
      <w:kern w:val="28"/>
      <w:sz w:val="28"/>
      <w:szCs w:val="28"/>
      <w:lang w:bidi="he-IL"/>
    </w:rPr>
  </w:style>
  <w:style w:type="character" w:customStyle="1" w:styleId="7Char1">
    <w:name w:val="标题 7 Char1"/>
    <w:semiHidden/>
    <w:qFormat/>
    <w:rPr>
      <w:rFonts w:ascii="宋体" w:eastAsia="宋体" w:hAnsi="宋体" w:hint="eastAsia"/>
      <w:bCs/>
      <w:sz w:val="24"/>
      <w:szCs w:val="24"/>
      <w:lang w:val="en-US" w:eastAsia="zh-CN" w:bidi="ar-SA"/>
    </w:rPr>
  </w:style>
  <w:style w:type="character" w:customStyle="1" w:styleId="8Char1">
    <w:name w:val="标题 8 Char1"/>
    <w:qFormat/>
    <w:locked/>
    <w:rPr>
      <w:rFonts w:ascii="宋体" w:eastAsia="楷体_GB2312" w:hAnsi="宋体" w:hint="eastAsia"/>
      <w:spacing w:val="-4"/>
      <w:kern w:val="28"/>
      <w:sz w:val="24"/>
      <w:lang w:bidi="he-IL"/>
    </w:rPr>
  </w:style>
  <w:style w:type="character" w:customStyle="1" w:styleId="9Char1">
    <w:name w:val="标题 9 Char1"/>
    <w:qFormat/>
    <w:locked/>
    <w:rPr>
      <w:rFonts w:ascii="宋体" w:eastAsia="楷体_GB2312" w:hAnsi="宋体" w:hint="eastAsia"/>
      <w:spacing w:val="-4"/>
      <w:kern w:val="28"/>
      <w:sz w:val="24"/>
      <w:lang w:bidi="he-IL"/>
    </w:rPr>
  </w:style>
  <w:style w:type="character" w:customStyle="1" w:styleId="Char15">
    <w:name w:val="页脚 Char1"/>
    <w:uiPriority w:val="99"/>
    <w:qFormat/>
    <w:rPr>
      <w:kern w:val="2"/>
      <w:sz w:val="18"/>
      <w:szCs w:val="18"/>
    </w:rPr>
  </w:style>
  <w:style w:type="character" w:customStyle="1" w:styleId="Char16">
    <w:name w:val="正文文本 Char1"/>
    <w:qFormat/>
    <w:rPr>
      <w:kern w:val="2"/>
      <w:sz w:val="21"/>
      <w:szCs w:val="24"/>
    </w:rPr>
  </w:style>
  <w:style w:type="character" w:customStyle="1" w:styleId="Char17">
    <w:name w:val="纯文本 Char1"/>
    <w:uiPriority w:val="35"/>
    <w:qFormat/>
    <w:locked/>
    <w:rPr>
      <w:rFonts w:ascii="Courier New" w:hAnsi="Courier New" w:cs="Courier New" w:hint="default"/>
      <w:sz w:val="21"/>
    </w:rPr>
  </w:style>
  <w:style w:type="paragraph" w:customStyle="1" w:styleId="1ff8">
    <w:name w:val="文章标题1"/>
    <w:basedOn w:val="1"/>
    <w:uiPriority w:val="99"/>
    <w:qFormat/>
    <w:pPr>
      <w:widowControl/>
      <w:tabs>
        <w:tab w:val="left" w:pos="567"/>
      </w:tabs>
      <w:spacing w:before="0" w:after="0" w:line="360" w:lineRule="auto"/>
      <w:ind w:left="567" w:hanging="567"/>
      <w:jc w:val="center"/>
    </w:pPr>
    <w:rPr>
      <w:rFonts w:ascii="黑体" w:eastAsia="黑体" w:hAnsi="Arial" w:cs="Arial"/>
      <w:color w:val="000000"/>
      <w:kern w:val="36"/>
      <w:sz w:val="30"/>
      <w:szCs w:val="20"/>
    </w:rPr>
  </w:style>
  <w:style w:type="paragraph" w:customStyle="1" w:styleId="1ff9">
    <w:name w:val="普通(网站)1"/>
    <w:basedOn w:val="a0"/>
    <w:uiPriority w:val="99"/>
    <w:qFormat/>
    <w:pPr>
      <w:spacing w:before="100" w:after="100"/>
    </w:pPr>
    <w:rPr>
      <w:rFonts w:ascii="Arial Unicode MS" w:eastAsia="Arial Unicode MS" w:hAnsi="Arial Unicode MS" w:cs="Times New Roman"/>
      <w:szCs w:val="20"/>
    </w:rPr>
  </w:style>
  <w:style w:type="paragraph" w:customStyle="1" w:styleId="CharCharCharCharChar">
    <w:name w:val="Char Char Char Char Char"/>
    <w:basedOn w:val="a0"/>
    <w:uiPriority w:val="99"/>
    <w:qFormat/>
    <w:pPr>
      <w:spacing w:after="160" w:line="240" w:lineRule="exact"/>
    </w:pPr>
    <w:rPr>
      <w:rFonts w:ascii="Verdana" w:hAnsi="Verdana" w:cs="Times New Roman"/>
      <w:sz w:val="20"/>
      <w:szCs w:val="20"/>
      <w:lang w:eastAsia="en-US"/>
    </w:rPr>
  </w:style>
  <w:style w:type="character" w:customStyle="1" w:styleId="Charff1">
    <w:name w:val="报告书正文 Char"/>
    <w:link w:val="affffffff8"/>
    <w:qFormat/>
    <w:locked/>
    <w:rPr>
      <w:sz w:val="24"/>
      <w:szCs w:val="24"/>
    </w:rPr>
  </w:style>
  <w:style w:type="paragraph" w:customStyle="1" w:styleId="affffffff8">
    <w:name w:val="报告书正文"/>
    <w:basedOn w:val="a0"/>
    <w:link w:val="Charff1"/>
    <w:qFormat/>
    <w:pPr>
      <w:widowControl w:val="0"/>
      <w:spacing w:beforeLines="50" w:line="360" w:lineRule="auto"/>
      <w:ind w:firstLineChars="200" w:firstLine="200"/>
      <w:jc w:val="both"/>
    </w:pPr>
    <w:rPr>
      <w:rFonts w:asciiTheme="minorHAnsi" w:eastAsiaTheme="minorEastAsia" w:hAnsiTheme="minorHAnsi" w:cstheme="minorBidi"/>
      <w:kern w:val="2"/>
    </w:rPr>
  </w:style>
  <w:style w:type="paragraph" w:customStyle="1" w:styleId="affffffff9">
    <w:name w:val="正文格式"/>
    <w:basedOn w:val="a0"/>
    <w:uiPriority w:val="99"/>
    <w:qFormat/>
    <w:pPr>
      <w:widowControl w:val="0"/>
      <w:spacing w:line="360" w:lineRule="auto"/>
      <w:ind w:firstLineChars="200" w:firstLine="500"/>
      <w:jc w:val="both"/>
    </w:pPr>
    <w:rPr>
      <w:rFonts w:cs="Arial"/>
      <w:color w:val="000000"/>
      <w:spacing w:val="5"/>
      <w:kern w:val="2"/>
    </w:rPr>
  </w:style>
  <w:style w:type="character" w:customStyle="1" w:styleId="1Char3">
    <w:name w:val="标题1 Char"/>
    <w:qFormat/>
    <w:locked/>
    <w:rPr>
      <w:rFonts w:ascii="Arial" w:eastAsia="黑体" w:hAnsi="Arial" w:cs="Arial"/>
      <w:b/>
      <w:bCs/>
      <w:kern w:val="36"/>
      <w:sz w:val="36"/>
      <w:szCs w:val="36"/>
    </w:rPr>
  </w:style>
  <w:style w:type="paragraph" w:customStyle="1" w:styleId="affffffffa">
    <w:name w:val="一级条标题"/>
    <w:next w:val="a0"/>
    <w:uiPriority w:val="99"/>
    <w:qFormat/>
    <w:pPr>
      <w:tabs>
        <w:tab w:val="left" w:pos="1260"/>
      </w:tabs>
      <w:ind w:left="1260" w:hanging="420"/>
      <w:outlineLvl w:val="2"/>
    </w:pPr>
    <w:rPr>
      <w:rFonts w:ascii="Times New Roman" w:eastAsia="黑体" w:hAnsi="Times New Roman" w:cs="Times New Roman"/>
      <w:kern w:val="2"/>
      <w:sz w:val="21"/>
      <w:szCs w:val="24"/>
    </w:rPr>
  </w:style>
  <w:style w:type="character" w:customStyle="1" w:styleId="Char18">
    <w:name w:val="文档结构图 Char1"/>
    <w:uiPriority w:val="99"/>
    <w:qFormat/>
    <w:rPr>
      <w:rFonts w:ascii="宋体"/>
      <w:kern w:val="2"/>
      <w:sz w:val="18"/>
      <w:szCs w:val="18"/>
    </w:rPr>
  </w:style>
  <w:style w:type="paragraph" w:customStyle="1" w:styleId="GB2312612">
    <w:name w:val="样式 仿宋_GB2312 四号 段后: 6 磅 行距: 多倍行距 1.2 字行"/>
    <w:basedOn w:val="a0"/>
    <w:uiPriority w:val="99"/>
    <w:qFormat/>
    <w:pPr>
      <w:widowControl w:val="0"/>
      <w:adjustRightInd w:val="0"/>
      <w:snapToGrid w:val="0"/>
      <w:spacing w:line="288" w:lineRule="auto"/>
      <w:ind w:firstLineChars="200" w:firstLine="200"/>
      <w:jc w:val="both"/>
    </w:pPr>
    <w:rPr>
      <w:rFonts w:ascii="Times New Roman" w:eastAsia="仿宋_GB2312" w:hAnsi="Times New Roman"/>
      <w:kern w:val="2"/>
      <w:sz w:val="28"/>
      <w:szCs w:val="20"/>
    </w:rPr>
  </w:style>
  <w:style w:type="paragraph" w:customStyle="1" w:styleId="affffffffb">
    <w:name w:val="正文无缩进"/>
    <w:basedOn w:val="a0"/>
    <w:uiPriority w:val="99"/>
    <w:qFormat/>
    <w:pPr>
      <w:widowControl w:val="0"/>
      <w:adjustRightInd w:val="0"/>
      <w:spacing w:before="120" w:after="120"/>
      <w:jc w:val="both"/>
    </w:pPr>
    <w:rPr>
      <w:rFonts w:hAnsi="Times New Roman" w:cs="Times New Roman"/>
      <w:szCs w:val="20"/>
    </w:rPr>
  </w:style>
  <w:style w:type="paragraph" w:customStyle="1" w:styleId="BodyText21">
    <w:name w:val="Body Text 21"/>
    <w:basedOn w:val="a0"/>
    <w:uiPriority w:val="99"/>
    <w:qFormat/>
    <w:pPr>
      <w:autoSpaceDE w:val="0"/>
      <w:autoSpaceDN w:val="0"/>
      <w:adjustRightInd w:val="0"/>
      <w:spacing w:line="360" w:lineRule="auto"/>
      <w:jc w:val="both"/>
    </w:pPr>
    <w:rPr>
      <w:rFonts w:ascii="Times New Roman" w:hAnsi="Times New Roman" w:cs="Times New Roman"/>
      <w:szCs w:val="20"/>
    </w:rPr>
  </w:style>
  <w:style w:type="character" w:customStyle="1" w:styleId="Charff2">
    <w:name w:val="招股书——正文 Char"/>
    <w:link w:val="affffffffc"/>
    <w:qFormat/>
    <w:locked/>
    <w:rPr>
      <w:rFonts w:ascii="Arial" w:hAnsi="Arial" w:cs="宋体"/>
      <w:color w:val="000000"/>
      <w:sz w:val="24"/>
    </w:rPr>
  </w:style>
  <w:style w:type="paragraph" w:customStyle="1" w:styleId="affffffffc">
    <w:name w:val="招股书——正文"/>
    <w:basedOn w:val="a0"/>
    <w:link w:val="Charff2"/>
    <w:qFormat/>
    <w:pPr>
      <w:widowControl w:val="0"/>
      <w:spacing w:before="156" w:line="360" w:lineRule="auto"/>
      <w:ind w:firstLineChars="200" w:firstLine="480"/>
      <w:jc w:val="both"/>
    </w:pPr>
    <w:rPr>
      <w:rFonts w:ascii="Arial" w:eastAsiaTheme="minorEastAsia" w:hAnsi="Arial"/>
      <w:color w:val="000000"/>
      <w:kern w:val="2"/>
      <w:szCs w:val="22"/>
    </w:rPr>
  </w:style>
  <w:style w:type="paragraph" w:customStyle="1" w:styleId="affffffffd">
    <w:name w:val="保代考试文件——标题"/>
    <w:basedOn w:val="a0"/>
    <w:uiPriority w:val="99"/>
    <w:qFormat/>
    <w:pPr>
      <w:widowControl w:val="0"/>
      <w:jc w:val="both"/>
    </w:pPr>
    <w:rPr>
      <w:rFonts w:ascii="Times New Roman" w:hAnsi="Times New Roman" w:cs="Times New Roman"/>
      <w:kern w:val="2"/>
      <w:sz w:val="28"/>
      <w:szCs w:val="20"/>
    </w:rPr>
  </w:style>
  <w:style w:type="paragraph" w:customStyle="1" w:styleId="CharCharCharCharCharChar2CharCharCharCharCharCharCharCharCharCharCharCharChar">
    <w:name w:val="Char Char Char Char Char Char2 Char Char Char Char Char Char Char Char Char Char Char Char Char"/>
    <w:basedOn w:val="a0"/>
    <w:uiPriority w:val="99"/>
    <w:qFormat/>
    <w:pPr>
      <w:widowControl w:val="0"/>
      <w:adjustRightInd w:val="0"/>
      <w:spacing w:line="360" w:lineRule="auto"/>
      <w:jc w:val="both"/>
    </w:pPr>
    <w:rPr>
      <w:rFonts w:ascii="Tahoma" w:hAnsi="Tahoma" w:cs="Times New Roman"/>
      <w:kern w:val="2"/>
      <w:sz w:val="28"/>
      <w:szCs w:val="20"/>
    </w:rPr>
  </w:style>
  <w:style w:type="character" w:customStyle="1" w:styleId="Charff3">
    <w:name w:val="第【】节的格式 Char"/>
    <w:link w:val="affffffffe"/>
    <w:qFormat/>
    <w:locked/>
    <w:rPr>
      <w:rFonts w:ascii="宋体" w:hAnsi="宋体"/>
      <w:b/>
      <w:bCs/>
      <w:kern w:val="44"/>
      <w:sz w:val="32"/>
      <w:szCs w:val="44"/>
    </w:rPr>
  </w:style>
  <w:style w:type="paragraph" w:customStyle="1" w:styleId="affffffffe">
    <w:name w:val="第【】节的格式"/>
    <w:basedOn w:val="1"/>
    <w:link w:val="Charff3"/>
    <w:qFormat/>
    <w:pPr>
      <w:tabs>
        <w:tab w:val="left" w:pos="567"/>
      </w:tabs>
      <w:spacing w:beforeLines="50" w:before="0" w:afterLines="50" w:after="0" w:line="360" w:lineRule="auto"/>
      <w:ind w:left="567" w:hanging="567"/>
      <w:jc w:val="center"/>
    </w:pPr>
    <w:rPr>
      <w:rFonts w:ascii="宋体" w:eastAsiaTheme="minorEastAsia" w:hAnsi="宋体" w:cstheme="minorBidi"/>
      <w:sz w:val="32"/>
    </w:rPr>
  </w:style>
  <w:style w:type="paragraph" w:customStyle="1" w:styleId="afffffffff">
    <w:name w:val="一的格式"/>
    <w:basedOn w:val="20"/>
    <w:uiPriority w:val="99"/>
    <w:qFormat/>
    <w:pPr>
      <w:tabs>
        <w:tab w:val="left" w:pos="567"/>
      </w:tabs>
      <w:spacing w:beforeLines="50" w:before="0" w:afterLines="50" w:after="0" w:line="360" w:lineRule="auto"/>
      <w:ind w:left="567" w:hanging="567"/>
    </w:pPr>
    <w:rPr>
      <w:rFonts w:ascii="宋体" w:eastAsia="宋体" w:hAnsi="宋体"/>
      <w:bCs w:val="0"/>
      <w:kern w:val="0"/>
      <w:sz w:val="28"/>
      <w:szCs w:val="28"/>
    </w:rPr>
  </w:style>
  <w:style w:type="paragraph" w:customStyle="1" w:styleId="afffffffff0">
    <w:name w:val="（一）的格式"/>
    <w:basedOn w:val="a0"/>
    <w:uiPriority w:val="99"/>
    <w:qFormat/>
    <w:pPr>
      <w:keepNext/>
      <w:keepLines/>
      <w:widowControl w:val="0"/>
      <w:spacing w:beforeLines="50" w:line="360" w:lineRule="auto"/>
      <w:jc w:val="both"/>
      <w:outlineLvl w:val="2"/>
    </w:pPr>
    <w:rPr>
      <w:rFonts w:ascii="Times New Roman" w:hAnsi="Times New Roman" w:cs="Times New Roman"/>
      <w:b/>
      <w:bCs/>
      <w:kern w:val="2"/>
    </w:rPr>
  </w:style>
  <w:style w:type="character" w:customStyle="1" w:styleId="001Char">
    <w:name w:val="00标题1 Char"/>
    <w:link w:val="001"/>
    <w:qFormat/>
    <w:locked/>
    <w:rPr>
      <w:rFonts w:ascii="黑体" w:eastAsia="黑体" w:hAnsi="黑体"/>
      <w:bCs/>
      <w:sz w:val="36"/>
      <w:szCs w:val="44"/>
    </w:rPr>
  </w:style>
  <w:style w:type="paragraph" w:customStyle="1" w:styleId="001">
    <w:name w:val="00标题1"/>
    <w:basedOn w:val="a0"/>
    <w:link w:val="001Char"/>
    <w:qFormat/>
    <w:pPr>
      <w:keepNext/>
      <w:keepLines/>
      <w:pageBreakBefore/>
      <w:widowControl w:val="0"/>
      <w:spacing w:beforeLines="50" w:line="360" w:lineRule="auto"/>
      <w:jc w:val="center"/>
      <w:outlineLvl w:val="0"/>
    </w:pPr>
    <w:rPr>
      <w:rFonts w:ascii="黑体" w:eastAsia="黑体" w:hAnsi="黑体" w:cstheme="minorBidi"/>
      <w:bCs/>
      <w:kern w:val="2"/>
      <w:sz w:val="36"/>
      <w:szCs w:val="44"/>
    </w:rPr>
  </w:style>
  <w:style w:type="character" w:customStyle="1" w:styleId="02Char">
    <w:name w:val="02 二级标题 Char"/>
    <w:link w:val="02"/>
    <w:qFormat/>
    <w:locked/>
    <w:rPr>
      <w:rFonts w:ascii="黑体" w:eastAsia="黑体" w:hAnsi="黑体"/>
      <w:bCs/>
      <w:sz w:val="32"/>
      <w:szCs w:val="32"/>
    </w:rPr>
  </w:style>
  <w:style w:type="paragraph" w:customStyle="1" w:styleId="02">
    <w:name w:val="02 二级标题"/>
    <w:basedOn w:val="a0"/>
    <w:link w:val="02Char"/>
    <w:qFormat/>
    <w:pPr>
      <w:keepNext/>
      <w:keepLines/>
      <w:widowControl w:val="0"/>
      <w:spacing w:beforeLines="50" w:line="360" w:lineRule="auto"/>
      <w:jc w:val="both"/>
      <w:outlineLvl w:val="1"/>
    </w:pPr>
    <w:rPr>
      <w:rFonts w:ascii="黑体" w:eastAsia="黑体" w:hAnsi="黑体" w:cstheme="minorBidi"/>
      <w:bCs/>
      <w:kern w:val="2"/>
      <w:sz w:val="32"/>
      <w:szCs w:val="32"/>
    </w:rPr>
  </w:style>
  <w:style w:type="character" w:customStyle="1" w:styleId="03Char">
    <w:name w:val="03 三级标题 Char"/>
    <w:link w:val="03"/>
    <w:qFormat/>
    <w:locked/>
    <w:rPr>
      <w:rFonts w:ascii="黑体" w:eastAsia="黑体" w:hAnsi="黑体"/>
      <w:sz w:val="28"/>
      <w:szCs w:val="28"/>
    </w:rPr>
  </w:style>
  <w:style w:type="paragraph" w:customStyle="1" w:styleId="03">
    <w:name w:val="03 三级标题"/>
    <w:basedOn w:val="a0"/>
    <w:link w:val="03Char"/>
    <w:qFormat/>
    <w:pPr>
      <w:keepNext/>
      <w:keepLines/>
      <w:widowControl w:val="0"/>
      <w:tabs>
        <w:tab w:val="left" w:pos="180"/>
        <w:tab w:val="left" w:pos="720"/>
      </w:tabs>
      <w:spacing w:beforeLines="50" w:line="360" w:lineRule="auto"/>
      <w:outlineLvl w:val="2"/>
    </w:pPr>
    <w:rPr>
      <w:rFonts w:ascii="黑体" w:eastAsia="黑体" w:hAnsi="黑体" w:cstheme="minorBidi"/>
      <w:kern w:val="2"/>
      <w:sz w:val="28"/>
      <w:szCs w:val="28"/>
    </w:rPr>
  </w:style>
  <w:style w:type="character" w:customStyle="1" w:styleId="05Char">
    <w:name w:val="05 正文 Char"/>
    <w:link w:val="05"/>
    <w:qFormat/>
    <w:locked/>
    <w:rPr>
      <w:sz w:val="24"/>
      <w:szCs w:val="24"/>
    </w:rPr>
  </w:style>
  <w:style w:type="paragraph" w:customStyle="1" w:styleId="05">
    <w:name w:val="05 正文"/>
    <w:basedOn w:val="a0"/>
    <w:link w:val="05Char"/>
    <w:qFormat/>
    <w:pPr>
      <w:spacing w:beforeLines="50" w:line="360" w:lineRule="auto"/>
      <w:ind w:firstLineChars="200" w:firstLine="200"/>
      <w:jc w:val="both"/>
    </w:pPr>
    <w:rPr>
      <w:rFonts w:asciiTheme="minorHAnsi" w:eastAsiaTheme="minorEastAsia" w:hAnsiTheme="minorHAnsi" w:cstheme="minorBidi"/>
      <w:kern w:val="2"/>
    </w:rPr>
  </w:style>
  <w:style w:type="paragraph" w:customStyle="1" w:styleId="04">
    <w:name w:val="04 正文加粗"/>
    <w:basedOn w:val="a0"/>
    <w:uiPriority w:val="99"/>
    <w:qFormat/>
    <w:pPr>
      <w:keepNext/>
      <w:keepLines/>
      <w:widowControl w:val="0"/>
      <w:spacing w:beforeLines="50" w:line="360" w:lineRule="auto"/>
      <w:ind w:firstLineChars="196" w:firstLine="196"/>
    </w:pPr>
    <w:rPr>
      <w:rFonts w:ascii="Times New Roman" w:hAnsi="Calibri" w:cs="Times New Roman"/>
      <w:b/>
      <w:kern w:val="2"/>
    </w:rPr>
  </w:style>
  <w:style w:type="paragraph" w:customStyle="1" w:styleId="1ffa">
    <w:name w:val="报告书1"/>
    <w:basedOn w:val="ac"/>
    <w:uiPriority w:val="99"/>
    <w:qFormat/>
    <w:rPr>
      <w:rFonts w:eastAsia="宋体"/>
      <w:lang w:val="en-US"/>
    </w:rPr>
  </w:style>
  <w:style w:type="character" w:customStyle="1" w:styleId="3Char3">
    <w:name w:val="样式3(文号) Char"/>
    <w:link w:val="3ff2"/>
    <w:qFormat/>
    <w:locked/>
    <w:rPr>
      <w:rFonts w:ascii="黑体" w:eastAsia="黑体" w:hAnsi="黑体"/>
      <w:szCs w:val="28"/>
    </w:rPr>
  </w:style>
  <w:style w:type="paragraph" w:customStyle="1" w:styleId="3ff2">
    <w:name w:val="样式3(文号)"/>
    <w:next w:val="a0"/>
    <w:link w:val="3Char3"/>
    <w:qFormat/>
    <w:pPr>
      <w:jc w:val="center"/>
    </w:pPr>
    <w:rPr>
      <w:rFonts w:ascii="黑体" w:eastAsia="黑体" w:hAnsi="黑体" w:cstheme="minorBidi"/>
      <w:kern w:val="2"/>
      <w:sz w:val="21"/>
      <w:szCs w:val="28"/>
    </w:rPr>
  </w:style>
  <w:style w:type="character" w:customStyle="1" w:styleId="1CharChar">
    <w:name w:val="样式1 Char Char"/>
    <w:link w:val="1fd"/>
    <w:qFormat/>
    <w:locked/>
    <w:rPr>
      <w:rFonts w:ascii="Times New Roman" w:eastAsia="宋体" w:hAnsi="Times New Roman" w:cs="Times New Roman"/>
      <w:szCs w:val="20"/>
    </w:rPr>
  </w:style>
  <w:style w:type="character" w:customStyle="1" w:styleId="Char19">
    <w:name w:val="页眉 Char1"/>
    <w:uiPriority w:val="99"/>
    <w:qFormat/>
    <w:rPr>
      <w:kern w:val="2"/>
      <w:sz w:val="18"/>
      <w:szCs w:val="18"/>
    </w:rPr>
  </w:style>
  <w:style w:type="paragraph" w:customStyle="1" w:styleId="2ff9">
    <w:name w:val="页眉2"/>
    <w:basedOn w:val="affb"/>
    <w:uiPriority w:val="99"/>
    <w:qFormat/>
    <w:rPr>
      <w:rFonts w:ascii="Times New Roman" w:eastAsia="宋体" w:hAnsi="Times New Roman" w:cs="Times New Roman"/>
    </w:rPr>
  </w:style>
  <w:style w:type="character" w:customStyle="1" w:styleId="51Char">
    <w:name w:val="样式 标题 5 + 黑色1 Char"/>
    <w:link w:val="515"/>
    <w:semiHidden/>
    <w:qFormat/>
    <w:locked/>
    <w:rPr>
      <w:rFonts w:ascii="宋体" w:hAnsi="宋体"/>
      <w:bCs/>
      <w:color w:val="000000"/>
      <w:sz w:val="24"/>
      <w:szCs w:val="24"/>
    </w:rPr>
  </w:style>
  <w:style w:type="paragraph" w:customStyle="1" w:styleId="515">
    <w:name w:val="样式 标题 5 + 黑色1"/>
    <w:basedOn w:val="51"/>
    <w:link w:val="51Char"/>
    <w:semiHidden/>
    <w:qFormat/>
    <w:pPr>
      <w:keepNext w:val="0"/>
      <w:keepLines w:val="0"/>
      <w:tabs>
        <w:tab w:val="left" w:pos="1701"/>
      </w:tabs>
      <w:adjustRightInd w:val="0"/>
      <w:spacing w:before="0" w:after="0" w:line="480" w:lineRule="exact"/>
      <w:ind w:left="515"/>
    </w:pPr>
    <w:rPr>
      <w:rFonts w:ascii="宋体" w:eastAsiaTheme="minorEastAsia" w:hAnsi="宋体" w:cstheme="minorBidi"/>
      <w:b w:val="0"/>
      <w:color w:val="000000"/>
      <w:sz w:val="24"/>
      <w:szCs w:val="24"/>
    </w:rPr>
  </w:style>
  <w:style w:type="character" w:customStyle="1" w:styleId="4CharChar">
    <w:name w:val="样式4 Char Char"/>
    <w:link w:val="4f3"/>
    <w:qFormat/>
    <w:locked/>
    <w:rPr>
      <w:rFonts w:ascii="宋体" w:eastAsia="黑体" w:hAnsi="宋体"/>
      <w:b/>
      <w:bCs/>
      <w:sz w:val="36"/>
      <w:szCs w:val="24"/>
    </w:rPr>
  </w:style>
  <w:style w:type="paragraph" w:customStyle="1" w:styleId="4f3">
    <w:name w:val="样式4"/>
    <w:next w:val="a0"/>
    <w:link w:val="4CharChar"/>
    <w:qFormat/>
    <w:pPr>
      <w:spacing w:line="760" w:lineRule="exact"/>
    </w:pPr>
    <w:rPr>
      <w:rFonts w:ascii="宋体" w:eastAsia="黑体" w:hAnsi="宋体" w:cstheme="minorBidi"/>
      <w:b/>
      <w:bCs/>
      <w:kern w:val="2"/>
      <w:sz w:val="36"/>
      <w:szCs w:val="24"/>
    </w:rPr>
  </w:style>
  <w:style w:type="character" w:customStyle="1" w:styleId="3Char2">
    <w:name w:val="样式3 Char"/>
    <w:link w:val="3fb"/>
    <w:qFormat/>
    <w:locked/>
    <w:rPr>
      <w:rFonts w:ascii="Times New Roman" w:eastAsia="宋体" w:hAnsi="Times New Roman" w:cs="Times New Roman"/>
      <w:bCs/>
      <w:kern w:val="0"/>
      <w:szCs w:val="20"/>
    </w:rPr>
  </w:style>
  <w:style w:type="paragraph" w:customStyle="1" w:styleId="2ffa">
    <w:name w:val="样式2(文号)"/>
    <w:next w:val="a0"/>
    <w:uiPriority w:val="99"/>
    <w:qFormat/>
    <w:pPr>
      <w:jc w:val="center"/>
    </w:pPr>
    <w:rPr>
      <w:rFonts w:ascii="黑体" w:eastAsia="黑体" w:hAnsi="Times New Roman" w:cs="宋体"/>
      <w:kern w:val="2"/>
      <w:sz w:val="28"/>
      <w:szCs w:val="28"/>
    </w:rPr>
  </w:style>
  <w:style w:type="paragraph" w:customStyle="1" w:styleId="3ff3">
    <w:name w:val="样式3（小文号）"/>
    <w:next w:val="a0"/>
    <w:uiPriority w:val="99"/>
    <w:qFormat/>
    <w:pPr>
      <w:spacing w:beforeLines="50"/>
      <w:jc w:val="center"/>
    </w:pPr>
    <w:rPr>
      <w:rFonts w:ascii="黑体" w:eastAsia="黑体" w:hAnsi="Times New Roman" w:cs="宋体"/>
      <w:kern w:val="2"/>
      <w:sz w:val="21"/>
      <w:szCs w:val="28"/>
    </w:rPr>
  </w:style>
  <w:style w:type="paragraph" w:customStyle="1" w:styleId="1CharCharCharCharCharCharChar">
    <w:name w:val="1 Char Char Char Char Char Char Char"/>
    <w:basedOn w:val="a0"/>
    <w:uiPriority w:val="99"/>
    <w:qFormat/>
    <w:pPr>
      <w:widowControl w:val="0"/>
      <w:jc w:val="both"/>
    </w:pPr>
    <w:rPr>
      <w:rFonts w:ascii="Tahoma" w:hAnsi="Tahoma" w:cs="Times New Roman"/>
      <w:kern w:val="2"/>
      <w:szCs w:val="20"/>
    </w:rPr>
  </w:style>
  <w:style w:type="paragraph" w:customStyle="1" w:styleId="CharCharCharCharCharCharCharCharCharCharCharCharCharChar">
    <w:name w:val="Char Char Char Char Char Char Char Char Char Char Char Char Char Char"/>
    <w:basedOn w:val="a0"/>
    <w:uiPriority w:val="99"/>
    <w:qFormat/>
    <w:pPr>
      <w:widowControl w:val="0"/>
      <w:jc w:val="both"/>
    </w:pPr>
    <w:rPr>
      <w:rFonts w:ascii="Times New Roman" w:hAnsi="Times New Roman" w:cs="Times New Roman"/>
      <w:kern w:val="2"/>
      <w:sz w:val="21"/>
      <w:szCs w:val="21"/>
    </w:rPr>
  </w:style>
  <w:style w:type="paragraph" w:customStyle="1" w:styleId="CharCharChar1CharCharCharCharCharCharChar">
    <w:name w:val="Char Char Char1 Char Char Char Char Char Char Char"/>
    <w:basedOn w:val="a0"/>
    <w:uiPriority w:val="99"/>
    <w:qFormat/>
    <w:pPr>
      <w:widowControl w:val="0"/>
      <w:jc w:val="both"/>
    </w:pPr>
    <w:rPr>
      <w:rFonts w:ascii="仿宋_GB2312" w:eastAsia="仿宋_GB2312" w:hAnsi="Times New Roman" w:cs="Times New Roman"/>
      <w:b/>
      <w:kern w:val="2"/>
      <w:sz w:val="32"/>
      <w:szCs w:val="32"/>
    </w:rPr>
  </w:style>
  <w:style w:type="paragraph" w:customStyle="1" w:styleId="1Char4">
    <w:name w:val="1 Char"/>
    <w:basedOn w:val="a0"/>
    <w:uiPriority w:val="99"/>
    <w:qFormat/>
    <w:pPr>
      <w:widowControl w:val="0"/>
      <w:jc w:val="both"/>
    </w:pPr>
    <w:rPr>
      <w:rFonts w:ascii="Tahoma" w:hAnsi="Tahoma" w:cs="Times New Roman"/>
      <w:kern w:val="2"/>
      <w:szCs w:val="20"/>
    </w:rPr>
  </w:style>
  <w:style w:type="paragraph" w:customStyle="1" w:styleId="Char1CharCharCharCharCharCharCharCharCharCharChar1CharCharCharCharCharCharChar">
    <w:name w:val="Char1 Char Char Char Char Char Char Char Char Char Char Char1 Char Char Char Char Char Char Char"/>
    <w:basedOn w:val="a0"/>
    <w:uiPriority w:val="99"/>
    <w:qFormat/>
    <w:pPr>
      <w:widowControl w:val="0"/>
      <w:jc w:val="both"/>
    </w:pPr>
    <w:rPr>
      <w:rFonts w:ascii="Tahoma" w:hAnsi="Tahoma" w:cs="Times New Roman"/>
      <w:kern w:val="2"/>
      <w:szCs w:val="20"/>
    </w:rPr>
  </w:style>
  <w:style w:type="paragraph" w:customStyle="1" w:styleId="820505">
    <w:name w:val="样式 样式8 + 首行缩进:  2 字符 段前: 0.5 行 段后: 0.5 行"/>
    <w:basedOn w:val="a0"/>
    <w:uiPriority w:val="99"/>
    <w:qFormat/>
    <w:pPr>
      <w:widowControl w:val="0"/>
      <w:spacing w:beforeLines="50" w:line="360" w:lineRule="auto"/>
      <w:ind w:firstLineChars="200" w:firstLine="449"/>
      <w:jc w:val="both"/>
    </w:pPr>
    <w:rPr>
      <w:rFonts w:ascii="Arial Narrow" w:hAnsi="Arial Narrow" w:cs="Times New Roman"/>
      <w:szCs w:val="20"/>
    </w:rPr>
  </w:style>
  <w:style w:type="paragraph" w:customStyle="1" w:styleId="7205">
    <w:name w:val="样式 样式7 + 首行缩进:  2 字符 段前: 0.5 行"/>
    <w:basedOn w:val="a0"/>
    <w:uiPriority w:val="99"/>
    <w:qFormat/>
    <w:pPr>
      <w:widowControl w:val="0"/>
      <w:spacing w:beforeLines="50" w:line="360" w:lineRule="auto"/>
      <w:ind w:firstLineChars="200" w:firstLine="451"/>
      <w:jc w:val="both"/>
    </w:pPr>
    <w:rPr>
      <w:rFonts w:ascii="Arial Narrow" w:hAnsi="Arial Narrow" w:cs="Times New Roman"/>
      <w:b/>
      <w:bCs/>
      <w:szCs w:val="20"/>
    </w:rPr>
  </w:style>
  <w:style w:type="character" w:customStyle="1" w:styleId="Charff4">
    <w:name w:val="正文+宋体 Char"/>
    <w:link w:val="afffffffff1"/>
    <w:qFormat/>
    <w:locked/>
    <w:rPr>
      <w:rFonts w:ascii="宋体" w:hAnsi="宋体"/>
      <w:szCs w:val="24"/>
    </w:rPr>
  </w:style>
  <w:style w:type="paragraph" w:customStyle="1" w:styleId="afffffffff1">
    <w:name w:val="正文+宋体"/>
    <w:basedOn w:val="a0"/>
    <w:link w:val="Charff4"/>
    <w:qFormat/>
    <w:pPr>
      <w:widowControl w:val="0"/>
      <w:spacing w:line="480" w:lineRule="exact"/>
      <w:ind w:firstLine="480"/>
      <w:jc w:val="both"/>
    </w:pPr>
    <w:rPr>
      <w:rFonts w:eastAsiaTheme="minorEastAsia" w:cstheme="minorBidi"/>
      <w:kern w:val="2"/>
      <w:sz w:val="21"/>
    </w:rPr>
  </w:style>
  <w:style w:type="paragraph" w:customStyle="1" w:styleId="1CharCharCharCharCharCharCharCharCharChar">
    <w:name w:val="1 Char Char Char Char Char Char Char Char Char Char"/>
    <w:basedOn w:val="a0"/>
    <w:uiPriority w:val="99"/>
    <w:qFormat/>
    <w:pPr>
      <w:widowControl w:val="0"/>
      <w:jc w:val="both"/>
    </w:pPr>
    <w:rPr>
      <w:rFonts w:ascii="Times New Roman" w:hAnsi="Times New Roman" w:cs="Times New Roman"/>
      <w:kern w:val="2"/>
      <w:sz w:val="21"/>
    </w:rPr>
  </w:style>
  <w:style w:type="paragraph" w:customStyle="1" w:styleId="CharCharCharCharCharCharCharCharCharCharCharCharChar">
    <w:name w:val="Char Char Char Char Char Char Char Char Char Char Char Char Char"/>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CharCharCharCharCharCharCharCharCharCharCharCharCharCharChar">
    <w:name w:val="Char Char Char Char Char Char Char Char Char Char Char Char Char Char Char Char Char Char Char"/>
    <w:basedOn w:val="a0"/>
    <w:uiPriority w:val="99"/>
    <w:qFormat/>
    <w:pPr>
      <w:widowControl w:val="0"/>
      <w:jc w:val="both"/>
    </w:pPr>
    <w:rPr>
      <w:rFonts w:ascii="Tahoma" w:hAnsi="Tahoma" w:cs="Times New Roman"/>
      <w:kern w:val="2"/>
      <w:szCs w:val="20"/>
    </w:rPr>
  </w:style>
  <w:style w:type="character" w:customStyle="1" w:styleId="9Char0">
    <w:name w:val="9银河_资料来源 Char"/>
    <w:link w:val="93"/>
    <w:qFormat/>
    <w:locked/>
    <w:rPr>
      <w:rFonts w:ascii="宋体" w:eastAsia="楷体_GB2312" w:hAnsi="宋体"/>
      <w:i/>
      <w:color w:val="13007C"/>
      <w:sz w:val="16"/>
      <w:szCs w:val="16"/>
    </w:rPr>
  </w:style>
  <w:style w:type="paragraph" w:customStyle="1" w:styleId="93">
    <w:name w:val="9银河_资料来源"/>
    <w:basedOn w:val="a0"/>
    <w:link w:val="9Char0"/>
    <w:qFormat/>
    <w:pPr>
      <w:widowControl w:val="0"/>
      <w:jc w:val="both"/>
    </w:pPr>
    <w:rPr>
      <w:rFonts w:eastAsia="楷体_GB2312" w:cstheme="minorBidi"/>
      <w:i/>
      <w:color w:val="13007C"/>
      <w:kern w:val="2"/>
      <w:sz w:val="16"/>
      <w:szCs w:val="16"/>
    </w:rPr>
  </w:style>
  <w:style w:type="paragraph" w:customStyle="1" w:styleId="1ffb">
    <w:name w:val="1_[(一)]_银河_标题一"/>
    <w:basedOn w:val="a0"/>
    <w:uiPriority w:val="99"/>
    <w:qFormat/>
    <w:pPr>
      <w:widowControl w:val="0"/>
      <w:tabs>
        <w:tab w:val="right" w:leader="dot" w:pos="10204"/>
      </w:tabs>
      <w:spacing w:beforeLines="100" w:line="400" w:lineRule="exact"/>
      <w:ind w:rightChars="1000" w:right="1000"/>
    </w:pPr>
    <w:rPr>
      <w:rFonts w:ascii="Times New Roman" w:eastAsia="楷体_GB2312" w:hAnsi="Times New Roman" w:cs="Times New Roman"/>
      <w:color w:val="E60000"/>
      <w:kern w:val="2"/>
      <w:sz w:val="28"/>
      <w:szCs w:val="28"/>
    </w:rPr>
  </w:style>
  <w:style w:type="character" w:customStyle="1" w:styleId="4Char1">
    <w:name w:val="4银河_正文 Char"/>
    <w:link w:val="4f4"/>
    <w:qFormat/>
    <w:locked/>
    <w:rPr>
      <w:rFonts w:ascii="楷体_GB2312" w:eastAsia="楷体_GB2312"/>
      <w:color w:val="13007C"/>
    </w:rPr>
  </w:style>
  <w:style w:type="paragraph" w:customStyle="1" w:styleId="4f4">
    <w:name w:val="4银河_正文"/>
    <w:basedOn w:val="a0"/>
    <w:link w:val="4Char1"/>
    <w:qFormat/>
    <w:pPr>
      <w:widowControl w:val="0"/>
      <w:tabs>
        <w:tab w:val="right" w:pos="7200"/>
      </w:tabs>
      <w:ind w:rightChars="1000" w:right="1000" w:firstLineChars="200" w:firstLine="200"/>
      <w:jc w:val="both"/>
    </w:pPr>
    <w:rPr>
      <w:rFonts w:ascii="楷体_GB2312" w:eastAsia="楷体_GB2312" w:hAnsiTheme="minorHAnsi" w:cstheme="minorBidi"/>
      <w:color w:val="13007C"/>
      <w:kern w:val="2"/>
      <w:sz w:val="21"/>
      <w:szCs w:val="22"/>
    </w:rPr>
  </w:style>
  <w:style w:type="character" w:customStyle="1" w:styleId="6Char0">
    <w:name w:val="6银河_表格标题 Char"/>
    <w:link w:val="68"/>
    <w:qFormat/>
    <w:locked/>
    <w:rPr>
      <w:rFonts w:ascii="楷体_GB2312" w:eastAsia="楷体_GB2312" w:cs="Arial"/>
      <w:b/>
      <w:color w:val="13007C"/>
      <w:sz w:val="18"/>
      <w:szCs w:val="18"/>
    </w:rPr>
  </w:style>
  <w:style w:type="paragraph" w:customStyle="1" w:styleId="68">
    <w:name w:val="6银河_表格标题"/>
    <w:basedOn w:val="a0"/>
    <w:link w:val="6Char0"/>
    <w:qFormat/>
    <w:pPr>
      <w:widowControl w:val="0"/>
      <w:jc w:val="both"/>
    </w:pPr>
    <w:rPr>
      <w:rFonts w:ascii="楷体_GB2312" w:eastAsia="楷体_GB2312" w:hAnsiTheme="minorHAnsi" w:cs="Arial"/>
      <w:b/>
      <w:color w:val="13007C"/>
      <w:kern w:val="2"/>
      <w:sz w:val="18"/>
      <w:szCs w:val="18"/>
    </w:rPr>
  </w:style>
  <w:style w:type="character" w:customStyle="1" w:styleId="7Char2">
    <w:name w:val="7银河_表格表头 Char"/>
    <w:link w:val="78"/>
    <w:qFormat/>
    <w:locked/>
    <w:rPr>
      <w:rFonts w:ascii="Arial" w:eastAsia="楷体_GB2312" w:hAnsi="Arial" w:cs="Arial"/>
      <w:b/>
      <w:color w:val="13007C"/>
      <w:sz w:val="16"/>
      <w:szCs w:val="16"/>
    </w:rPr>
  </w:style>
  <w:style w:type="paragraph" w:customStyle="1" w:styleId="78">
    <w:name w:val="7银河_表格表头"/>
    <w:basedOn w:val="a0"/>
    <w:link w:val="7Char2"/>
    <w:qFormat/>
    <w:pPr>
      <w:widowControl w:val="0"/>
      <w:jc w:val="both"/>
    </w:pPr>
    <w:rPr>
      <w:rFonts w:ascii="Arial" w:eastAsia="楷体_GB2312" w:hAnsi="Arial" w:cs="Arial"/>
      <w:b/>
      <w:color w:val="13007C"/>
      <w:kern w:val="2"/>
      <w:sz w:val="16"/>
      <w:szCs w:val="16"/>
    </w:rPr>
  </w:style>
  <w:style w:type="paragraph" w:customStyle="1" w:styleId="85">
    <w:name w:val="8银河_表格表字"/>
    <w:basedOn w:val="a0"/>
    <w:uiPriority w:val="99"/>
    <w:qFormat/>
    <w:pPr>
      <w:widowControl w:val="0"/>
      <w:jc w:val="both"/>
    </w:pPr>
    <w:rPr>
      <w:rFonts w:ascii="Times New Roman" w:eastAsia="楷体_GB2312" w:hAnsi="Times New Roman" w:cs="Times New Roman"/>
      <w:color w:val="13007C"/>
      <w:kern w:val="2"/>
      <w:sz w:val="16"/>
      <w:szCs w:val="16"/>
    </w:rPr>
  </w:style>
  <w:style w:type="paragraph" w:customStyle="1" w:styleId="21f0">
    <w:name w:val="2_[1、]_银河_标题二"/>
    <w:basedOn w:val="a0"/>
    <w:uiPriority w:val="99"/>
    <w:qFormat/>
    <w:pPr>
      <w:widowControl w:val="0"/>
      <w:tabs>
        <w:tab w:val="right" w:pos="7200"/>
      </w:tabs>
      <w:ind w:rightChars="1000" w:right="1000"/>
      <w:jc w:val="both"/>
    </w:pPr>
    <w:rPr>
      <w:rFonts w:ascii="Arial" w:eastAsia="楷体_GB2312" w:hAnsi="Arial" w:cs="Times New Roman"/>
      <w:b/>
      <w:color w:val="13007C"/>
      <w:kern w:val="2"/>
    </w:rPr>
  </w:style>
  <w:style w:type="character" w:customStyle="1" w:styleId="5Char0">
    <w:name w:val="5银河_图标题 Char"/>
    <w:link w:val="5f0"/>
    <w:qFormat/>
    <w:locked/>
  </w:style>
  <w:style w:type="paragraph" w:customStyle="1" w:styleId="5f0">
    <w:name w:val="5银河_图标题"/>
    <w:basedOn w:val="68"/>
    <w:link w:val="5Char0"/>
    <w:qFormat/>
    <w:rPr>
      <w:rFonts w:asciiTheme="minorHAnsi" w:eastAsiaTheme="minorEastAsia" w:cstheme="minorBidi"/>
      <w:b w:val="0"/>
      <w:color w:val="auto"/>
      <w:sz w:val="21"/>
      <w:szCs w:val="22"/>
    </w:rPr>
  </w:style>
  <w:style w:type="paragraph" w:customStyle="1" w:styleId="afffffffff2">
    <w:name w:val="图表文字"/>
    <w:basedOn w:val="a0"/>
    <w:uiPriority w:val="99"/>
    <w:qFormat/>
    <w:pPr>
      <w:widowControl w:val="0"/>
      <w:adjustRightInd w:val="0"/>
      <w:snapToGrid w:val="0"/>
      <w:spacing w:line="240" w:lineRule="exact"/>
      <w:jc w:val="center"/>
      <w:outlineLvl w:val="4"/>
    </w:pPr>
    <w:rPr>
      <w:rFonts w:ascii="Times New Roman" w:hAnsi="Times New Roman" w:cs="Times New Roman"/>
      <w:kern w:val="2"/>
      <w:sz w:val="21"/>
    </w:rPr>
  </w:style>
  <w:style w:type="character" w:customStyle="1" w:styleId="4CharCharCharChar">
    <w:name w:val="样式 标题 4 + 宋体 黑色 Char Char Char Char"/>
    <w:link w:val="4CharCharChar"/>
    <w:qFormat/>
    <w:locked/>
    <w:rPr>
      <w:rFonts w:ascii="宋体" w:eastAsia="黑体" w:hAnsi="宋体"/>
      <w:b/>
      <w:bCs/>
      <w:sz w:val="24"/>
      <w:szCs w:val="24"/>
    </w:rPr>
  </w:style>
  <w:style w:type="paragraph" w:customStyle="1" w:styleId="4CharCharChar">
    <w:name w:val="样式 标题 4 + 宋体 黑色 Char Char Char"/>
    <w:basedOn w:val="41"/>
    <w:link w:val="4CharCharCharChar"/>
    <w:qFormat/>
    <w:pPr>
      <w:keepNext w:val="0"/>
      <w:keepLines w:val="0"/>
      <w:suppressLineNumbers/>
      <w:tabs>
        <w:tab w:val="left" w:pos="1134"/>
      </w:tabs>
      <w:suppressAutoHyphens/>
      <w:adjustRightInd w:val="0"/>
      <w:spacing w:before="0" w:after="0" w:line="480" w:lineRule="exact"/>
      <w:ind w:left="57" w:firstLine="456"/>
    </w:pPr>
    <w:rPr>
      <w:rFonts w:ascii="宋体" w:eastAsia="黑体" w:hAnsi="宋体" w:cstheme="minorBidi"/>
      <w:sz w:val="24"/>
      <w:szCs w:val="24"/>
    </w:rPr>
  </w:style>
  <w:style w:type="paragraph" w:customStyle="1" w:styleId="4CharChar0">
    <w:name w:val="样式 标题 4 + 宋体 黑色 Char Char"/>
    <w:basedOn w:val="41"/>
    <w:uiPriority w:val="99"/>
    <w:qFormat/>
    <w:pPr>
      <w:keepNext w:val="0"/>
      <w:keepLines w:val="0"/>
      <w:suppressLineNumbers/>
      <w:tabs>
        <w:tab w:val="left" w:pos="360"/>
        <w:tab w:val="left" w:pos="1134"/>
      </w:tabs>
      <w:suppressAutoHyphens/>
      <w:adjustRightInd w:val="0"/>
      <w:spacing w:before="0" w:after="0" w:line="480" w:lineRule="exact"/>
      <w:ind w:firstLine="454"/>
    </w:pPr>
    <w:rPr>
      <w:rFonts w:ascii="宋体" w:eastAsia="黑体" w:hAnsi="宋体"/>
      <w:bCs w:val="0"/>
      <w:kern w:val="0"/>
      <w:sz w:val="24"/>
      <w:szCs w:val="24"/>
    </w:rPr>
  </w:style>
  <w:style w:type="paragraph" w:customStyle="1" w:styleId="CharCharCharCharChar3">
    <w:name w:val="Char Char Char Char Char3"/>
    <w:basedOn w:val="a0"/>
    <w:uiPriority w:val="99"/>
    <w:qFormat/>
    <w:pPr>
      <w:widowControl w:val="0"/>
      <w:adjustRightInd w:val="0"/>
      <w:spacing w:line="360" w:lineRule="auto"/>
      <w:jc w:val="both"/>
    </w:pPr>
    <w:rPr>
      <w:rFonts w:ascii="Times New Roman" w:hAnsi="Times New Roman" w:cs="Times New Roman"/>
      <w:szCs w:val="20"/>
    </w:rPr>
  </w:style>
  <w:style w:type="paragraph" w:customStyle="1" w:styleId="MTDisplayEquation">
    <w:name w:val="MTDisplayEquation"/>
    <w:basedOn w:val="a0"/>
    <w:next w:val="a0"/>
    <w:uiPriority w:val="99"/>
    <w:qFormat/>
    <w:pPr>
      <w:widowControl w:val="0"/>
      <w:tabs>
        <w:tab w:val="center" w:pos="4320"/>
        <w:tab w:val="right" w:pos="8640"/>
      </w:tabs>
      <w:spacing w:line="480" w:lineRule="exact"/>
      <w:ind w:firstLine="482"/>
      <w:jc w:val="both"/>
    </w:pPr>
    <w:rPr>
      <w:rFonts w:hAnsi="Times New Roman" w:cs="Times New Roman"/>
      <w:kern w:val="2"/>
    </w:rPr>
  </w:style>
  <w:style w:type="paragraph" w:customStyle="1" w:styleId="IPONormal">
    <w:name w:val="IPO Normal"/>
    <w:basedOn w:val="a0"/>
    <w:uiPriority w:val="99"/>
    <w:qFormat/>
    <w:pPr>
      <w:spacing w:beforeLines="50" w:line="360" w:lineRule="auto"/>
      <w:ind w:firstLineChars="200" w:firstLine="200"/>
      <w:jc w:val="both"/>
    </w:pPr>
    <w:rPr>
      <w:rFonts w:ascii="Times New Roman" w:hAnsi="Times New Roman" w:cs="Times New Roman"/>
      <w:kern w:val="24"/>
      <w:szCs w:val="22"/>
    </w:rPr>
  </w:style>
  <w:style w:type="paragraph" w:customStyle="1" w:styleId="5f1">
    <w:name w:val="样式 标题 5 + 黑色"/>
    <w:basedOn w:val="51"/>
    <w:uiPriority w:val="99"/>
    <w:semiHidden/>
    <w:qFormat/>
    <w:pPr>
      <w:keepNext w:val="0"/>
      <w:keepLines w:val="0"/>
      <w:tabs>
        <w:tab w:val="left" w:pos="1701"/>
      </w:tabs>
      <w:adjustRightInd w:val="0"/>
      <w:spacing w:before="0" w:after="0" w:line="480" w:lineRule="exact"/>
      <w:ind w:left="515"/>
    </w:pPr>
    <w:rPr>
      <w:rFonts w:ascii="宋体" w:eastAsia="宋体" w:hAnsi="宋体"/>
      <w:b w:val="0"/>
      <w:bCs w:val="0"/>
      <w:color w:val="000000"/>
      <w:kern w:val="0"/>
      <w:sz w:val="24"/>
      <w:szCs w:val="24"/>
    </w:rPr>
  </w:style>
  <w:style w:type="paragraph" w:customStyle="1" w:styleId="afffffffff3">
    <w:name w:val="表格后"/>
    <w:basedOn w:val="a0"/>
    <w:next w:val="a0"/>
    <w:uiPriority w:val="99"/>
    <w:qFormat/>
    <w:pPr>
      <w:widowControl w:val="0"/>
      <w:spacing w:beforeLines="50" w:line="360" w:lineRule="auto"/>
      <w:jc w:val="both"/>
    </w:pPr>
    <w:rPr>
      <w:rFonts w:ascii="Times New Roman" w:hAnsi="Times New Roman" w:cs="Times New Roman"/>
      <w:kern w:val="2"/>
      <w:sz w:val="21"/>
    </w:rPr>
  </w:style>
  <w:style w:type="paragraph" w:customStyle="1" w:styleId="afffffffff4">
    <w:name w:val="表格前"/>
    <w:basedOn w:val="a0"/>
    <w:next w:val="a0"/>
    <w:uiPriority w:val="99"/>
    <w:qFormat/>
    <w:pPr>
      <w:widowControl w:val="0"/>
      <w:spacing w:beforeLines="50" w:line="360" w:lineRule="auto"/>
      <w:jc w:val="both"/>
    </w:pPr>
    <w:rPr>
      <w:rFonts w:ascii="Times New Roman" w:hAnsi="Times New Roman" w:cs="Times New Roman"/>
      <w:kern w:val="2"/>
      <w:sz w:val="21"/>
      <w:szCs w:val="21"/>
    </w:rPr>
  </w:style>
  <w:style w:type="paragraph" w:customStyle="1" w:styleId="afffffffff5">
    <w:name w:val="单位元右对齐"/>
    <w:basedOn w:val="a0"/>
    <w:next w:val="a0"/>
    <w:uiPriority w:val="99"/>
    <w:qFormat/>
    <w:pPr>
      <w:widowControl w:val="0"/>
      <w:snapToGrid w:val="0"/>
      <w:spacing w:beforeLines="15"/>
      <w:jc w:val="right"/>
    </w:pPr>
    <w:rPr>
      <w:rFonts w:ascii="Times New Roman" w:hAnsi="Times New Roman" w:cs="Times New Roman"/>
      <w:kern w:val="2"/>
      <w:sz w:val="21"/>
      <w:szCs w:val="21"/>
    </w:rPr>
  </w:style>
  <w:style w:type="paragraph" w:customStyle="1" w:styleId="1ffc">
    <w:name w:val="目录前1级别"/>
    <w:basedOn w:val="a0"/>
    <w:next w:val="a0"/>
    <w:uiPriority w:val="99"/>
    <w:qFormat/>
    <w:pPr>
      <w:pageBreakBefore/>
      <w:widowControl w:val="0"/>
      <w:snapToGrid w:val="0"/>
      <w:spacing w:beforeLines="150"/>
      <w:jc w:val="center"/>
      <w:outlineLvl w:val="0"/>
    </w:pPr>
    <w:rPr>
      <w:rFonts w:ascii="Times New Roman" w:hAnsi="Times New Roman" w:cs="Times New Roman"/>
      <w:b/>
      <w:spacing w:val="40"/>
      <w:sz w:val="36"/>
      <w:szCs w:val="44"/>
    </w:rPr>
  </w:style>
  <w:style w:type="paragraph" w:customStyle="1" w:styleId="2ffb">
    <w:name w:val="目录前2级别"/>
    <w:basedOn w:val="a0"/>
    <w:next w:val="a0"/>
    <w:uiPriority w:val="99"/>
    <w:qFormat/>
    <w:pPr>
      <w:widowControl w:val="0"/>
      <w:snapToGrid w:val="0"/>
      <w:spacing w:beforeLines="50" w:line="360" w:lineRule="auto"/>
      <w:ind w:firstLineChars="150" w:firstLine="150"/>
      <w:jc w:val="both"/>
      <w:outlineLvl w:val="1"/>
    </w:pPr>
    <w:rPr>
      <w:rFonts w:ascii="Times New Roman" w:eastAsia="黑体" w:hAnsi="Times New Roman" w:cs="Times New Roman"/>
      <w:kern w:val="2"/>
      <w:sz w:val="30"/>
      <w:szCs w:val="30"/>
    </w:rPr>
  </w:style>
  <w:style w:type="paragraph" w:customStyle="1" w:styleId="3ff4">
    <w:name w:val="目录前3级别"/>
    <w:basedOn w:val="a0"/>
    <w:next w:val="a0"/>
    <w:uiPriority w:val="99"/>
    <w:qFormat/>
    <w:pPr>
      <w:widowControl w:val="0"/>
      <w:snapToGrid w:val="0"/>
      <w:spacing w:beforeLines="50" w:line="360" w:lineRule="auto"/>
      <w:ind w:firstLineChars="200" w:firstLine="200"/>
      <w:jc w:val="both"/>
      <w:outlineLvl w:val="2"/>
    </w:pPr>
    <w:rPr>
      <w:rFonts w:ascii="Times New Roman" w:hAnsi="Times New Roman" w:cs="Times New Roman"/>
      <w:b/>
      <w:kern w:val="2"/>
    </w:rPr>
  </w:style>
  <w:style w:type="paragraph" w:customStyle="1" w:styleId="afffffffff6">
    <w:name w:val="目录前正文"/>
    <w:basedOn w:val="a0"/>
    <w:next w:val="a0"/>
    <w:uiPriority w:val="99"/>
    <w:qFormat/>
    <w:pPr>
      <w:widowControl w:val="0"/>
      <w:snapToGrid w:val="0"/>
      <w:spacing w:beforeLines="50" w:line="360" w:lineRule="auto"/>
      <w:ind w:firstLineChars="200" w:firstLine="200"/>
      <w:jc w:val="both"/>
    </w:pPr>
    <w:rPr>
      <w:rFonts w:ascii="Times New Roman" w:hAnsi="Times New Roman" w:cs="Times New Roman"/>
      <w:kern w:val="2"/>
    </w:rPr>
  </w:style>
  <w:style w:type="paragraph" w:customStyle="1" w:styleId="afffffffff7">
    <w:name w:val="数据来源"/>
    <w:basedOn w:val="a0"/>
    <w:next w:val="a0"/>
    <w:uiPriority w:val="99"/>
    <w:qFormat/>
    <w:pPr>
      <w:widowControl w:val="0"/>
      <w:snapToGrid w:val="0"/>
      <w:spacing w:beforeLines="50"/>
      <w:ind w:firstLineChars="200" w:firstLine="422"/>
      <w:jc w:val="both"/>
    </w:pPr>
    <w:rPr>
      <w:rFonts w:ascii="Times New Roman" w:hAnsi="Times New Roman" w:cs="Times New Roman"/>
      <w:b/>
      <w:kern w:val="2"/>
      <w:sz w:val="21"/>
    </w:rPr>
  </w:style>
  <w:style w:type="paragraph" w:customStyle="1" w:styleId="afffffffff8">
    <w:name w:val="我的注样式"/>
    <w:basedOn w:val="a0"/>
    <w:next w:val="a0"/>
    <w:uiPriority w:val="99"/>
    <w:qFormat/>
    <w:pPr>
      <w:widowControl w:val="0"/>
      <w:adjustRightInd w:val="0"/>
      <w:snapToGrid w:val="0"/>
      <w:spacing w:beforeLines="50" w:line="288" w:lineRule="auto"/>
      <w:ind w:firstLineChars="200" w:firstLine="200"/>
      <w:jc w:val="both"/>
    </w:pPr>
    <w:rPr>
      <w:rFonts w:ascii="Times New Roman" w:hAnsi="Times New Roman" w:cs="Times New Roman"/>
      <w:sz w:val="21"/>
    </w:rPr>
  </w:style>
  <w:style w:type="paragraph" w:customStyle="1" w:styleId="afffffffff9">
    <w:name w:val="本文正文字体"/>
    <w:basedOn w:val="a0"/>
    <w:uiPriority w:val="99"/>
    <w:qFormat/>
    <w:pPr>
      <w:widowControl w:val="0"/>
      <w:spacing w:line="360" w:lineRule="auto"/>
      <w:ind w:firstLineChars="200" w:firstLine="200"/>
    </w:pPr>
    <w:rPr>
      <w:kern w:val="2"/>
      <w:szCs w:val="20"/>
    </w:rPr>
  </w:style>
  <w:style w:type="paragraph" w:customStyle="1" w:styleId="afffffffffa">
    <w:name w:val="文本"/>
    <w:basedOn w:val="a0"/>
    <w:uiPriority w:val="99"/>
    <w:semiHidden/>
    <w:qFormat/>
    <w:pPr>
      <w:widowControl w:val="0"/>
      <w:spacing w:before="100" w:after="100" w:line="360" w:lineRule="auto"/>
      <w:ind w:firstLineChars="200" w:firstLine="480"/>
      <w:jc w:val="both"/>
    </w:pPr>
    <w:rPr>
      <w:rFonts w:ascii="Times New Roman" w:hAnsi="Times New Roman"/>
      <w:kern w:val="2"/>
      <w:szCs w:val="20"/>
    </w:rPr>
  </w:style>
  <w:style w:type="paragraph" w:customStyle="1" w:styleId="CharCharCharCharChar1">
    <w:name w:val="Char Char Char Char Char1"/>
    <w:basedOn w:val="a0"/>
    <w:uiPriority w:val="99"/>
    <w:qFormat/>
    <w:pPr>
      <w:widowControl w:val="0"/>
      <w:adjustRightInd w:val="0"/>
      <w:spacing w:line="360" w:lineRule="auto"/>
      <w:jc w:val="both"/>
    </w:pPr>
    <w:rPr>
      <w:rFonts w:ascii="Times New Roman" w:hAnsi="Times New Roman" w:cs="Times New Roman"/>
      <w:szCs w:val="20"/>
    </w:rPr>
  </w:style>
  <w:style w:type="paragraph" w:customStyle="1" w:styleId="CharCharCharCharChar2">
    <w:name w:val="Char Char Char Char Char2"/>
    <w:basedOn w:val="a0"/>
    <w:uiPriority w:val="99"/>
    <w:qFormat/>
    <w:pPr>
      <w:widowControl w:val="0"/>
      <w:adjustRightInd w:val="0"/>
      <w:spacing w:line="360" w:lineRule="auto"/>
      <w:jc w:val="both"/>
    </w:pPr>
    <w:rPr>
      <w:rFonts w:ascii="Times New Roman" w:hAnsi="Times New Roman" w:cs="Times New Roman"/>
      <w:szCs w:val="20"/>
    </w:rPr>
  </w:style>
  <w:style w:type="character" w:customStyle="1" w:styleId="1Char5">
    <w:name w:val="1、标题 Char"/>
    <w:link w:val="1ffd"/>
    <w:qFormat/>
    <w:locked/>
    <w:rPr>
      <w:b/>
      <w:sz w:val="24"/>
      <w:szCs w:val="24"/>
    </w:rPr>
  </w:style>
  <w:style w:type="paragraph" w:customStyle="1" w:styleId="1ffd">
    <w:name w:val="1、标题"/>
    <w:basedOn w:val="a0"/>
    <w:link w:val="1Char5"/>
    <w:qFormat/>
    <w:pPr>
      <w:widowControl w:val="0"/>
      <w:adjustRightInd w:val="0"/>
      <w:snapToGrid w:val="0"/>
      <w:spacing w:beforeLines="50" w:after="50" w:line="360" w:lineRule="auto"/>
      <w:ind w:firstLineChars="200" w:firstLine="482"/>
      <w:jc w:val="both"/>
      <w:outlineLvl w:val="3"/>
    </w:pPr>
    <w:rPr>
      <w:rFonts w:asciiTheme="minorHAnsi" w:eastAsiaTheme="minorEastAsia" w:hAnsiTheme="minorHAnsi" w:cstheme="minorBidi"/>
      <w:b/>
      <w:kern w:val="2"/>
    </w:rPr>
  </w:style>
  <w:style w:type="character" w:customStyle="1" w:styleId="Charff5">
    <w:name w:val="（一）标题 Char"/>
    <w:link w:val="afffffffffb"/>
    <w:qFormat/>
    <w:locked/>
    <w:rPr>
      <w:rFonts w:ascii="Arial" w:eastAsia="黑体" w:hAnsi="Arial" w:cs="Arial"/>
      <w:b/>
      <w:bCs/>
      <w:sz w:val="28"/>
      <w:szCs w:val="32"/>
    </w:rPr>
  </w:style>
  <w:style w:type="paragraph" w:customStyle="1" w:styleId="afffffffffb">
    <w:name w:val="（一）标题"/>
    <w:basedOn w:val="31"/>
    <w:link w:val="Charff5"/>
    <w:qFormat/>
    <w:pPr>
      <w:spacing w:beforeLines="50" w:before="0" w:afterLines="50" w:after="240" w:line="360" w:lineRule="auto"/>
    </w:pPr>
    <w:rPr>
      <w:rFonts w:ascii="Arial" w:eastAsia="黑体" w:hAnsi="Arial" w:cs="Arial"/>
      <w:sz w:val="28"/>
    </w:rPr>
  </w:style>
  <w:style w:type="character" w:customStyle="1" w:styleId="Char1a">
    <w:name w:val="标题 Char1"/>
    <w:uiPriority w:val="99"/>
    <w:qFormat/>
    <w:rPr>
      <w:rFonts w:ascii="等线 Light" w:hAnsi="等线 Light" w:cs="Times New Roman"/>
      <w:b/>
      <w:bCs/>
      <w:kern w:val="2"/>
      <w:sz w:val="32"/>
      <w:szCs w:val="32"/>
    </w:rPr>
  </w:style>
  <w:style w:type="character" w:customStyle="1" w:styleId="Charff6">
    <w:name w:val="章标题 Char"/>
    <w:link w:val="afffffffffc"/>
    <w:qFormat/>
    <w:locked/>
    <w:rPr>
      <w:rFonts w:ascii="Cambria" w:eastAsia="黑体" w:hAnsi="Cambria"/>
      <w:b/>
      <w:bCs/>
      <w:sz w:val="32"/>
      <w:szCs w:val="32"/>
    </w:rPr>
  </w:style>
  <w:style w:type="paragraph" w:customStyle="1" w:styleId="afffffffffc">
    <w:name w:val="章标题"/>
    <w:basedOn w:val="afffa"/>
    <w:link w:val="Charff6"/>
    <w:qFormat/>
    <w:pPr>
      <w:shd w:val="clear" w:color="auto" w:fill="auto"/>
      <w:spacing w:beforeLines="50" w:afterLines="50" w:line="360" w:lineRule="auto"/>
    </w:pPr>
    <w:rPr>
      <w:rFonts w:ascii="Cambria" w:eastAsia="黑体" w:hAnsi="Cambria" w:cstheme="minorBidi"/>
    </w:rPr>
  </w:style>
  <w:style w:type="character" w:customStyle="1" w:styleId="Charff7">
    <w:name w:val="一、标题 Char"/>
    <w:link w:val="afffffffffd"/>
    <w:qFormat/>
    <w:locked/>
    <w:rPr>
      <w:rFonts w:ascii="Arial" w:eastAsia="黑体" w:hAnsi="Arial" w:cs="Arial"/>
      <w:b/>
      <w:bCs/>
      <w:sz w:val="28"/>
      <w:szCs w:val="28"/>
    </w:rPr>
  </w:style>
  <w:style w:type="paragraph" w:customStyle="1" w:styleId="afffffffffd">
    <w:name w:val="一、标题"/>
    <w:basedOn w:val="20"/>
    <w:link w:val="Charff7"/>
    <w:qFormat/>
    <w:pPr>
      <w:tabs>
        <w:tab w:val="left" w:pos="567"/>
      </w:tabs>
      <w:spacing w:beforeLines="50" w:before="0" w:afterLines="50" w:after="0" w:line="360" w:lineRule="auto"/>
      <w:ind w:left="567" w:hanging="567"/>
    </w:pPr>
    <w:rPr>
      <w:rFonts w:ascii="Arial" w:eastAsia="黑体" w:hAnsi="Arial" w:cs="Arial"/>
      <w:sz w:val="28"/>
      <w:szCs w:val="28"/>
    </w:rPr>
  </w:style>
  <w:style w:type="paragraph" w:customStyle="1" w:styleId="afffffffffe">
    <w:name w:val="附注二级"/>
    <w:basedOn w:val="a0"/>
    <w:uiPriority w:val="99"/>
    <w:qFormat/>
    <w:pPr>
      <w:widowControl w:val="0"/>
      <w:tabs>
        <w:tab w:val="left" w:pos="714"/>
      </w:tabs>
      <w:adjustRightInd w:val="0"/>
      <w:snapToGrid w:val="0"/>
      <w:spacing w:line="400" w:lineRule="atLeast"/>
      <w:ind w:left="756" w:hanging="770"/>
      <w:jc w:val="both"/>
      <w:outlineLvl w:val="0"/>
    </w:pPr>
    <w:rPr>
      <w:rFonts w:cs="Times New Roman"/>
      <w:b/>
      <w:kern w:val="2"/>
      <w:sz w:val="21"/>
      <w:szCs w:val="21"/>
    </w:rPr>
  </w:style>
  <w:style w:type="paragraph" w:customStyle="1" w:styleId="affffffffff">
    <w:name w:val="附注三级"/>
    <w:basedOn w:val="a0"/>
    <w:uiPriority w:val="99"/>
    <w:qFormat/>
    <w:pPr>
      <w:widowControl w:val="0"/>
      <w:tabs>
        <w:tab w:val="left" w:pos="1273"/>
      </w:tabs>
      <w:adjustRightInd w:val="0"/>
      <w:snapToGrid w:val="0"/>
      <w:spacing w:line="400" w:lineRule="atLeast"/>
      <w:ind w:leftChars="342" w:left="1256" w:hangingChars="255" w:hanging="538"/>
      <w:jc w:val="both"/>
    </w:pPr>
    <w:rPr>
      <w:rFonts w:cs="Times New Roman"/>
      <w:b/>
      <w:bCs/>
      <w:kern w:val="2"/>
      <w:sz w:val="21"/>
      <w:szCs w:val="21"/>
    </w:rPr>
  </w:style>
  <w:style w:type="paragraph" w:customStyle="1" w:styleId="affffffffff0">
    <w:name w:val="附注三级正文"/>
    <w:basedOn w:val="a0"/>
    <w:uiPriority w:val="99"/>
    <w:qFormat/>
    <w:pPr>
      <w:widowControl w:val="0"/>
      <w:tabs>
        <w:tab w:val="left" w:pos="630"/>
      </w:tabs>
      <w:adjustRightInd w:val="0"/>
      <w:snapToGrid w:val="0"/>
      <w:spacing w:line="400" w:lineRule="atLeast"/>
      <w:ind w:leftChars="600" w:left="1260"/>
      <w:jc w:val="both"/>
    </w:pPr>
    <w:rPr>
      <w:rFonts w:cs="Times New Roman"/>
      <w:kern w:val="2"/>
      <w:sz w:val="21"/>
      <w:szCs w:val="21"/>
    </w:rPr>
  </w:style>
  <w:style w:type="character" w:customStyle="1" w:styleId="Charff8">
    <w:name w:val="财务表格 Char"/>
    <w:link w:val="affffffffff1"/>
    <w:qFormat/>
    <w:locked/>
    <w:rPr>
      <w:szCs w:val="21"/>
    </w:rPr>
  </w:style>
  <w:style w:type="paragraph" w:customStyle="1" w:styleId="affffffffff1">
    <w:name w:val="财务表格"/>
    <w:basedOn w:val="a0"/>
    <w:link w:val="Charff8"/>
    <w:qFormat/>
    <w:rPr>
      <w:rFonts w:asciiTheme="minorHAnsi" w:eastAsiaTheme="minorEastAsia" w:hAnsiTheme="minorHAnsi" w:cstheme="minorBidi"/>
      <w:kern w:val="2"/>
      <w:sz w:val="21"/>
      <w:szCs w:val="21"/>
    </w:rPr>
  </w:style>
  <w:style w:type="character" w:customStyle="1" w:styleId="2Char6">
    <w:name w:val="财务表格2 Char"/>
    <w:link w:val="2ffc"/>
    <w:qFormat/>
    <w:locked/>
    <w:rPr>
      <w:szCs w:val="21"/>
    </w:rPr>
  </w:style>
  <w:style w:type="paragraph" w:customStyle="1" w:styleId="2ffc">
    <w:name w:val="财务表格2"/>
    <w:basedOn w:val="affffffffff1"/>
    <w:link w:val="2Char6"/>
    <w:qFormat/>
  </w:style>
  <w:style w:type="paragraph" w:customStyle="1" w:styleId="3ff5">
    <w:name w:val="财务表格3"/>
    <w:basedOn w:val="affffffffff1"/>
    <w:uiPriority w:val="99"/>
    <w:qFormat/>
    <w:rPr>
      <w:rFonts w:ascii="等线" w:eastAsia="等线" w:hAnsi="等线"/>
    </w:rPr>
  </w:style>
  <w:style w:type="character" w:customStyle="1" w:styleId="CharChar0">
    <w:name w:val="批注框文本 Char Char"/>
    <w:link w:val="1ffe"/>
    <w:qFormat/>
    <w:locked/>
    <w:rPr>
      <w:rFonts w:ascii="仿宋_GB2312" w:eastAsia="仿宋_GB2312"/>
      <w:sz w:val="18"/>
      <w:szCs w:val="18"/>
    </w:rPr>
  </w:style>
  <w:style w:type="paragraph" w:customStyle="1" w:styleId="1ffe">
    <w:name w:val="批注框文本1"/>
    <w:basedOn w:val="a0"/>
    <w:link w:val="CharChar0"/>
    <w:qFormat/>
    <w:pPr>
      <w:widowControl w:val="0"/>
      <w:snapToGrid w:val="0"/>
      <w:ind w:firstLine="556"/>
      <w:jc w:val="both"/>
    </w:pPr>
    <w:rPr>
      <w:rFonts w:ascii="仿宋_GB2312" w:eastAsia="仿宋_GB2312" w:hAnsiTheme="minorHAnsi" w:cstheme="minorBidi"/>
      <w:kern w:val="2"/>
      <w:sz w:val="18"/>
      <w:szCs w:val="18"/>
    </w:rPr>
  </w:style>
  <w:style w:type="paragraph" w:customStyle="1" w:styleId="ecxmsonormal">
    <w:name w:val="ecxmsonormal"/>
    <w:basedOn w:val="a0"/>
    <w:uiPriority w:val="99"/>
    <w:qFormat/>
    <w:pPr>
      <w:spacing w:before="100" w:beforeAutospacing="1" w:after="100" w:afterAutospacing="1"/>
    </w:pPr>
  </w:style>
  <w:style w:type="character" w:customStyle="1" w:styleId="Charff9">
    <w:name w:val="首行缩进 Char"/>
    <w:link w:val="affffffffff2"/>
    <w:qFormat/>
    <w:locked/>
    <w:rPr>
      <w:sz w:val="24"/>
      <w:szCs w:val="24"/>
    </w:rPr>
  </w:style>
  <w:style w:type="paragraph" w:customStyle="1" w:styleId="affffffffff2">
    <w:name w:val="首行缩进"/>
    <w:basedOn w:val="a0"/>
    <w:link w:val="Charff9"/>
    <w:qFormat/>
    <w:pPr>
      <w:widowControl w:val="0"/>
      <w:spacing w:beforeLines="30" w:line="400" w:lineRule="atLeast"/>
      <w:ind w:firstLineChars="200" w:firstLine="200"/>
      <w:jc w:val="both"/>
    </w:pPr>
    <w:rPr>
      <w:rFonts w:asciiTheme="minorHAnsi" w:eastAsiaTheme="minorEastAsia" w:hAnsiTheme="minorHAnsi" w:cstheme="minorBidi"/>
      <w:kern w:val="2"/>
    </w:rPr>
  </w:style>
  <w:style w:type="character" w:customStyle="1" w:styleId="Charffa">
    <w:name w:val="脚注 Char"/>
    <w:link w:val="affffffffff3"/>
    <w:qFormat/>
    <w:locked/>
    <w:rPr>
      <w:szCs w:val="24"/>
    </w:rPr>
  </w:style>
  <w:style w:type="paragraph" w:customStyle="1" w:styleId="affffffffff3">
    <w:name w:val="脚注"/>
    <w:basedOn w:val="a0"/>
    <w:link w:val="Charffa"/>
    <w:qFormat/>
    <w:pPr>
      <w:widowControl w:val="0"/>
      <w:jc w:val="both"/>
    </w:pPr>
    <w:rPr>
      <w:rFonts w:asciiTheme="minorHAnsi" w:eastAsiaTheme="minorEastAsia" w:hAnsiTheme="minorHAnsi" w:cstheme="minorBidi"/>
      <w:kern w:val="2"/>
      <w:sz w:val="21"/>
    </w:rPr>
  </w:style>
  <w:style w:type="character" w:customStyle="1" w:styleId="Charffb">
    <w:name w:val="表格注释 Char"/>
    <w:link w:val="affffffffff4"/>
    <w:qFormat/>
    <w:locked/>
    <w:rPr>
      <w:szCs w:val="21"/>
    </w:rPr>
  </w:style>
  <w:style w:type="paragraph" w:customStyle="1" w:styleId="affffffffff4">
    <w:name w:val="表格注释"/>
    <w:basedOn w:val="a0"/>
    <w:next w:val="affffffff8"/>
    <w:link w:val="Charffb"/>
    <w:qFormat/>
    <w:pPr>
      <w:widowControl w:val="0"/>
      <w:spacing w:line="288" w:lineRule="auto"/>
      <w:jc w:val="both"/>
    </w:pPr>
    <w:rPr>
      <w:rFonts w:asciiTheme="minorHAnsi" w:eastAsiaTheme="minorEastAsia" w:hAnsiTheme="minorHAnsi" w:cstheme="minorBidi"/>
      <w:kern w:val="2"/>
      <w:sz w:val="21"/>
      <w:szCs w:val="21"/>
    </w:rPr>
  </w:style>
  <w:style w:type="paragraph" w:customStyle="1" w:styleId="2ffd">
    <w:name w:val="批注框文本2"/>
    <w:basedOn w:val="a0"/>
    <w:uiPriority w:val="99"/>
    <w:qFormat/>
    <w:pPr>
      <w:widowControl w:val="0"/>
      <w:snapToGrid w:val="0"/>
      <w:ind w:firstLine="556"/>
      <w:jc w:val="both"/>
    </w:pPr>
    <w:rPr>
      <w:rFonts w:ascii="仿宋_GB2312" w:eastAsia="仿宋_GB2312" w:hAnsi="Times New Roman" w:cs="Times New Roman"/>
      <w:sz w:val="18"/>
      <w:szCs w:val="18"/>
    </w:rPr>
  </w:style>
  <w:style w:type="paragraph" w:customStyle="1" w:styleId="affffffffff5">
    <w:name w:val="a"/>
    <w:basedOn w:val="a0"/>
    <w:uiPriority w:val="99"/>
    <w:qFormat/>
    <w:pPr>
      <w:spacing w:before="100" w:beforeAutospacing="1" w:after="100" w:afterAutospacing="1"/>
    </w:pPr>
  </w:style>
  <w:style w:type="paragraph" w:customStyle="1" w:styleId="ecxdefault">
    <w:name w:val="ecxdefault"/>
    <w:basedOn w:val="a0"/>
    <w:uiPriority w:val="99"/>
    <w:qFormat/>
    <w:pPr>
      <w:spacing w:before="100" w:beforeAutospacing="1" w:after="100" w:afterAutospacing="1"/>
    </w:pPr>
  </w:style>
  <w:style w:type="character" w:customStyle="1" w:styleId="Charffc">
    <w:name w:val="回复正文 Char"/>
    <w:link w:val="affffffffff6"/>
    <w:qFormat/>
    <w:locked/>
    <w:rPr>
      <w:sz w:val="24"/>
      <w:szCs w:val="24"/>
    </w:rPr>
  </w:style>
  <w:style w:type="paragraph" w:customStyle="1" w:styleId="affffffffff6">
    <w:name w:val="回复正文"/>
    <w:basedOn w:val="a0"/>
    <w:link w:val="Charffc"/>
    <w:qFormat/>
    <w:pPr>
      <w:widowControl w:val="0"/>
      <w:spacing w:line="360" w:lineRule="auto"/>
      <w:ind w:firstLineChars="200" w:firstLine="480"/>
      <w:jc w:val="both"/>
    </w:pPr>
    <w:rPr>
      <w:rFonts w:asciiTheme="minorHAnsi" w:eastAsiaTheme="minorEastAsia" w:hAnsiTheme="minorHAnsi" w:cstheme="minorBidi"/>
      <w:kern w:val="2"/>
    </w:rPr>
  </w:style>
  <w:style w:type="paragraph" w:customStyle="1" w:styleId="-31">
    <w:name w:val="彩色底纹 - 强调文字颜色 31"/>
    <w:basedOn w:val="a0"/>
    <w:uiPriority w:val="34"/>
    <w:qFormat/>
    <w:pPr>
      <w:widowControl w:val="0"/>
      <w:spacing w:beforeLines="50" w:line="360" w:lineRule="auto"/>
      <w:ind w:firstLineChars="200" w:firstLine="420"/>
      <w:jc w:val="both"/>
    </w:pPr>
    <w:rPr>
      <w:rFonts w:ascii="Calibri" w:hAnsi="Calibri" w:cs="Times New Roman"/>
      <w:kern w:val="2"/>
      <w:szCs w:val="22"/>
    </w:rPr>
  </w:style>
  <w:style w:type="character" w:customStyle="1" w:styleId="02Char0">
    <w:name w:val="02标题二 Char"/>
    <w:link w:val="020"/>
    <w:qFormat/>
    <w:locked/>
    <w:rPr>
      <w:rFonts w:ascii="宋体" w:hAnsi="宋体"/>
      <w:b/>
      <w:sz w:val="24"/>
      <w:szCs w:val="24"/>
    </w:rPr>
  </w:style>
  <w:style w:type="paragraph" w:customStyle="1" w:styleId="020">
    <w:name w:val="02标题二"/>
    <w:basedOn w:val="a0"/>
    <w:link w:val="02Char0"/>
    <w:qFormat/>
    <w:pPr>
      <w:widowControl w:val="0"/>
      <w:spacing w:beforeLines="150" w:line="360" w:lineRule="auto"/>
      <w:ind w:firstLineChars="200" w:firstLine="482"/>
      <w:jc w:val="both"/>
      <w:outlineLvl w:val="2"/>
    </w:pPr>
    <w:rPr>
      <w:rFonts w:eastAsiaTheme="minorEastAsia" w:cstheme="minorBidi"/>
      <w:b/>
      <w:kern w:val="2"/>
    </w:rPr>
  </w:style>
  <w:style w:type="character" w:customStyle="1" w:styleId="01Char">
    <w:name w:val="01标题一 Char"/>
    <w:link w:val="01"/>
    <w:qFormat/>
    <w:locked/>
    <w:rPr>
      <w:rFonts w:ascii="黑体" w:eastAsia="黑体" w:hAnsi="宋体"/>
      <w:b/>
      <w:sz w:val="28"/>
      <w:szCs w:val="28"/>
    </w:rPr>
  </w:style>
  <w:style w:type="paragraph" w:customStyle="1" w:styleId="01">
    <w:name w:val="01标题一"/>
    <w:basedOn w:val="a0"/>
    <w:link w:val="01Char"/>
    <w:qFormat/>
    <w:pPr>
      <w:widowControl w:val="0"/>
      <w:spacing w:beforeLines="150" w:line="360" w:lineRule="auto"/>
      <w:jc w:val="both"/>
      <w:outlineLvl w:val="1"/>
    </w:pPr>
    <w:rPr>
      <w:rFonts w:ascii="黑体" w:eastAsia="黑体" w:cstheme="minorBidi"/>
      <w:b/>
      <w:kern w:val="2"/>
      <w:sz w:val="28"/>
      <w:szCs w:val="28"/>
    </w:rPr>
  </w:style>
  <w:style w:type="character" w:customStyle="1" w:styleId="03Char0">
    <w:name w:val="03标题三 Char"/>
    <w:link w:val="030"/>
    <w:qFormat/>
    <w:locked/>
    <w:rPr>
      <w:rFonts w:ascii="宋体" w:hAnsi="宋体"/>
      <w:b/>
      <w:sz w:val="24"/>
      <w:szCs w:val="24"/>
    </w:rPr>
  </w:style>
  <w:style w:type="paragraph" w:customStyle="1" w:styleId="030">
    <w:name w:val="03标题三"/>
    <w:basedOn w:val="a0"/>
    <w:link w:val="03Char0"/>
    <w:qFormat/>
    <w:pPr>
      <w:widowControl w:val="0"/>
      <w:spacing w:beforeLines="100" w:line="360" w:lineRule="auto"/>
      <w:ind w:firstLineChars="200" w:firstLine="482"/>
      <w:jc w:val="both"/>
      <w:outlineLvl w:val="3"/>
    </w:pPr>
    <w:rPr>
      <w:rFonts w:eastAsiaTheme="minorEastAsia" w:cstheme="minorBidi"/>
      <w:b/>
      <w:kern w:val="2"/>
    </w:rPr>
  </w:style>
  <w:style w:type="paragraph" w:customStyle="1" w:styleId="-310">
    <w:name w:val="深色列表 - 强调文字颜色 31"/>
    <w:uiPriority w:val="71"/>
    <w:qFormat/>
    <w:rPr>
      <w:rFonts w:ascii="Calibri" w:eastAsia="宋体" w:hAnsi="Calibri" w:cs="Times New Roman"/>
      <w:kern w:val="2"/>
      <w:sz w:val="24"/>
      <w:szCs w:val="22"/>
    </w:rPr>
  </w:style>
  <w:style w:type="character" w:customStyle="1" w:styleId="2Char7">
    <w:name w:val="标题2 Char"/>
    <w:link w:val="2ffe"/>
    <w:qFormat/>
    <w:locked/>
    <w:rPr>
      <w:rFonts w:ascii="Arial" w:hAnsi="Arial" w:cs="Arial"/>
      <w:b/>
      <w:bCs/>
      <w:sz w:val="28"/>
      <w:szCs w:val="28"/>
    </w:rPr>
  </w:style>
  <w:style w:type="paragraph" w:customStyle="1" w:styleId="2ffe">
    <w:name w:val="标题2"/>
    <w:basedOn w:val="20"/>
    <w:link w:val="2Char7"/>
    <w:qFormat/>
    <w:pPr>
      <w:tabs>
        <w:tab w:val="left" w:pos="567"/>
      </w:tabs>
      <w:spacing w:beforeLines="150" w:before="0" w:afterLines="50" w:after="0" w:line="360" w:lineRule="auto"/>
      <w:ind w:left="567" w:firstLineChars="196" w:firstLine="551"/>
    </w:pPr>
    <w:rPr>
      <w:rFonts w:ascii="Arial" w:eastAsiaTheme="minorEastAsia" w:hAnsi="Arial" w:cs="Arial"/>
      <w:sz w:val="28"/>
      <w:szCs w:val="28"/>
    </w:rPr>
  </w:style>
  <w:style w:type="paragraph" w:customStyle="1" w:styleId="reader-word-layer">
    <w:name w:val="reader-word-layer"/>
    <w:basedOn w:val="a0"/>
    <w:uiPriority w:val="99"/>
    <w:qFormat/>
    <w:pPr>
      <w:spacing w:before="100" w:beforeAutospacing="1" w:after="100" w:afterAutospacing="1" w:line="360" w:lineRule="auto"/>
      <w:ind w:firstLineChars="200" w:firstLine="200"/>
    </w:pPr>
  </w:style>
  <w:style w:type="paragraph" w:customStyle="1" w:styleId="1fff">
    <w:name w:val="修订版本号1"/>
    <w:uiPriority w:val="99"/>
    <w:semiHidden/>
    <w:qFormat/>
    <w:rPr>
      <w:rFonts w:ascii="Calibri" w:eastAsia="宋体" w:hAnsi="Calibri" w:cs="Times New Roman"/>
      <w:kern w:val="2"/>
      <w:sz w:val="24"/>
      <w:szCs w:val="22"/>
    </w:rPr>
  </w:style>
  <w:style w:type="character" w:customStyle="1" w:styleId="05Char0">
    <w:name w:val="05内页正文 Char"/>
    <w:link w:val="050"/>
    <w:qFormat/>
    <w:locked/>
    <w:rPr>
      <w:rFonts w:ascii="Arial" w:hAnsi="Arial" w:cs="Arial"/>
      <w:sz w:val="24"/>
      <w:szCs w:val="24"/>
    </w:rPr>
  </w:style>
  <w:style w:type="paragraph" w:customStyle="1" w:styleId="050">
    <w:name w:val="05内页正文"/>
    <w:basedOn w:val="a0"/>
    <w:link w:val="05Char0"/>
    <w:qFormat/>
    <w:pPr>
      <w:widowControl w:val="0"/>
      <w:spacing w:line="360" w:lineRule="auto"/>
      <w:ind w:firstLine="480"/>
      <w:jc w:val="both"/>
    </w:pPr>
    <w:rPr>
      <w:rFonts w:ascii="Arial" w:eastAsiaTheme="minorEastAsia" w:hAnsi="Arial" w:cs="Arial"/>
      <w:kern w:val="2"/>
    </w:rPr>
  </w:style>
  <w:style w:type="paragraph" w:customStyle="1" w:styleId="TOC11">
    <w:name w:val="TOC 标题11"/>
    <w:basedOn w:val="1"/>
    <w:next w:val="a0"/>
    <w:uiPriority w:val="39"/>
    <w:qFormat/>
    <w:pPr>
      <w:widowControl/>
      <w:tabs>
        <w:tab w:val="left" w:pos="567"/>
      </w:tabs>
      <w:spacing w:line="276" w:lineRule="auto"/>
      <w:ind w:left="567" w:hanging="567"/>
      <w:jc w:val="left"/>
      <w:outlineLvl w:val="9"/>
    </w:pPr>
    <w:rPr>
      <w:rFonts w:ascii="Cambria" w:eastAsia="MS Gothic" w:hAnsi="Cambria"/>
      <w:color w:val="365F91"/>
      <w:kern w:val="0"/>
      <w:sz w:val="28"/>
      <w:szCs w:val="28"/>
      <w:lang w:eastAsia="ja-JP"/>
    </w:rPr>
  </w:style>
  <w:style w:type="character" w:customStyle="1" w:styleId="Charfe">
    <w:name w:val="表格内容 Char"/>
    <w:link w:val="afffffffb"/>
    <w:qFormat/>
    <w:locked/>
    <w:rPr>
      <w:rFonts w:ascii="Arial" w:eastAsia="楷体_GB2312" w:hAnsi="Arial" w:cs="Times New Roman"/>
      <w:spacing w:val="-25"/>
      <w:kern w:val="0"/>
      <w:sz w:val="24"/>
      <w:szCs w:val="20"/>
    </w:rPr>
  </w:style>
  <w:style w:type="character" w:customStyle="1" w:styleId="Charffd">
    <w:name w:val="表蕊表头 Char"/>
    <w:link w:val="affffffffff7"/>
    <w:qFormat/>
    <w:locked/>
    <w:rPr>
      <w:rFonts w:ascii="Arial" w:hAnsi="Arial" w:cs="Arial"/>
      <w:b/>
      <w:szCs w:val="21"/>
    </w:rPr>
  </w:style>
  <w:style w:type="paragraph" w:customStyle="1" w:styleId="affffffffff7">
    <w:name w:val="表蕊表头"/>
    <w:basedOn w:val="a0"/>
    <w:link w:val="Charffd"/>
    <w:qFormat/>
    <w:pPr>
      <w:adjustRightInd w:val="0"/>
      <w:jc w:val="center"/>
    </w:pPr>
    <w:rPr>
      <w:rFonts w:ascii="Arial" w:eastAsiaTheme="minorEastAsia" w:hAnsi="Arial" w:cs="Arial"/>
      <w:b/>
      <w:kern w:val="2"/>
      <w:sz w:val="21"/>
      <w:szCs w:val="21"/>
    </w:rPr>
  </w:style>
  <w:style w:type="character" w:customStyle="1" w:styleId="1CharChar0">
    <w:name w:val="正文段落1 Char Char"/>
    <w:link w:val="1fff0"/>
    <w:qFormat/>
    <w:locked/>
    <w:rPr>
      <w:rFonts w:ascii="楷体_GB2312" w:eastAsia="楷体_GB2312"/>
      <w:bCs/>
    </w:rPr>
  </w:style>
  <w:style w:type="paragraph" w:customStyle="1" w:styleId="1fff0">
    <w:name w:val="正文段落1"/>
    <w:basedOn w:val="a0"/>
    <w:link w:val="1CharChar0"/>
    <w:qFormat/>
    <w:pPr>
      <w:widowControl w:val="0"/>
      <w:tabs>
        <w:tab w:val="left" w:pos="1200"/>
        <w:tab w:val="left" w:pos="7920"/>
        <w:tab w:val="left" w:pos="8280"/>
      </w:tabs>
      <w:spacing w:beforeLines="50" w:line="400" w:lineRule="exact"/>
      <w:ind w:rightChars="12" w:right="25" w:firstLineChars="200" w:firstLine="480"/>
      <w:jc w:val="both"/>
    </w:pPr>
    <w:rPr>
      <w:rFonts w:ascii="楷体_GB2312" w:eastAsia="楷体_GB2312" w:hAnsiTheme="minorHAnsi" w:cstheme="minorBidi"/>
      <w:bCs/>
      <w:kern w:val="2"/>
      <w:sz w:val="21"/>
      <w:szCs w:val="22"/>
    </w:rPr>
  </w:style>
  <w:style w:type="paragraph" w:customStyle="1" w:styleId="affffffffff8">
    <w:name w:val="表格小五"/>
    <w:basedOn w:val="a0"/>
    <w:uiPriority w:val="99"/>
    <w:qFormat/>
    <w:pPr>
      <w:widowControl w:val="0"/>
      <w:adjustRightInd w:val="0"/>
      <w:snapToGrid w:val="0"/>
      <w:spacing w:line="240" w:lineRule="exact"/>
      <w:ind w:rightChars="-20" w:right="-48"/>
      <w:jc w:val="center"/>
    </w:pPr>
    <w:rPr>
      <w:rFonts w:ascii="Times New Roman" w:hAnsi="Times New Roman" w:cs="Times New Roman"/>
      <w:kern w:val="40"/>
      <w:sz w:val="18"/>
      <w:szCs w:val="21"/>
    </w:rPr>
  </w:style>
  <w:style w:type="character" w:customStyle="1" w:styleId="Charffe">
    <w:name w:val="表头 Char"/>
    <w:link w:val="affffffffff9"/>
    <w:qFormat/>
    <w:locked/>
    <w:rPr>
      <w:rFonts w:ascii="Arial" w:hAnsi="Arial" w:cs="Arial"/>
      <w:b/>
      <w:szCs w:val="21"/>
    </w:rPr>
  </w:style>
  <w:style w:type="paragraph" w:customStyle="1" w:styleId="affffffffff9">
    <w:name w:val="表头"/>
    <w:basedOn w:val="a0"/>
    <w:link w:val="Charffe"/>
    <w:qFormat/>
    <w:pPr>
      <w:widowControl w:val="0"/>
      <w:spacing w:beforeLines="50"/>
      <w:ind w:firstLineChars="200" w:firstLine="200"/>
    </w:pPr>
    <w:rPr>
      <w:rFonts w:ascii="Arial" w:eastAsiaTheme="minorEastAsia" w:hAnsi="Arial" w:cs="Arial"/>
      <w:b/>
      <w:kern w:val="2"/>
      <w:sz w:val="21"/>
      <w:szCs w:val="21"/>
    </w:rPr>
  </w:style>
  <w:style w:type="paragraph" w:customStyle="1" w:styleId="5f2">
    <w:name w:val="我的样式5"/>
    <w:basedOn w:val="a0"/>
    <w:next w:val="a0"/>
    <w:uiPriority w:val="99"/>
    <w:qFormat/>
    <w:pPr>
      <w:widowControl w:val="0"/>
      <w:tabs>
        <w:tab w:val="left" w:pos="900"/>
      </w:tabs>
      <w:spacing w:line="520" w:lineRule="exact"/>
      <w:jc w:val="both"/>
    </w:pPr>
    <w:rPr>
      <w:rFonts w:ascii="Times New Roman" w:hAnsi="Times New Roman" w:cs="Times New Roman"/>
      <w:kern w:val="2"/>
    </w:rPr>
  </w:style>
  <w:style w:type="paragraph" w:customStyle="1" w:styleId="Char1CharCharCharCharCharCharCharCharCharCharChar1CharCharCharCharCharCharChar2">
    <w:name w:val="Char1 Char Char Char Char Char Char Char Char Char Char Char1 Char Char Char Char Char Char Char2"/>
    <w:basedOn w:val="a0"/>
    <w:uiPriority w:val="99"/>
    <w:qFormat/>
    <w:pPr>
      <w:widowControl w:val="0"/>
      <w:jc w:val="both"/>
    </w:pPr>
    <w:rPr>
      <w:rFonts w:ascii="Tahoma" w:hAnsi="Tahoma" w:cs="Times New Roman"/>
      <w:kern w:val="2"/>
      <w:szCs w:val="20"/>
    </w:rPr>
  </w:style>
  <w:style w:type="paragraph" w:customStyle="1" w:styleId="Schedule1">
    <w:name w:val="Schedule 1"/>
    <w:basedOn w:val="a0"/>
    <w:uiPriority w:val="99"/>
    <w:qFormat/>
    <w:pPr>
      <w:widowControl w:val="0"/>
      <w:numPr>
        <w:numId w:val="13"/>
      </w:numPr>
      <w:jc w:val="both"/>
    </w:pPr>
    <w:rPr>
      <w:rFonts w:ascii="Times New Roman" w:hAnsi="Times New Roman" w:cs="Times New Roman"/>
      <w:kern w:val="2"/>
      <w:sz w:val="21"/>
    </w:rPr>
  </w:style>
  <w:style w:type="paragraph" w:customStyle="1" w:styleId="Schedule2">
    <w:name w:val="Schedule 2"/>
    <w:basedOn w:val="a0"/>
    <w:uiPriority w:val="99"/>
    <w:qFormat/>
    <w:pPr>
      <w:widowControl w:val="0"/>
      <w:numPr>
        <w:ilvl w:val="1"/>
        <w:numId w:val="13"/>
      </w:numPr>
      <w:ind w:firstLine="0"/>
      <w:jc w:val="both"/>
    </w:pPr>
    <w:rPr>
      <w:rFonts w:ascii="Times New Roman" w:hAnsi="Times New Roman" w:cs="Times New Roman"/>
      <w:kern w:val="2"/>
      <w:sz w:val="21"/>
    </w:rPr>
  </w:style>
  <w:style w:type="paragraph" w:customStyle="1" w:styleId="Schedule3">
    <w:name w:val="Schedule 3"/>
    <w:basedOn w:val="a0"/>
    <w:uiPriority w:val="99"/>
    <w:qFormat/>
    <w:pPr>
      <w:widowControl w:val="0"/>
      <w:numPr>
        <w:ilvl w:val="2"/>
        <w:numId w:val="13"/>
      </w:numPr>
      <w:ind w:firstLine="0"/>
      <w:jc w:val="both"/>
    </w:pPr>
    <w:rPr>
      <w:rFonts w:ascii="Times New Roman" w:hAnsi="Times New Roman" w:cs="Times New Roman"/>
      <w:kern w:val="2"/>
      <w:sz w:val="21"/>
    </w:rPr>
  </w:style>
  <w:style w:type="paragraph" w:customStyle="1" w:styleId="Schedule4">
    <w:name w:val="Schedule 4"/>
    <w:basedOn w:val="a0"/>
    <w:uiPriority w:val="99"/>
    <w:qFormat/>
    <w:pPr>
      <w:widowControl w:val="0"/>
      <w:numPr>
        <w:ilvl w:val="3"/>
        <w:numId w:val="13"/>
      </w:numPr>
      <w:ind w:firstLine="0"/>
      <w:jc w:val="both"/>
    </w:pPr>
    <w:rPr>
      <w:rFonts w:ascii="Times New Roman" w:hAnsi="Times New Roman" w:cs="Times New Roman"/>
      <w:kern w:val="2"/>
      <w:sz w:val="21"/>
    </w:rPr>
  </w:style>
  <w:style w:type="paragraph" w:customStyle="1" w:styleId="Schedule5">
    <w:name w:val="Schedule 5"/>
    <w:basedOn w:val="a0"/>
    <w:uiPriority w:val="99"/>
    <w:qFormat/>
    <w:pPr>
      <w:widowControl w:val="0"/>
      <w:numPr>
        <w:ilvl w:val="4"/>
        <w:numId w:val="13"/>
      </w:numPr>
      <w:ind w:firstLine="0"/>
      <w:jc w:val="both"/>
    </w:pPr>
    <w:rPr>
      <w:rFonts w:ascii="Times New Roman" w:hAnsi="Times New Roman" w:cs="Times New Roman"/>
      <w:kern w:val="2"/>
      <w:sz w:val="21"/>
    </w:rPr>
  </w:style>
  <w:style w:type="paragraph" w:customStyle="1" w:styleId="Schedule6">
    <w:name w:val="Schedule 6"/>
    <w:basedOn w:val="a0"/>
    <w:uiPriority w:val="99"/>
    <w:qFormat/>
    <w:pPr>
      <w:widowControl w:val="0"/>
      <w:numPr>
        <w:ilvl w:val="5"/>
        <w:numId w:val="13"/>
      </w:numPr>
      <w:ind w:firstLine="0"/>
      <w:jc w:val="both"/>
    </w:pPr>
    <w:rPr>
      <w:rFonts w:ascii="Times New Roman" w:hAnsi="Times New Roman" w:cs="Times New Roman"/>
      <w:kern w:val="2"/>
      <w:sz w:val="21"/>
    </w:rPr>
  </w:style>
  <w:style w:type="paragraph" w:customStyle="1" w:styleId="-32">
    <w:name w:val="附注-标题3"/>
    <w:uiPriority w:val="99"/>
    <w:qFormat/>
    <w:pPr>
      <w:tabs>
        <w:tab w:val="left" w:pos="1125"/>
      </w:tabs>
      <w:spacing w:beforeLines="25" w:line="360" w:lineRule="auto"/>
      <w:ind w:left="1125" w:hanging="720"/>
      <w:outlineLvl w:val="1"/>
    </w:pPr>
    <w:rPr>
      <w:rFonts w:ascii="Arial Narrow" w:eastAsia="宋体" w:hAnsi="Arial Narrow" w:cs="Times New Roman"/>
      <w:b/>
      <w:kern w:val="2"/>
      <w:sz w:val="21"/>
      <w:szCs w:val="21"/>
    </w:rPr>
  </w:style>
  <w:style w:type="paragraph" w:customStyle="1" w:styleId="Char1CharCharCharCharCharCharCharCharCharCharChar1CharCharCharCharCharCharChar1">
    <w:name w:val="Char1 Char Char Char Char Char Char Char Char Char Char Char1 Char Char Char Char Char Char Char1"/>
    <w:basedOn w:val="a0"/>
    <w:uiPriority w:val="99"/>
    <w:qFormat/>
    <w:pPr>
      <w:widowControl w:val="0"/>
      <w:jc w:val="both"/>
    </w:pPr>
    <w:rPr>
      <w:rFonts w:ascii="Tahoma" w:hAnsi="Tahoma" w:cs="Times New Roman"/>
      <w:kern w:val="2"/>
      <w:szCs w:val="20"/>
    </w:rPr>
  </w:style>
  <w:style w:type="paragraph" w:customStyle="1" w:styleId="DD">
    <w:name w:val="铁龙_DD正文"/>
    <w:basedOn w:val="a0"/>
    <w:uiPriority w:val="99"/>
    <w:qFormat/>
    <w:pPr>
      <w:widowControl w:val="0"/>
      <w:spacing w:before="120" w:line="360" w:lineRule="auto"/>
      <w:ind w:firstLineChars="200" w:firstLine="480"/>
      <w:jc w:val="both"/>
    </w:pPr>
    <w:rPr>
      <w:rFonts w:ascii="Times New Roman" w:hAnsi="Times New Roman" w:cs="Times New Roman"/>
      <w:kern w:val="2"/>
    </w:rPr>
  </w:style>
  <w:style w:type="character" w:customStyle="1" w:styleId="Charfff">
    <w:name w:val="津滨发展正文 Char"/>
    <w:link w:val="affffffffffa"/>
    <w:qFormat/>
    <w:locked/>
    <w:rPr>
      <w:rFonts w:ascii="Arial" w:eastAsia="Arial" w:hAnsi="宋体" w:cs="Arial"/>
      <w:sz w:val="24"/>
      <w:szCs w:val="24"/>
    </w:rPr>
  </w:style>
  <w:style w:type="paragraph" w:customStyle="1" w:styleId="affffffffffa">
    <w:name w:val="津滨发展正文"/>
    <w:basedOn w:val="a0"/>
    <w:link w:val="Charfff"/>
    <w:qFormat/>
    <w:pPr>
      <w:spacing w:line="360" w:lineRule="auto"/>
      <w:ind w:firstLineChars="200" w:firstLine="480"/>
    </w:pPr>
    <w:rPr>
      <w:rFonts w:ascii="Arial" w:eastAsia="Arial" w:cs="Arial"/>
      <w:kern w:val="2"/>
    </w:rPr>
  </w:style>
  <w:style w:type="character" w:customStyle="1" w:styleId="CharChar13">
    <w:name w:val="段 Char Char1"/>
    <w:link w:val="Charfff0"/>
    <w:qFormat/>
    <w:locked/>
    <w:rPr>
      <w:rFonts w:ascii="Arial" w:hAnsi="Arial" w:cs="Arial"/>
      <w:color w:val="000000"/>
      <w:sz w:val="24"/>
    </w:rPr>
  </w:style>
  <w:style w:type="paragraph" w:customStyle="1" w:styleId="Charfff0">
    <w:name w:val="段 Char"/>
    <w:basedOn w:val="a0"/>
    <w:link w:val="CharChar13"/>
    <w:qFormat/>
    <w:pPr>
      <w:widowControl w:val="0"/>
      <w:tabs>
        <w:tab w:val="left" w:pos="180"/>
        <w:tab w:val="left" w:pos="6960"/>
        <w:tab w:val="left" w:pos="8100"/>
      </w:tabs>
      <w:adjustRightInd w:val="0"/>
      <w:snapToGrid w:val="0"/>
      <w:spacing w:line="520" w:lineRule="atLeast"/>
      <w:ind w:right="26" w:firstLineChars="200" w:firstLine="480"/>
      <w:jc w:val="both"/>
    </w:pPr>
    <w:rPr>
      <w:rFonts w:ascii="Arial" w:eastAsiaTheme="minorEastAsia" w:hAnsi="Arial" w:cs="Arial"/>
      <w:color w:val="000000"/>
      <w:kern w:val="2"/>
      <w:szCs w:val="22"/>
    </w:rPr>
  </w:style>
  <w:style w:type="paragraph" w:customStyle="1" w:styleId="1fff1">
    <w:name w:val="文本块1"/>
    <w:basedOn w:val="a0"/>
    <w:uiPriority w:val="99"/>
    <w:qFormat/>
    <w:pPr>
      <w:widowControl w:val="0"/>
      <w:autoSpaceDE w:val="0"/>
      <w:autoSpaceDN w:val="0"/>
      <w:adjustRightInd w:val="0"/>
      <w:spacing w:line="360" w:lineRule="auto"/>
      <w:ind w:left="600" w:right="-328"/>
    </w:pPr>
    <w:rPr>
      <w:rFonts w:hAnsi="Times New Roman" w:cs="Times New Roman"/>
      <w:sz w:val="30"/>
      <w:szCs w:val="20"/>
    </w:r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8">
    <w:name w:val="xl88"/>
    <w:basedOn w:val="a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89">
    <w:name w:val="xl89"/>
    <w:basedOn w:val="a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90">
    <w:name w:val="xl90"/>
    <w:basedOn w:val="a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style>
  <w:style w:type="paragraph" w:customStyle="1" w:styleId="xl91">
    <w:name w:val="xl91"/>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2">
    <w:name w:val="xl92"/>
    <w:basedOn w:val="a0"/>
    <w:qFormat/>
    <w:pPr>
      <w:shd w:val="clear" w:color="auto" w:fill="FFFFFF"/>
      <w:spacing w:before="100" w:beforeAutospacing="1" w:after="100" w:afterAutospacing="1"/>
    </w:pPr>
  </w:style>
  <w:style w:type="character" w:customStyle="1" w:styleId="Bodytext">
    <w:name w:val="Body text_"/>
    <w:link w:val="79"/>
    <w:qFormat/>
    <w:locked/>
    <w:rPr>
      <w:rFonts w:ascii="MingLiU" w:eastAsia="MingLiU" w:hAnsi="MingLiU" w:cs="MingLiU"/>
      <w:spacing w:val="10"/>
      <w:sz w:val="22"/>
      <w:shd w:val="clear" w:color="auto" w:fill="FFFFFF"/>
    </w:rPr>
  </w:style>
  <w:style w:type="paragraph" w:customStyle="1" w:styleId="79">
    <w:name w:val="正文文本7"/>
    <w:basedOn w:val="a0"/>
    <w:link w:val="Bodytext"/>
    <w:qFormat/>
    <w:pPr>
      <w:widowControl w:val="0"/>
      <w:shd w:val="clear" w:color="auto" w:fill="FFFFFF"/>
      <w:spacing w:before="4260" w:line="418" w:lineRule="exact"/>
      <w:jc w:val="distribute"/>
    </w:pPr>
    <w:rPr>
      <w:rFonts w:ascii="MingLiU" w:eastAsia="MingLiU" w:hAnsi="MingLiU" w:cs="MingLiU"/>
      <w:spacing w:val="10"/>
      <w:kern w:val="2"/>
      <w:sz w:val="22"/>
      <w:szCs w:val="22"/>
    </w:rPr>
  </w:style>
  <w:style w:type="paragraph" w:customStyle="1" w:styleId="affffffffffb">
    <w:name w:val="目录样式"/>
    <w:basedOn w:val="TOC2"/>
    <w:next w:val="a0"/>
    <w:uiPriority w:val="99"/>
    <w:qFormat/>
    <w:pPr>
      <w:tabs>
        <w:tab w:val="clear" w:pos="8296"/>
      </w:tabs>
      <w:spacing w:line="240" w:lineRule="auto"/>
      <w:ind w:leftChars="0" w:left="210"/>
      <w:jc w:val="left"/>
    </w:pPr>
    <w:rPr>
      <w:rFonts w:ascii="Calibri" w:hAnsi="Calibri"/>
      <w:smallCaps/>
      <w:sz w:val="20"/>
      <w:szCs w:val="20"/>
    </w:rPr>
  </w:style>
  <w:style w:type="paragraph" w:customStyle="1" w:styleId="2fff">
    <w:name w:val="纯文本2"/>
    <w:basedOn w:val="a0"/>
    <w:uiPriority w:val="99"/>
    <w:qFormat/>
    <w:pPr>
      <w:widowControl w:val="0"/>
      <w:adjustRightInd w:val="0"/>
      <w:jc w:val="both"/>
    </w:pPr>
    <w:rPr>
      <w:rFonts w:hAnsi="Courier New" w:cs="Times New Roman"/>
      <w:kern w:val="2"/>
      <w:sz w:val="21"/>
      <w:szCs w:val="20"/>
    </w:rPr>
  </w:style>
  <w:style w:type="paragraph" w:customStyle="1" w:styleId="2fff0">
    <w:name w:val="日期2"/>
    <w:basedOn w:val="a0"/>
    <w:next w:val="a0"/>
    <w:uiPriority w:val="99"/>
    <w:qFormat/>
    <w:pPr>
      <w:widowControl w:val="0"/>
      <w:autoSpaceDE w:val="0"/>
      <w:autoSpaceDN w:val="0"/>
      <w:adjustRightInd w:val="0"/>
      <w:spacing w:line="312" w:lineRule="atLeast"/>
      <w:jc w:val="right"/>
    </w:pPr>
    <w:rPr>
      <w:rFonts w:ascii="仿宋_GB2312" w:eastAsia="仿宋_GB2312" w:hAnsi="Times New Roman" w:cs="Times New Roman"/>
      <w:sz w:val="28"/>
      <w:szCs w:val="20"/>
    </w:rPr>
  </w:style>
  <w:style w:type="paragraph" w:customStyle="1" w:styleId="22a">
    <w:name w:val="正文文本缩进 22"/>
    <w:basedOn w:val="a0"/>
    <w:uiPriority w:val="99"/>
    <w:qFormat/>
    <w:pPr>
      <w:widowControl w:val="0"/>
      <w:adjustRightInd w:val="0"/>
      <w:spacing w:line="288" w:lineRule="auto"/>
      <w:ind w:firstLine="540"/>
      <w:jc w:val="both"/>
    </w:pPr>
    <w:rPr>
      <w:rFonts w:ascii="Times New Roman" w:hAnsi="Times New Roman" w:cs="Times New Roman"/>
      <w:kern w:val="2"/>
      <w:sz w:val="28"/>
      <w:szCs w:val="20"/>
    </w:rPr>
  </w:style>
  <w:style w:type="paragraph" w:customStyle="1" w:styleId="2fff1">
    <w:name w:val="文本块2"/>
    <w:basedOn w:val="a0"/>
    <w:uiPriority w:val="99"/>
    <w:qFormat/>
    <w:pPr>
      <w:widowControl w:val="0"/>
      <w:autoSpaceDE w:val="0"/>
      <w:autoSpaceDN w:val="0"/>
      <w:adjustRightInd w:val="0"/>
      <w:spacing w:line="360" w:lineRule="auto"/>
      <w:ind w:left="600" w:right="-328"/>
    </w:pPr>
    <w:rPr>
      <w:rFonts w:hAnsi="Times New Roman" w:cs="Times New Roman"/>
      <w:sz w:val="30"/>
      <w:szCs w:val="20"/>
    </w:rPr>
  </w:style>
  <w:style w:type="paragraph" w:customStyle="1" w:styleId="328">
    <w:name w:val="正文文本缩进 32"/>
    <w:basedOn w:val="a0"/>
    <w:uiPriority w:val="99"/>
    <w:qFormat/>
    <w:pPr>
      <w:adjustRightInd w:val="0"/>
      <w:spacing w:line="360" w:lineRule="auto"/>
      <w:ind w:right="-335" w:firstLine="540"/>
      <w:jc w:val="both"/>
    </w:pPr>
    <w:rPr>
      <w:rFonts w:ascii="仿宋_GB2312" w:eastAsia="仿宋_GB2312" w:hAnsi="Times New Roman" w:cs="Times New Roman"/>
      <w:sz w:val="28"/>
      <w:szCs w:val="20"/>
    </w:rPr>
  </w:style>
  <w:style w:type="paragraph" w:customStyle="1" w:styleId="affffffffffc">
    <w:name w:val="表格左对齐"/>
    <w:uiPriority w:val="99"/>
    <w:qFormat/>
    <w:rPr>
      <w:rFonts w:ascii="Arial" w:eastAsia="宋体" w:hAnsi="Arial" w:cs="Arial"/>
      <w:kern w:val="2"/>
      <w:sz w:val="21"/>
      <w:szCs w:val="24"/>
    </w:rPr>
  </w:style>
  <w:style w:type="paragraph" w:customStyle="1" w:styleId="affffffffffd">
    <w:name w:val="表格居中"/>
    <w:uiPriority w:val="99"/>
    <w:qFormat/>
    <w:pPr>
      <w:jc w:val="center"/>
    </w:pPr>
    <w:rPr>
      <w:rFonts w:ascii="Arial" w:eastAsia="宋体" w:hAnsi="Arial" w:cs="Arial"/>
      <w:kern w:val="2"/>
      <w:sz w:val="21"/>
      <w:szCs w:val="24"/>
    </w:rPr>
  </w:style>
  <w:style w:type="paragraph" w:customStyle="1" w:styleId="affffffffffe">
    <w:name w:val="表格标题行"/>
    <w:basedOn w:val="a0"/>
    <w:uiPriority w:val="99"/>
    <w:qFormat/>
    <w:pPr>
      <w:widowControl w:val="0"/>
      <w:jc w:val="center"/>
    </w:pPr>
    <w:rPr>
      <w:rFonts w:ascii="Arial" w:hAnsi="Arial" w:cs="Arial"/>
      <w:b/>
      <w:kern w:val="2"/>
      <w:sz w:val="21"/>
    </w:rPr>
  </w:style>
  <w:style w:type="paragraph" w:customStyle="1" w:styleId="afffffffffff">
    <w:name w:val="表格加粗居中"/>
    <w:uiPriority w:val="99"/>
    <w:qFormat/>
    <w:pPr>
      <w:jc w:val="center"/>
    </w:pPr>
    <w:rPr>
      <w:rFonts w:ascii="Arial" w:eastAsia="宋体" w:hAnsi="Arial" w:cs="宋体"/>
      <w:b/>
      <w:sz w:val="21"/>
      <w:szCs w:val="24"/>
    </w:rPr>
  </w:style>
  <w:style w:type="paragraph" w:customStyle="1" w:styleId="afffffffffff0">
    <w:name w:val="表格加粗左对齐"/>
    <w:uiPriority w:val="99"/>
    <w:qFormat/>
    <w:rPr>
      <w:rFonts w:ascii="Arial" w:eastAsia="宋体" w:hAnsi="Arial" w:cs="Arial"/>
      <w:b/>
      <w:kern w:val="2"/>
      <w:sz w:val="21"/>
      <w:szCs w:val="21"/>
    </w:rPr>
  </w:style>
  <w:style w:type="paragraph" w:customStyle="1" w:styleId="afffffffffff1">
    <w:name w:val="表格右对齐"/>
    <w:uiPriority w:val="99"/>
    <w:qFormat/>
    <w:pPr>
      <w:jc w:val="right"/>
    </w:pPr>
    <w:rPr>
      <w:rFonts w:ascii="Arial" w:eastAsia="宋体" w:hAnsi="Arial" w:cs="Arial"/>
      <w:kern w:val="2"/>
      <w:sz w:val="21"/>
      <w:szCs w:val="24"/>
    </w:rPr>
  </w:style>
  <w:style w:type="paragraph" w:customStyle="1" w:styleId="afffffffffff2">
    <w:name w:val="表格单位"/>
    <w:uiPriority w:val="99"/>
    <w:qFormat/>
    <w:pPr>
      <w:keepNext/>
      <w:jc w:val="right"/>
    </w:pPr>
    <w:rPr>
      <w:rFonts w:ascii="Arial" w:eastAsia="宋体" w:hAnsi="Arial" w:cs="Arial"/>
      <w:kern w:val="2"/>
      <w:sz w:val="21"/>
      <w:szCs w:val="21"/>
    </w:rPr>
  </w:style>
  <w:style w:type="paragraph" w:customStyle="1" w:styleId="afffffffffff3">
    <w:name w:val="表格附注"/>
    <w:next w:val="a0"/>
    <w:uiPriority w:val="99"/>
    <w:qFormat/>
    <w:pPr>
      <w:snapToGrid w:val="0"/>
      <w:ind w:firstLine="402"/>
    </w:pPr>
    <w:rPr>
      <w:rFonts w:ascii="Arial" w:eastAsia="宋体" w:hAnsi="宋体" w:cs="Arial"/>
      <w:color w:val="000000"/>
      <w:sz w:val="21"/>
      <w:szCs w:val="24"/>
      <w:u w:color="323E4F"/>
    </w:rPr>
  </w:style>
  <w:style w:type="paragraph" w:customStyle="1" w:styleId="TEXT">
    <w:name w:val="TEXT"/>
    <w:basedOn w:val="a0"/>
    <w:uiPriority w:val="99"/>
    <w:qFormat/>
    <w:pPr>
      <w:tabs>
        <w:tab w:val="left" w:pos="835"/>
        <w:tab w:val="left" w:pos="1728"/>
      </w:tabs>
      <w:autoSpaceDE w:val="0"/>
      <w:autoSpaceDN w:val="0"/>
      <w:adjustRightInd w:val="0"/>
      <w:spacing w:line="360" w:lineRule="atLeast"/>
      <w:jc w:val="both"/>
    </w:pPr>
    <w:rPr>
      <w:rFonts w:ascii="Times New Roman" w:hAnsi="Times New Roman" w:cs="Times New Roman"/>
      <w:spacing w:val="20"/>
      <w:sz w:val="26"/>
      <w:szCs w:val="26"/>
    </w:rPr>
  </w:style>
  <w:style w:type="paragraph" w:customStyle="1" w:styleId="-112">
    <w:name w:val="彩色底纹 - 着色 11"/>
    <w:uiPriority w:val="99"/>
    <w:semiHidden/>
    <w:qFormat/>
    <w:rPr>
      <w:rFonts w:ascii="Times New Roman" w:eastAsia="宋体" w:hAnsi="Times New Roman" w:cs="Times New Roman"/>
      <w:kern w:val="2"/>
      <w:sz w:val="21"/>
      <w:szCs w:val="24"/>
    </w:rPr>
  </w:style>
  <w:style w:type="paragraph" w:customStyle="1" w:styleId="2-21">
    <w:name w:val="中等深浅列表 2 - 强调文字颜色 21"/>
    <w:uiPriority w:val="71"/>
    <w:qFormat/>
    <w:rPr>
      <w:rFonts w:ascii="Times New Roman" w:eastAsia="宋体" w:hAnsi="Times New Roman" w:cs="Times New Roman"/>
      <w:kern w:val="2"/>
      <w:sz w:val="21"/>
      <w:szCs w:val="24"/>
    </w:rPr>
  </w:style>
  <w:style w:type="paragraph" w:customStyle="1" w:styleId="-311">
    <w:name w:val="浅色列表 - 强调文字颜色 31"/>
    <w:uiPriority w:val="71"/>
    <w:qFormat/>
    <w:rPr>
      <w:rFonts w:ascii="Times New Roman" w:eastAsia="宋体" w:hAnsi="Times New Roman" w:cs="Times New Roman"/>
      <w:kern w:val="2"/>
      <w:sz w:val="21"/>
      <w:szCs w:val="24"/>
    </w:rPr>
  </w:style>
  <w:style w:type="paragraph" w:customStyle="1" w:styleId="afffffffffff4">
    <w:name w:val="附注二级正文"/>
    <w:basedOn w:val="a0"/>
    <w:uiPriority w:val="99"/>
    <w:qFormat/>
    <w:pPr>
      <w:widowControl w:val="0"/>
      <w:adjustRightInd w:val="0"/>
      <w:snapToGrid w:val="0"/>
      <w:spacing w:line="400" w:lineRule="atLeast"/>
      <w:ind w:leftChars="342" w:left="718"/>
      <w:jc w:val="both"/>
    </w:pPr>
    <w:rPr>
      <w:rFonts w:cs="Times New Roman"/>
      <w:kern w:val="2"/>
      <w:sz w:val="21"/>
      <w:szCs w:val="21"/>
    </w:rPr>
  </w:style>
  <w:style w:type="character" w:customStyle="1" w:styleId="CharChar2">
    <w:name w:val="中伦正文 Char Char"/>
    <w:link w:val="afffffffffff5"/>
    <w:uiPriority w:val="99"/>
    <w:qFormat/>
    <w:locked/>
    <w:rPr>
      <w:sz w:val="24"/>
    </w:rPr>
  </w:style>
  <w:style w:type="paragraph" w:customStyle="1" w:styleId="afffffffffff5">
    <w:name w:val="中伦正文"/>
    <w:basedOn w:val="a0"/>
    <w:link w:val="CharChar2"/>
    <w:uiPriority w:val="99"/>
    <w:qFormat/>
    <w:pPr>
      <w:widowControl w:val="0"/>
      <w:spacing w:before="156" w:after="156" w:line="360" w:lineRule="auto"/>
      <w:ind w:firstLineChars="200" w:firstLine="480"/>
      <w:jc w:val="both"/>
    </w:pPr>
    <w:rPr>
      <w:rFonts w:asciiTheme="minorHAnsi" w:eastAsiaTheme="minorEastAsia" w:hAnsiTheme="minorHAnsi" w:cstheme="minorBidi"/>
      <w:kern w:val="2"/>
      <w:szCs w:val="22"/>
    </w:rPr>
  </w:style>
  <w:style w:type="paragraph" w:customStyle="1" w:styleId="2-11">
    <w:name w:val="中等深浅网格 2 - 强调文字颜色 11"/>
    <w:basedOn w:val="a0"/>
    <w:uiPriority w:val="63"/>
    <w:qFormat/>
    <w:pPr>
      <w:widowControl w:val="0"/>
      <w:spacing w:beforeLines="50" w:line="360" w:lineRule="auto"/>
      <w:ind w:firstLineChars="200" w:firstLine="200"/>
      <w:jc w:val="both"/>
    </w:pPr>
    <w:rPr>
      <w:rFonts w:ascii="Calibri Light" w:hAnsi="Calibri Light" w:cs="Times New Roman"/>
      <w:color w:val="000000"/>
      <w:kern w:val="2"/>
      <w:szCs w:val="22"/>
    </w:rPr>
  </w:style>
  <w:style w:type="character" w:customStyle="1" w:styleId="Charfff1">
    <w:name w:val="津滨正文 Char"/>
    <w:link w:val="afffffffffff6"/>
    <w:qFormat/>
    <w:locked/>
    <w:rPr>
      <w:rFonts w:ascii="Arial" w:hAnsi="Arial" w:cs="Arial"/>
      <w:b/>
      <w:bCs/>
      <w:sz w:val="24"/>
      <w:szCs w:val="24"/>
    </w:rPr>
  </w:style>
  <w:style w:type="paragraph" w:customStyle="1" w:styleId="afffffffffff6">
    <w:name w:val="津滨正文"/>
    <w:basedOn w:val="affffffffffa"/>
    <w:link w:val="Charfff1"/>
    <w:qFormat/>
    <w:rPr>
      <w:rFonts w:eastAsiaTheme="minorEastAsia" w:hAnsi="Arial"/>
      <w:b/>
      <w:bCs/>
    </w:rPr>
  </w:style>
  <w:style w:type="paragraph" w:customStyle="1" w:styleId="JaiKai">
    <w:name w:val="JaiKai"/>
    <w:basedOn w:val="a0"/>
    <w:uiPriority w:val="99"/>
    <w:qFormat/>
    <w:pPr>
      <w:widowControl w:val="0"/>
      <w:adjustRightInd w:val="0"/>
      <w:spacing w:before="120" w:line="360" w:lineRule="atLeast"/>
      <w:ind w:firstLine="576"/>
      <w:jc w:val="both"/>
    </w:pPr>
    <w:rPr>
      <w:rFonts w:ascii="楷体" w:eastAsia="楷体" w:hAnsi="Times New Roman" w:cs="Times New Roman"/>
      <w:spacing w:val="-35"/>
      <w:szCs w:val="20"/>
    </w:rPr>
  </w:style>
  <w:style w:type="paragraph" w:customStyle="1" w:styleId="151">
    <w:name w:val="样式15"/>
    <w:uiPriority w:val="99"/>
    <w:qFormat/>
    <w:pPr>
      <w:widowControl w:val="0"/>
      <w:spacing w:beforeLines="50"/>
      <w:jc w:val="both"/>
    </w:pPr>
    <w:rPr>
      <w:rFonts w:ascii="Times New Roman" w:eastAsia="黑体" w:hAnsi="Times New Roman" w:cs="Times New Roman"/>
      <w:b/>
      <w:sz w:val="28"/>
      <w:szCs w:val="28"/>
    </w:rPr>
  </w:style>
  <w:style w:type="paragraph" w:customStyle="1" w:styleId="94">
    <w:name w:val="样式9"/>
    <w:basedOn w:val="2ff4"/>
    <w:uiPriority w:val="99"/>
    <w:qFormat/>
    <w:pPr>
      <w:widowControl/>
      <w:adjustRightInd/>
      <w:snapToGrid/>
      <w:spacing w:before="120" w:after="120" w:line="480" w:lineRule="exact"/>
      <w:ind w:firstLine="454"/>
      <w:jc w:val="left"/>
      <w:textAlignment w:val="auto"/>
    </w:pPr>
    <w:rPr>
      <w:rFonts w:ascii="黑体" w:eastAsia="黑体" w:hAnsi="宋体" w:cs="宋体"/>
      <w:b/>
      <w:bCs/>
      <w:spacing w:val="0"/>
      <w:szCs w:val="24"/>
    </w:rPr>
  </w:style>
  <w:style w:type="paragraph" w:customStyle="1" w:styleId="11f">
    <w:name w:val="样式11"/>
    <w:basedOn w:val="a0"/>
    <w:uiPriority w:val="99"/>
    <w:qFormat/>
    <w:pPr>
      <w:widowControl w:val="0"/>
      <w:jc w:val="both"/>
    </w:pPr>
    <w:rPr>
      <w:rFonts w:ascii="Times New Roman" w:hAnsi="Times New Roman" w:cs="Times New Roman"/>
      <w:kern w:val="2"/>
      <w:sz w:val="21"/>
      <w:szCs w:val="21"/>
    </w:rPr>
  </w:style>
  <w:style w:type="paragraph" w:customStyle="1" w:styleId="101">
    <w:name w:val="样式10"/>
    <w:basedOn w:val="3fb"/>
    <w:uiPriority w:val="99"/>
    <w:qFormat/>
    <w:pPr>
      <w:tabs>
        <w:tab w:val="left" w:pos="360"/>
      </w:tabs>
      <w:suppressAutoHyphens/>
      <w:spacing w:line="760" w:lineRule="exact"/>
      <w:ind w:firstLineChars="0" w:firstLine="0"/>
      <w:jc w:val="center"/>
    </w:pPr>
    <w:rPr>
      <w:rFonts w:ascii="宋体" w:eastAsia="黑体" w:hAnsi="宋体"/>
      <w:b/>
      <w:kern w:val="2"/>
      <w:sz w:val="32"/>
      <w:szCs w:val="24"/>
    </w:rPr>
  </w:style>
  <w:style w:type="paragraph" w:customStyle="1" w:styleId="139">
    <w:name w:val="样式13"/>
    <w:basedOn w:val="2ff4"/>
    <w:uiPriority w:val="99"/>
    <w:qFormat/>
    <w:pPr>
      <w:widowControl/>
      <w:adjustRightInd/>
      <w:snapToGrid/>
      <w:spacing w:before="120" w:after="120" w:line="480" w:lineRule="exact"/>
      <w:ind w:firstLine="454"/>
      <w:jc w:val="left"/>
      <w:textAlignment w:val="auto"/>
    </w:pPr>
    <w:rPr>
      <w:rFonts w:ascii="黑体" w:eastAsia="黑体" w:hAnsi="宋体" w:cs="宋体"/>
      <w:b/>
      <w:bCs/>
      <w:spacing w:val="0"/>
      <w:szCs w:val="24"/>
    </w:rPr>
  </w:style>
  <w:style w:type="paragraph" w:customStyle="1" w:styleId="font0">
    <w:name w:val="font0"/>
    <w:basedOn w:val="a0"/>
    <w:uiPriority w:val="99"/>
    <w:qFormat/>
    <w:pPr>
      <w:spacing w:before="100" w:beforeAutospacing="1" w:after="100" w:afterAutospacing="1"/>
    </w:pPr>
    <w:rPr>
      <w:rFonts w:cs="Times New Roman"/>
    </w:rPr>
  </w:style>
  <w:style w:type="paragraph" w:customStyle="1" w:styleId="HeaderBase">
    <w:name w:val="Header Base"/>
    <w:basedOn w:val="ac"/>
    <w:uiPriority w:val="99"/>
    <w:qFormat/>
    <w:rPr>
      <w:rFonts w:eastAsia="宋体"/>
      <w:lang w:val="en-US"/>
    </w:rPr>
  </w:style>
  <w:style w:type="paragraph" w:customStyle="1" w:styleId="xl69">
    <w:name w:val="xl69"/>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70">
    <w:name w:val="xl70"/>
    <w:basedOn w:val="a0"/>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FF0000"/>
    </w:rPr>
  </w:style>
  <w:style w:type="paragraph" w:customStyle="1" w:styleId="xl71">
    <w:name w:val="xl71"/>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73">
    <w:name w:val="xl73"/>
    <w:basedOn w:val="a0"/>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3">
    <w:name w:val="xl93"/>
    <w:basedOn w:val="a0"/>
    <w:qFormat/>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4">
    <w:name w:val="xl94"/>
    <w:basedOn w:val="a0"/>
    <w:qFormat/>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5">
    <w:name w:val="xl95"/>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6">
    <w:name w:val="xl96"/>
    <w:basedOn w:val="a0"/>
    <w:qFormat/>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7">
    <w:name w:val="xl97"/>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98">
    <w:name w:val="xl98"/>
    <w:basedOn w:val="a0"/>
    <w:qFormat/>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99">
    <w:name w:val="xl99"/>
    <w:basedOn w:val="a0"/>
    <w:qFormat/>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0">
    <w:name w:val="xl100"/>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1">
    <w:name w:val="xl101"/>
    <w:basedOn w:val="a0"/>
    <w:qFormat/>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2">
    <w:name w:val="xl102"/>
    <w:basedOn w:val="a0"/>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3">
    <w:name w:val="xl103"/>
    <w:basedOn w:val="a0"/>
    <w:qFormat/>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4">
    <w:name w:val="xl104"/>
    <w:basedOn w:val="a0"/>
    <w:qFormat/>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5">
    <w:name w:val="xl105"/>
    <w:basedOn w:val="a0"/>
    <w:qFormat/>
    <w:pPr>
      <w:pBdr>
        <w:top w:val="single" w:sz="8" w:space="0" w:color="auto"/>
        <w:left w:val="single" w:sz="8"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106">
    <w:name w:val="xl10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7">
    <w:name w:val="xl107"/>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08">
    <w:name w:val="xl108"/>
    <w:basedOn w:val="a0"/>
    <w:qFormat/>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109">
    <w:name w:val="xl109"/>
    <w:basedOn w:val="a0"/>
    <w:qFormat/>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0">
    <w:name w:val="xl110"/>
    <w:basedOn w:val="a0"/>
    <w:qFormat/>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1">
    <w:name w:val="xl111"/>
    <w:basedOn w:val="a0"/>
    <w:qFormat/>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8">
    <w:name w:val="xl118"/>
    <w:basedOn w:val="a0"/>
    <w:qFormat/>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19">
    <w:name w:val="xl119"/>
    <w:basedOn w:val="a0"/>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0">
    <w:name w:val="xl120"/>
    <w:basedOn w:val="a0"/>
    <w:qFormat/>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1">
    <w:name w:val="xl121"/>
    <w:basedOn w:val="a0"/>
    <w:qFormat/>
    <w:pPr>
      <w:pBdr>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2">
    <w:name w:val="xl122"/>
    <w:basedOn w:val="a0"/>
    <w:qFormat/>
    <w:pPr>
      <w:pBdr>
        <w:left w:val="single" w:sz="8" w:space="0" w:color="auto"/>
        <w:bottom w:val="single" w:sz="4" w:space="0" w:color="auto"/>
        <w:right w:val="single" w:sz="4" w:space="0" w:color="auto"/>
      </w:pBdr>
      <w:shd w:val="clear" w:color="auto" w:fill="CCFFCC"/>
      <w:spacing w:before="100" w:beforeAutospacing="1" w:after="100" w:afterAutospacing="1"/>
      <w:jc w:val="center"/>
    </w:pPr>
    <w:rPr>
      <w:rFonts w:ascii="Arial Unicode MS" w:eastAsia="Arial Unicode MS" w:hAnsi="Arial Unicode MS" w:cs="Arial Unicode MS"/>
    </w:rPr>
  </w:style>
  <w:style w:type="paragraph" w:customStyle="1" w:styleId="xl123">
    <w:name w:val="xl123"/>
    <w:basedOn w:val="a0"/>
    <w:qFormat/>
    <w:pPr>
      <w:pBdr>
        <w:left w:val="single" w:sz="4" w:space="0" w:color="auto"/>
        <w:bottom w:val="single" w:sz="4" w:space="0" w:color="auto"/>
        <w:right w:val="single" w:sz="8" w:space="0" w:color="auto"/>
      </w:pBdr>
      <w:spacing w:before="100" w:beforeAutospacing="1" w:after="100" w:afterAutospacing="1"/>
      <w:jc w:val="right"/>
    </w:pPr>
    <w:rPr>
      <w:rFonts w:ascii="Arial Unicode MS" w:eastAsia="Arial Unicode MS" w:hAnsi="Arial Unicode MS" w:cs="Arial Unicode MS"/>
    </w:rPr>
  </w:style>
  <w:style w:type="paragraph" w:customStyle="1" w:styleId="xl124">
    <w:name w:val="xl124"/>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5">
    <w:name w:val="xl125"/>
    <w:basedOn w:val="a0"/>
    <w:qFormat/>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6">
    <w:name w:val="xl126"/>
    <w:basedOn w:val="a0"/>
    <w:qFormat/>
    <w:pPr>
      <w:pBdr>
        <w:top w:val="single" w:sz="4" w:space="0" w:color="auto"/>
        <w:left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rPr>
  </w:style>
  <w:style w:type="paragraph" w:customStyle="1" w:styleId="xl127">
    <w:name w:val="xl127"/>
    <w:basedOn w:val="a0"/>
    <w:qFormat/>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8">
    <w:name w:val="xl128"/>
    <w:basedOn w:val="a0"/>
    <w:qFormat/>
    <w:pPr>
      <w:pBdr>
        <w:top w:val="single" w:sz="4" w:space="0" w:color="auto"/>
        <w:left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9">
    <w:name w:val="xl129"/>
    <w:basedOn w:val="a0"/>
    <w:qFormat/>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0">
    <w:name w:val="xl130"/>
    <w:basedOn w:val="a0"/>
    <w:qFormat/>
    <w:pPr>
      <w:pBdr>
        <w:top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1">
    <w:name w:val="xl131"/>
    <w:basedOn w:val="a0"/>
    <w:qFormat/>
    <w:pPr>
      <w:pBdr>
        <w:top w:val="single" w:sz="8"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2">
    <w:name w:val="xl132"/>
    <w:basedOn w:val="a0"/>
    <w:qFormat/>
    <w:pPr>
      <w:pBdr>
        <w:top w:val="single" w:sz="8"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3">
    <w:name w:val="xl133"/>
    <w:basedOn w:val="a0"/>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4">
    <w:name w:val="xl134"/>
    <w:basedOn w:val="a0"/>
    <w:qFormat/>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5">
    <w:name w:val="xl135"/>
    <w:basedOn w:val="a0"/>
    <w:qFormat/>
    <w:pPr>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6">
    <w:name w:val="xl136"/>
    <w:basedOn w:val="a0"/>
    <w:qFormat/>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7">
    <w:name w:val="xl137"/>
    <w:basedOn w:val="a0"/>
    <w:qFormat/>
    <w:pPr>
      <w:pBdr>
        <w:top w:val="single" w:sz="4" w:space="0" w:color="auto"/>
        <w:left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8">
    <w:name w:val="xl138"/>
    <w:basedOn w:val="a0"/>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9">
    <w:name w:val="xl139"/>
    <w:basedOn w:val="a0"/>
    <w:qFormat/>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0">
    <w:name w:val="xl140"/>
    <w:basedOn w:val="a0"/>
    <w:qFormat/>
    <w:pPr>
      <w:pBdr>
        <w:top w:val="single" w:sz="4" w:space="0" w:color="auto"/>
        <w:left w:val="single" w:sz="4" w:space="0" w:color="auto"/>
        <w:bottom w:val="single" w:sz="8" w:space="0" w:color="auto"/>
        <w:right w:val="single" w:sz="8" w:space="0" w:color="auto"/>
      </w:pBdr>
      <w:shd w:val="clear" w:color="auto" w:fill="69FFFF"/>
      <w:spacing w:before="100" w:beforeAutospacing="1" w:after="100" w:afterAutospacing="1"/>
      <w:jc w:val="center"/>
    </w:pPr>
    <w:rPr>
      <w:rFonts w:ascii="Arial Unicode MS" w:eastAsia="Arial Unicode MS" w:hAnsi="Arial Unicode MS" w:cs="Arial Unicode MS"/>
    </w:rPr>
  </w:style>
  <w:style w:type="paragraph" w:customStyle="1" w:styleId="xl141">
    <w:name w:val="xl141"/>
    <w:basedOn w:val="a0"/>
    <w:qFormat/>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2">
    <w:name w:val="xl142"/>
    <w:basedOn w:val="a0"/>
    <w:qFormat/>
    <w:pPr>
      <w:pBdr>
        <w:top w:val="single" w:sz="4" w:space="0" w:color="auto"/>
        <w:left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3">
    <w:name w:val="xl143"/>
    <w:basedOn w:val="a0"/>
    <w:qFormat/>
    <w:pPr>
      <w:pBdr>
        <w:top w:val="single" w:sz="4"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4">
    <w:name w:val="xl144"/>
    <w:basedOn w:val="a0"/>
    <w:qFormat/>
    <w:pPr>
      <w:pBdr>
        <w:top w:val="single" w:sz="8"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5">
    <w:name w:val="xl145"/>
    <w:basedOn w:val="a0"/>
    <w:qFormat/>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6">
    <w:name w:val="xl146"/>
    <w:basedOn w:val="a0"/>
    <w:qFormat/>
    <w:pPr>
      <w:pBdr>
        <w:top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47">
    <w:name w:val="xl147"/>
    <w:basedOn w:val="a0"/>
    <w:qFormat/>
    <w:pPr>
      <w:pBdr>
        <w:top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CompanyName">
    <w:name w:val="Company Name"/>
    <w:basedOn w:val="a0"/>
    <w:uiPriority w:val="99"/>
    <w:qFormat/>
    <w:pPr>
      <w:keepLines/>
      <w:framePr w:w="3557" w:hSpace="187" w:vSpace="187" w:wrap="notBeside" w:vAnchor="page" w:hAnchor="page" w:x="7345" w:y="1009" w:anchorLock="1"/>
      <w:pBdr>
        <w:top w:val="single" w:sz="6" w:space="9" w:color="auto"/>
        <w:left w:val="single" w:sz="6" w:space="9" w:color="auto"/>
        <w:bottom w:val="single" w:sz="6" w:space="9" w:color="auto"/>
        <w:right w:val="single" w:sz="6" w:space="9" w:color="auto"/>
      </w:pBdr>
      <w:shd w:val="solid" w:color="auto" w:fill="auto"/>
      <w:spacing w:line="320" w:lineRule="exact"/>
    </w:pPr>
    <w:rPr>
      <w:rFonts w:ascii="Arial Black" w:hAnsi="Arial Black" w:cs="Times New Roman"/>
      <w:spacing w:val="-15"/>
      <w:position w:val="-2"/>
      <w:sz w:val="32"/>
      <w:szCs w:val="20"/>
    </w:rPr>
  </w:style>
  <w:style w:type="paragraph" w:customStyle="1" w:styleId="DocumentLabel">
    <w:name w:val="Document Label"/>
    <w:basedOn w:val="a0"/>
    <w:uiPriority w:val="99"/>
    <w:qFormat/>
    <w:pPr>
      <w:keepNext/>
      <w:keepLines/>
      <w:spacing w:before="400" w:after="120" w:line="240" w:lineRule="atLeast"/>
      <w:ind w:left="-840"/>
    </w:pPr>
    <w:rPr>
      <w:rFonts w:ascii="Arial Black" w:hAnsi="Arial Black" w:cs="Times New Roman"/>
      <w:spacing w:val="-100"/>
      <w:kern w:val="28"/>
      <w:sz w:val="108"/>
      <w:szCs w:val="20"/>
    </w:rPr>
  </w:style>
  <w:style w:type="paragraph" w:customStyle="1" w:styleId="HeadingBase">
    <w:name w:val="Heading Base"/>
    <w:basedOn w:val="ac"/>
    <w:next w:val="ac"/>
    <w:uiPriority w:val="99"/>
    <w:qFormat/>
    <w:rPr>
      <w:rFonts w:eastAsia="宋体"/>
      <w:lang w:val="en-US"/>
    </w:rPr>
  </w:style>
  <w:style w:type="character" w:customStyle="1" w:styleId="Char1b">
    <w:name w:val="信息标题 Char1"/>
    <w:semiHidden/>
    <w:qFormat/>
    <w:rPr>
      <w:rFonts w:ascii="等线 Light" w:eastAsia="等线 Light" w:hAnsi="等线 Light" w:cs="Times New Roman"/>
      <w:kern w:val="2"/>
      <w:sz w:val="24"/>
      <w:szCs w:val="24"/>
      <w:shd w:val="pct20" w:color="auto" w:fill="auto"/>
    </w:rPr>
  </w:style>
  <w:style w:type="paragraph" w:customStyle="1" w:styleId="MessageHeaderFirst">
    <w:name w:val="Message Header First"/>
    <w:basedOn w:val="afff6"/>
    <w:next w:val="afff6"/>
    <w:uiPriority w:val="99"/>
    <w:qFormat/>
    <w:pPr>
      <w:keepLines/>
      <w:widowControl/>
      <w:pBdr>
        <w:top w:val="none" w:sz="0" w:space="0" w:color="auto"/>
        <w:left w:val="none" w:sz="0" w:space="0" w:color="auto"/>
        <w:bottom w:val="none" w:sz="0" w:space="0" w:color="auto"/>
        <w:right w:val="none" w:sz="0" w:space="0" w:color="auto"/>
      </w:pBdr>
      <w:shd w:val="clear" w:color="auto" w:fill="auto"/>
      <w:tabs>
        <w:tab w:val="left" w:pos="720"/>
        <w:tab w:val="left" w:pos="4320"/>
        <w:tab w:val="left" w:pos="5040"/>
        <w:tab w:val="right" w:pos="8640"/>
      </w:tabs>
      <w:spacing w:after="40" w:line="440" w:lineRule="atLeast"/>
      <w:ind w:left="720" w:hanging="720"/>
      <w:jc w:val="left"/>
    </w:pPr>
    <w:rPr>
      <w:rFonts w:ascii="Arial" w:hAnsi="Arial" w:cs="Times New Roman"/>
      <w:spacing w:val="-5"/>
      <w:kern w:val="0"/>
      <w:sz w:val="20"/>
      <w:szCs w:val="20"/>
    </w:rPr>
  </w:style>
  <w:style w:type="paragraph" w:customStyle="1" w:styleId="MessageHeaderLast">
    <w:name w:val="Message Header Last"/>
    <w:basedOn w:val="afff6"/>
    <w:next w:val="ac"/>
    <w:uiPriority w:val="99"/>
    <w:qFormat/>
    <w:pPr>
      <w:keepLines/>
      <w:widowControl/>
      <w:pBdr>
        <w:top w:val="none" w:sz="0" w:space="0" w:color="auto"/>
        <w:left w:val="none" w:sz="0" w:space="0" w:color="auto"/>
        <w:bottom w:val="single" w:sz="6" w:space="19" w:color="auto"/>
        <w:right w:val="none" w:sz="0" w:space="0"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jc w:val="left"/>
    </w:pPr>
    <w:rPr>
      <w:rFonts w:ascii="Arial" w:hAnsi="Arial" w:cs="Times New Roman"/>
      <w:spacing w:val="-5"/>
      <w:kern w:val="0"/>
      <w:sz w:val="20"/>
      <w:szCs w:val="20"/>
    </w:rPr>
  </w:style>
  <w:style w:type="paragraph" w:customStyle="1" w:styleId="ReturnAddress">
    <w:name w:val="Return Address"/>
    <w:basedOn w:val="a0"/>
    <w:uiPriority w:val="99"/>
    <w:qFormat/>
    <w:pPr>
      <w:keepLines/>
      <w:framePr w:w="5040" w:hSpace="187" w:vSpace="187" w:wrap="notBeside" w:vAnchor="page" w:hAnchor="margin" w:y="966" w:anchorLock="1"/>
      <w:spacing w:line="200" w:lineRule="atLeast"/>
    </w:pPr>
    <w:rPr>
      <w:rFonts w:ascii="Arial" w:hAnsi="Arial" w:cs="Times New Roman"/>
      <w:spacing w:val="-2"/>
      <w:sz w:val="16"/>
      <w:szCs w:val="20"/>
    </w:rPr>
  </w:style>
  <w:style w:type="paragraph" w:customStyle="1" w:styleId="SignatureName">
    <w:name w:val="Signature Name"/>
    <w:basedOn w:val="a0"/>
    <w:next w:val="a0"/>
    <w:uiPriority w:val="99"/>
    <w:qFormat/>
    <w:pPr>
      <w:keepNext/>
      <w:keepLines/>
      <w:spacing w:before="660" w:line="180" w:lineRule="atLeast"/>
      <w:jc w:val="both"/>
    </w:pPr>
    <w:rPr>
      <w:rFonts w:ascii="Arial" w:hAnsi="Arial" w:cs="Times New Roman"/>
      <w:spacing w:val="-5"/>
      <w:sz w:val="20"/>
      <w:szCs w:val="20"/>
    </w:rPr>
  </w:style>
  <w:style w:type="paragraph" w:customStyle="1" w:styleId="DefinitionList">
    <w:name w:val="Definition List"/>
    <w:basedOn w:val="a0"/>
    <w:next w:val="DefinitionTerm"/>
    <w:uiPriority w:val="99"/>
    <w:qFormat/>
    <w:pPr>
      <w:widowControl w:val="0"/>
      <w:autoSpaceDE w:val="0"/>
      <w:autoSpaceDN w:val="0"/>
      <w:adjustRightInd w:val="0"/>
      <w:ind w:left="360"/>
    </w:pPr>
    <w:rPr>
      <w:rFonts w:hAnsi="Tms Rmn" w:cs="Times New Roman"/>
      <w:szCs w:val="20"/>
    </w:rPr>
  </w:style>
  <w:style w:type="paragraph" w:customStyle="1" w:styleId="DefinitionTerm">
    <w:name w:val="Definition Term"/>
    <w:basedOn w:val="a0"/>
    <w:next w:val="DefinitionList"/>
    <w:uiPriority w:val="99"/>
    <w:qFormat/>
    <w:pPr>
      <w:widowControl w:val="0"/>
      <w:autoSpaceDE w:val="0"/>
      <w:autoSpaceDN w:val="0"/>
      <w:adjustRightInd w:val="0"/>
    </w:pPr>
    <w:rPr>
      <w:rFonts w:hAnsi="Tms Rmn" w:cs="Times New Roman"/>
      <w:szCs w:val="20"/>
    </w:rPr>
  </w:style>
  <w:style w:type="paragraph" w:customStyle="1" w:styleId="Address">
    <w:name w:val="Address"/>
    <w:basedOn w:val="a0"/>
    <w:next w:val="a0"/>
    <w:uiPriority w:val="99"/>
    <w:qFormat/>
    <w:pPr>
      <w:widowControl w:val="0"/>
      <w:autoSpaceDE w:val="0"/>
      <w:autoSpaceDN w:val="0"/>
      <w:adjustRightInd w:val="0"/>
    </w:pPr>
    <w:rPr>
      <w:rFonts w:hAnsi="Tms Rmn" w:cs="Times New Roman"/>
      <w:i/>
      <w:szCs w:val="20"/>
    </w:rPr>
  </w:style>
  <w:style w:type="paragraph" w:customStyle="1" w:styleId="Blockquote">
    <w:name w:val="Blockquote"/>
    <w:basedOn w:val="a0"/>
    <w:uiPriority w:val="99"/>
    <w:qFormat/>
    <w:pPr>
      <w:widowControl w:val="0"/>
      <w:autoSpaceDE w:val="0"/>
      <w:autoSpaceDN w:val="0"/>
      <w:adjustRightInd w:val="0"/>
      <w:spacing w:before="100" w:after="100"/>
      <w:ind w:left="360" w:right="360"/>
    </w:pPr>
    <w:rPr>
      <w:rFonts w:hAnsi="Tms Rmn" w:cs="Times New Roman"/>
      <w:szCs w:val="20"/>
    </w:rPr>
  </w:style>
  <w:style w:type="paragraph" w:customStyle="1" w:styleId="Preformatted">
    <w:name w:val="Preformatted"/>
    <w:basedOn w:val="a0"/>
    <w:uiPriority w:val="99"/>
    <w:qFormat/>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hAnsi="Tms Rmn" w:cs="Times New Roman"/>
      <w:sz w:val="20"/>
      <w:szCs w:val="20"/>
    </w:rPr>
  </w:style>
  <w:style w:type="paragraph" w:customStyle="1" w:styleId="z-BottomofForm">
    <w:name w:val="z-Bottom of Form"/>
    <w:next w:val="a0"/>
    <w:uiPriority w:val="99"/>
    <w:qFormat/>
    <w:pPr>
      <w:widowControl w:val="0"/>
      <w:pBdr>
        <w:top w:val="double" w:sz="6" w:space="0" w:color="000000"/>
      </w:pBdr>
      <w:autoSpaceDE w:val="0"/>
      <w:autoSpaceDN w:val="0"/>
      <w:adjustRightInd w:val="0"/>
      <w:jc w:val="center"/>
    </w:pPr>
    <w:rPr>
      <w:rFonts w:ascii="宋体" w:eastAsia="宋体" w:hAnsi="Tms Rmn" w:cs="Times New Roman"/>
      <w:vanish/>
      <w:sz w:val="16"/>
    </w:rPr>
  </w:style>
  <w:style w:type="paragraph" w:customStyle="1" w:styleId="z-TopofForm">
    <w:name w:val="z-Top of Form"/>
    <w:next w:val="a0"/>
    <w:uiPriority w:val="99"/>
    <w:qFormat/>
    <w:pPr>
      <w:widowControl w:val="0"/>
      <w:pBdr>
        <w:bottom w:val="double" w:sz="6" w:space="0" w:color="000000"/>
      </w:pBdr>
      <w:autoSpaceDE w:val="0"/>
      <w:autoSpaceDN w:val="0"/>
      <w:adjustRightInd w:val="0"/>
      <w:jc w:val="center"/>
    </w:pPr>
    <w:rPr>
      <w:rFonts w:ascii="宋体" w:eastAsia="宋体" w:hAnsi="Tms Rmn" w:cs="Times New Roman"/>
      <w:sz w:val="16"/>
      <w:szCs w:val="16"/>
    </w:rPr>
  </w:style>
  <w:style w:type="paragraph" w:customStyle="1" w:styleId="12c">
    <w:name w:val="样式12"/>
    <w:basedOn w:val="20"/>
    <w:uiPriority w:val="99"/>
    <w:qFormat/>
    <w:pPr>
      <w:tabs>
        <w:tab w:val="left" w:pos="567"/>
      </w:tabs>
      <w:spacing w:beforeLines="50" w:before="0" w:afterLines="50" w:after="0" w:line="360" w:lineRule="auto"/>
      <w:ind w:left="567" w:firstLine="420"/>
    </w:pPr>
    <w:rPr>
      <w:rFonts w:ascii="宋体" w:eastAsia="宋体" w:hAnsi="宋体"/>
      <w:bCs w:val="0"/>
      <w:kern w:val="0"/>
      <w:sz w:val="28"/>
      <w:szCs w:val="28"/>
    </w:rPr>
  </w:style>
  <w:style w:type="paragraph" w:customStyle="1" w:styleId="1fff2">
    <w:name w:val="陆威表头1"/>
    <w:basedOn w:val="a0"/>
    <w:uiPriority w:val="99"/>
    <w:qFormat/>
    <w:pPr>
      <w:widowControl w:val="0"/>
      <w:adjustRightInd w:val="0"/>
      <w:spacing w:line="312" w:lineRule="atLeast"/>
      <w:jc w:val="center"/>
    </w:pPr>
    <w:rPr>
      <w:rFonts w:hAnsi="Times New Roman" w:cs="Times New Roman"/>
      <w:sz w:val="21"/>
      <w:szCs w:val="20"/>
    </w:rPr>
  </w:style>
  <w:style w:type="paragraph" w:customStyle="1" w:styleId="CharChar1CharCharCharChar1CharCharChar">
    <w:name w:val="Char Char1 Char Char Char Char1 Char Char Char"/>
    <w:basedOn w:val="a0"/>
    <w:uiPriority w:val="99"/>
    <w:qFormat/>
    <w:pPr>
      <w:widowControl w:val="0"/>
      <w:spacing w:beforeLines="50"/>
      <w:jc w:val="both"/>
    </w:pPr>
    <w:rPr>
      <w:rFonts w:ascii="Times New Roman" w:hAnsi="Times New Roman" w:cs="Times New Roman"/>
      <w:kern w:val="2"/>
    </w:rPr>
  </w:style>
  <w:style w:type="paragraph" w:customStyle="1" w:styleId="Char50">
    <w:name w:val="Char5"/>
    <w:basedOn w:val="a0"/>
    <w:uiPriority w:val="99"/>
    <w:qFormat/>
    <w:pPr>
      <w:widowControl w:val="0"/>
      <w:tabs>
        <w:tab w:val="left" w:pos="0"/>
      </w:tabs>
      <w:spacing w:line="360" w:lineRule="auto"/>
      <w:ind w:firstLineChars="245" w:firstLine="566"/>
      <w:jc w:val="center"/>
    </w:pPr>
    <w:rPr>
      <w:rFonts w:ascii="Arial" w:hAnsi="Arial" w:cs="Arial"/>
      <w:color w:val="000000"/>
      <w:kern w:val="2"/>
    </w:rPr>
  </w:style>
  <w:style w:type="paragraph" w:customStyle="1" w:styleId="CharCharCharCharCharCharCharCharCharCharCharCharChar3">
    <w:name w:val="Char Char Char Char Char Char Char Char Char Char Char Char Char3"/>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CharCharCharChar3">
    <w:name w:val="Char Char Char Char3"/>
    <w:basedOn w:val="a0"/>
    <w:uiPriority w:val="99"/>
    <w:qFormat/>
    <w:pPr>
      <w:widowControl w:val="0"/>
      <w:jc w:val="both"/>
    </w:pPr>
    <w:rPr>
      <w:rFonts w:ascii="Shruti" w:hAnsi="Shruti" w:cs="Times New Roman"/>
      <w:kern w:val="2"/>
      <w:sz w:val="21"/>
    </w:rPr>
  </w:style>
  <w:style w:type="paragraph" w:customStyle="1" w:styleId="CharCharCharCharCharCharChar3">
    <w:name w:val="Char Char Char Char Char Char Char3"/>
    <w:basedOn w:val="a0"/>
    <w:uiPriority w:val="99"/>
    <w:qFormat/>
    <w:pPr>
      <w:spacing w:after="160" w:line="240" w:lineRule="exact"/>
    </w:pPr>
    <w:rPr>
      <w:rFonts w:ascii="Verdana" w:hAnsi="Verdana" w:cs="Times New Roman"/>
      <w:sz w:val="20"/>
      <w:szCs w:val="20"/>
      <w:lang w:eastAsia="en-US"/>
    </w:rPr>
  </w:style>
  <w:style w:type="paragraph" w:customStyle="1" w:styleId="Char42">
    <w:name w:val="Char42"/>
    <w:basedOn w:val="a0"/>
    <w:uiPriority w:val="99"/>
    <w:qFormat/>
    <w:pPr>
      <w:widowControl w:val="0"/>
      <w:adjustRightInd w:val="0"/>
      <w:spacing w:line="360" w:lineRule="auto"/>
      <w:jc w:val="both"/>
    </w:pPr>
    <w:rPr>
      <w:rFonts w:ascii="Times New Roman" w:hAnsi="Times New Roman" w:cs="Times New Roman"/>
      <w:kern w:val="2"/>
      <w:sz w:val="21"/>
      <w:szCs w:val="20"/>
    </w:rPr>
  </w:style>
  <w:style w:type="paragraph" w:customStyle="1" w:styleId="CharCharCharCharCharChar1CharCharChar2">
    <w:name w:val="Char Char Char Char Char Char1 Char Char Char2"/>
    <w:basedOn w:val="a0"/>
    <w:uiPriority w:val="99"/>
    <w:qFormat/>
    <w:pPr>
      <w:widowControl w:val="0"/>
      <w:autoSpaceDE w:val="0"/>
      <w:autoSpaceDN w:val="0"/>
      <w:adjustRightInd w:val="0"/>
    </w:pPr>
    <w:rPr>
      <w:rFonts w:hAnsi="Times New Roman" w:cs="Times New Roman"/>
      <w:sz w:val="34"/>
      <w:szCs w:val="20"/>
    </w:rPr>
  </w:style>
  <w:style w:type="paragraph" w:customStyle="1" w:styleId="CharCharCharCharCharCharCharCharCharCharCharCharChar2">
    <w:name w:val="Char Char Char Char Char Char Char Char Char Char Char Char Char2"/>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character" w:customStyle="1" w:styleId="Charfff2">
    <w:name w:val="正文样式 Char"/>
    <w:link w:val="afffffffffff7"/>
    <w:qFormat/>
    <w:locked/>
    <w:rPr>
      <w:rFonts w:ascii="宋体" w:hAnsi="宋体"/>
      <w:bCs/>
      <w:spacing w:val="16"/>
      <w:kern w:val="28"/>
      <w:sz w:val="24"/>
      <w:szCs w:val="24"/>
    </w:rPr>
  </w:style>
  <w:style w:type="paragraph" w:customStyle="1" w:styleId="afffffffffff7">
    <w:name w:val="正文样式"/>
    <w:basedOn w:val="a0"/>
    <w:link w:val="Charfff2"/>
    <w:qFormat/>
    <w:pPr>
      <w:widowControl w:val="0"/>
      <w:snapToGrid w:val="0"/>
      <w:spacing w:after="120" w:line="400" w:lineRule="exact"/>
      <w:ind w:firstLineChars="200" w:firstLine="200"/>
      <w:jc w:val="both"/>
    </w:pPr>
    <w:rPr>
      <w:rFonts w:eastAsiaTheme="minorEastAsia" w:cstheme="minorBidi"/>
      <w:bCs/>
      <w:spacing w:val="16"/>
      <w:kern w:val="28"/>
    </w:rPr>
  </w:style>
  <w:style w:type="paragraph" w:customStyle="1" w:styleId="CharCharCharCharCharCharCharCharCharCharCharCharChar1">
    <w:name w:val="Char Char Char Char Char Char Char Char Char Char Char Char Char1"/>
    <w:basedOn w:val="a0"/>
    <w:uiPriority w:val="99"/>
    <w:qFormat/>
    <w:pPr>
      <w:widowControl w:val="0"/>
      <w:snapToGrid w:val="0"/>
      <w:spacing w:line="360" w:lineRule="auto"/>
      <w:ind w:firstLineChars="200" w:firstLine="200"/>
      <w:jc w:val="both"/>
    </w:pPr>
    <w:rPr>
      <w:rFonts w:ascii="Times New Roman" w:eastAsia="仿宋_GB2312" w:hAnsi="Times New Roman" w:cs="Times New Roman"/>
      <w:kern w:val="2"/>
    </w:rPr>
  </w:style>
  <w:style w:type="paragraph" w:customStyle="1" w:styleId="3ff6">
    <w:name w:val="纯文本3"/>
    <w:basedOn w:val="a0"/>
    <w:uiPriority w:val="99"/>
    <w:qFormat/>
    <w:pPr>
      <w:widowControl w:val="0"/>
      <w:adjustRightInd w:val="0"/>
      <w:jc w:val="both"/>
    </w:pPr>
    <w:rPr>
      <w:rFonts w:hAnsi="Courier New" w:cs="Times New Roman"/>
      <w:kern w:val="2"/>
      <w:sz w:val="28"/>
      <w:szCs w:val="20"/>
    </w:rPr>
  </w:style>
  <w:style w:type="character" w:customStyle="1" w:styleId="1Char6">
    <w:name w:val="正文（1） Char"/>
    <w:link w:val="1fff3"/>
    <w:qFormat/>
    <w:locked/>
    <w:rPr>
      <w:rFonts w:ascii="黑体" w:eastAsia="黑体" w:hAnsi="宋体"/>
      <w:sz w:val="24"/>
      <w:szCs w:val="24"/>
    </w:rPr>
  </w:style>
  <w:style w:type="paragraph" w:customStyle="1" w:styleId="1fff3">
    <w:name w:val="正文（1）"/>
    <w:basedOn w:val="a0"/>
    <w:link w:val="1Char6"/>
    <w:qFormat/>
    <w:pPr>
      <w:widowControl w:val="0"/>
      <w:tabs>
        <w:tab w:val="left" w:pos="480"/>
      </w:tabs>
      <w:spacing w:beforeLines="50" w:line="360" w:lineRule="auto"/>
      <w:ind w:firstLineChars="200" w:firstLine="200"/>
      <w:jc w:val="both"/>
    </w:pPr>
    <w:rPr>
      <w:rFonts w:ascii="黑体" w:eastAsia="黑体" w:cstheme="minorBidi"/>
      <w:kern w:val="2"/>
    </w:rPr>
  </w:style>
  <w:style w:type="paragraph" w:customStyle="1" w:styleId="86">
    <w:name w:val="8"/>
    <w:uiPriority w:val="99"/>
    <w:qFormat/>
    <w:pPr>
      <w:widowControl w:val="0"/>
      <w:jc w:val="both"/>
    </w:pPr>
    <w:rPr>
      <w:rFonts w:ascii="Times New Roman" w:eastAsia="宋体" w:hAnsi="Times New Roman" w:cs="Times New Roman"/>
      <w:kern w:val="2"/>
      <w:sz w:val="24"/>
      <w:szCs w:val="24"/>
    </w:rPr>
  </w:style>
  <w:style w:type="paragraph" w:customStyle="1" w:styleId="7a">
    <w:name w:val="7"/>
    <w:uiPriority w:val="99"/>
    <w:qFormat/>
    <w:pPr>
      <w:widowControl w:val="0"/>
      <w:jc w:val="both"/>
    </w:pPr>
    <w:rPr>
      <w:rFonts w:ascii="Times New Roman" w:eastAsia="宋体" w:hAnsi="Times New Roman" w:cs="Times New Roman"/>
      <w:kern w:val="2"/>
      <w:sz w:val="24"/>
      <w:szCs w:val="24"/>
    </w:rPr>
  </w:style>
  <w:style w:type="paragraph" w:customStyle="1" w:styleId="2fff2">
    <w:name w:val="表格2"/>
    <w:basedOn w:val="a0"/>
    <w:uiPriority w:val="99"/>
    <w:qFormat/>
    <w:pPr>
      <w:widowControl w:val="0"/>
      <w:suppressAutoHyphens/>
      <w:spacing w:line="300" w:lineRule="auto"/>
      <w:jc w:val="both"/>
    </w:pPr>
    <w:rPr>
      <w:rFonts w:cs="Times New Roman"/>
      <w:kern w:val="2"/>
      <w:sz w:val="18"/>
      <w:szCs w:val="20"/>
      <w:lang w:eastAsia="ar-SA"/>
    </w:rPr>
  </w:style>
  <w:style w:type="character" w:customStyle="1" w:styleId="Charfff3">
    <w:name w:val="单位 Char"/>
    <w:link w:val="afffffffffff8"/>
    <w:qFormat/>
    <w:locked/>
    <w:rPr>
      <w:rFonts w:ascii="黑体" w:eastAsia="黑体" w:hAnsi="Arial"/>
      <w:b/>
      <w:sz w:val="18"/>
      <w:lang w:eastAsia="ar-SA"/>
    </w:rPr>
  </w:style>
  <w:style w:type="paragraph" w:customStyle="1" w:styleId="afffffffffff8">
    <w:name w:val="单位"/>
    <w:basedOn w:val="a0"/>
    <w:link w:val="Charfff3"/>
    <w:qFormat/>
    <w:pPr>
      <w:suppressAutoHyphens/>
      <w:jc w:val="right"/>
    </w:pPr>
    <w:rPr>
      <w:rFonts w:ascii="黑体" w:eastAsia="黑体" w:hAnsi="Arial" w:cstheme="minorBidi"/>
      <w:b/>
      <w:kern w:val="2"/>
      <w:sz w:val="18"/>
      <w:szCs w:val="22"/>
      <w:lang w:eastAsia="ar-SA"/>
    </w:rPr>
  </w:style>
  <w:style w:type="paragraph" w:customStyle="1" w:styleId="4f5">
    <w:name w:val="纯文本4"/>
    <w:basedOn w:val="a0"/>
    <w:uiPriority w:val="99"/>
    <w:qFormat/>
    <w:pPr>
      <w:widowControl w:val="0"/>
      <w:adjustRightInd w:val="0"/>
      <w:jc w:val="both"/>
    </w:pPr>
    <w:rPr>
      <w:rFonts w:hAnsi="Courier New" w:cs="Times New Roman"/>
      <w:kern w:val="2"/>
      <w:sz w:val="28"/>
      <w:szCs w:val="20"/>
    </w:rPr>
  </w:style>
  <w:style w:type="paragraph" w:customStyle="1" w:styleId="5f3">
    <w:name w:val="纯文本5"/>
    <w:basedOn w:val="a0"/>
    <w:uiPriority w:val="99"/>
    <w:qFormat/>
    <w:pPr>
      <w:widowControl w:val="0"/>
      <w:adjustRightInd w:val="0"/>
      <w:jc w:val="both"/>
    </w:pPr>
    <w:rPr>
      <w:rFonts w:hAnsi="Courier New" w:cs="Times New Roman"/>
      <w:kern w:val="2"/>
      <w:sz w:val="28"/>
      <w:szCs w:val="20"/>
    </w:rPr>
  </w:style>
  <w:style w:type="paragraph" w:customStyle="1" w:styleId="69">
    <w:name w:val="纯文本6"/>
    <w:basedOn w:val="a0"/>
    <w:uiPriority w:val="99"/>
    <w:qFormat/>
    <w:pPr>
      <w:widowControl w:val="0"/>
      <w:adjustRightInd w:val="0"/>
      <w:jc w:val="both"/>
    </w:pPr>
    <w:rPr>
      <w:rFonts w:hAnsi="Courier New" w:cs="Times New Roman"/>
      <w:kern w:val="2"/>
      <w:sz w:val="28"/>
      <w:szCs w:val="20"/>
    </w:rPr>
  </w:style>
  <w:style w:type="paragraph" w:customStyle="1" w:styleId="1fff4">
    <w:name w:val="访问过的超链接1"/>
    <w:uiPriority w:val="68"/>
    <w:qFormat/>
    <w:rPr>
      <w:rFonts w:ascii="Calibri Light" w:eastAsia="宋体" w:hAnsi="Calibri Light" w:cs="Times New Roman"/>
      <w:color w:val="000000"/>
    </w:rPr>
  </w:style>
  <w:style w:type="paragraph" w:customStyle="1" w:styleId="1-21">
    <w:name w:val="中等深浅网格 1 - 强调文字颜色 21"/>
    <w:basedOn w:val="a0"/>
    <w:uiPriority w:val="34"/>
    <w:qFormat/>
    <w:pPr>
      <w:widowControl w:val="0"/>
      <w:spacing w:beforeLines="50" w:line="360" w:lineRule="auto"/>
      <w:ind w:firstLineChars="200" w:firstLine="420"/>
      <w:jc w:val="both"/>
    </w:pPr>
    <w:rPr>
      <w:rFonts w:ascii="Times New Roman" w:hAnsi="Times New Roman" w:cs="Times New Roman"/>
      <w:kern w:val="2"/>
      <w:sz w:val="21"/>
    </w:rPr>
  </w:style>
  <w:style w:type="paragraph" w:customStyle="1" w:styleId="TOC21">
    <w:name w:val="TOC 标题21"/>
    <w:basedOn w:val="1"/>
    <w:next w:val="a0"/>
    <w:uiPriority w:val="39"/>
    <w:qFormat/>
    <w:pPr>
      <w:widowControl/>
      <w:tabs>
        <w:tab w:val="left" w:pos="567"/>
      </w:tabs>
      <w:spacing w:line="276" w:lineRule="auto"/>
      <w:ind w:left="567" w:hanging="567"/>
      <w:jc w:val="left"/>
      <w:outlineLvl w:val="9"/>
    </w:pPr>
    <w:rPr>
      <w:rFonts w:ascii="Cambria" w:eastAsia="宋体" w:hAnsi="Cambria"/>
      <w:color w:val="365F91"/>
      <w:kern w:val="0"/>
      <w:sz w:val="28"/>
      <w:szCs w:val="28"/>
      <w:lang w:eastAsia="en-US"/>
    </w:rPr>
  </w:style>
  <w:style w:type="character" w:customStyle="1" w:styleId="4AdjustedChar">
    <w:name w:val="标题4Adjusted Char"/>
    <w:link w:val="4Adjusted"/>
    <w:semiHidden/>
    <w:qFormat/>
    <w:locked/>
    <w:rPr>
      <w:bCs/>
      <w:sz w:val="24"/>
      <w:szCs w:val="28"/>
    </w:rPr>
  </w:style>
  <w:style w:type="paragraph" w:customStyle="1" w:styleId="4Adjusted">
    <w:name w:val="标题4Adjusted"/>
    <w:basedOn w:val="41"/>
    <w:link w:val="4AdjustedChar"/>
    <w:semiHidden/>
    <w:qFormat/>
    <w:pPr>
      <w:tabs>
        <w:tab w:val="left" w:pos="1134"/>
      </w:tabs>
      <w:spacing w:beforeLines="50" w:before="0" w:afterLines="50" w:after="240" w:line="360" w:lineRule="auto"/>
      <w:ind w:firstLineChars="200" w:firstLine="482"/>
    </w:pPr>
    <w:rPr>
      <w:rFonts w:asciiTheme="minorHAnsi" w:eastAsiaTheme="minorEastAsia" w:hAnsiTheme="minorHAnsi" w:cstheme="minorBidi"/>
      <w:b w:val="0"/>
      <w:sz w:val="24"/>
    </w:rPr>
  </w:style>
  <w:style w:type="character" w:customStyle="1" w:styleId="1fff5">
    <w:name w:val="占位符文本1"/>
    <w:uiPriority w:val="99"/>
    <w:qFormat/>
    <w:rPr>
      <w:color w:val="808080"/>
    </w:rPr>
  </w:style>
  <w:style w:type="character" w:customStyle="1" w:styleId="1fff6">
    <w:name w:val="明显强调1"/>
    <w:uiPriority w:val="21"/>
    <w:qFormat/>
    <w:rPr>
      <w:b/>
      <w:bCs/>
      <w:i/>
      <w:iCs/>
      <w:color w:val="4F81BD"/>
    </w:rPr>
  </w:style>
  <w:style w:type="character" w:customStyle="1" w:styleId="1fff7">
    <w:name w:val="不明显参考1"/>
    <w:uiPriority w:val="31"/>
    <w:qFormat/>
    <w:rPr>
      <w:smallCaps/>
      <w:color w:val="C0504D"/>
      <w:u w:val="single"/>
    </w:rPr>
  </w:style>
  <w:style w:type="character" w:customStyle="1" w:styleId="1fff8">
    <w:name w:val="明显参考1"/>
    <w:uiPriority w:val="32"/>
    <w:qFormat/>
    <w:rPr>
      <w:b/>
      <w:bCs/>
      <w:smallCaps/>
      <w:color w:val="C0504D"/>
      <w:spacing w:val="5"/>
      <w:u w:val="single"/>
    </w:rPr>
  </w:style>
  <w:style w:type="character" w:customStyle="1" w:styleId="1fff9">
    <w:name w:val="书籍标题1"/>
    <w:uiPriority w:val="33"/>
    <w:qFormat/>
    <w:rPr>
      <w:b/>
      <w:bCs/>
      <w:smallCaps/>
      <w:spacing w:val="5"/>
    </w:rPr>
  </w:style>
  <w:style w:type="character" w:customStyle="1" w:styleId="bfont1">
    <w:name w:val="bfont1"/>
    <w:qFormat/>
    <w:rPr>
      <w:rFonts w:ascii="Arial Narrow" w:hAnsi="Arial Narrow" w:hint="default"/>
      <w:spacing w:val="320"/>
      <w:sz w:val="20"/>
      <w:szCs w:val="20"/>
    </w:rPr>
  </w:style>
  <w:style w:type="character" w:customStyle="1" w:styleId="Char1c">
    <w:name w:val="日期 Char1"/>
    <w:qFormat/>
    <w:rPr>
      <w:kern w:val="2"/>
      <w:sz w:val="21"/>
      <w:szCs w:val="24"/>
    </w:rPr>
  </w:style>
  <w:style w:type="character" w:customStyle="1" w:styleId="Char1d">
    <w:name w:val="批注框文本 Char1"/>
    <w:uiPriority w:val="99"/>
    <w:qFormat/>
    <w:rPr>
      <w:kern w:val="2"/>
      <w:sz w:val="18"/>
      <w:szCs w:val="18"/>
    </w:rPr>
  </w:style>
  <w:style w:type="character" w:customStyle="1" w:styleId="ca-21">
    <w:name w:val="ca-21"/>
    <w:qFormat/>
    <w:rPr>
      <w:rFonts w:ascii="宋体" w:eastAsia="宋体" w:hAnsi="宋体" w:hint="eastAsia"/>
      <w:sz w:val="24"/>
      <w:szCs w:val="24"/>
    </w:rPr>
  </w:style>
  <w:style w:type="character" w:customStyle="1" w:styleId="unnamed21">
    <w:name w:val="unnamed21"/>
    <w:qFormat/>
    <w:rPr>
      <w:rFonts w:ascii="ˎ̥" w:hAnsi="ˎ̥" w:hint="default"/>
      <w:sz w:val="20"/>
      <w:szCs w:val="20"/>
    </w:rPr>
  </w:style>
  <w:style w:type="character" w:customStyle="1" w:styleId="Char1e">
    <w:name w:val="批注主题 Char1"/>
    <w:uiPriority w:val="99"/>
    <w:qFormat/>
    <w:rPr>
      <w:rFonts w:ascii="Times New Roman" w:eastAsia="等线" w:hAnsi="Times New Roman" w:cs="Times New Roman"/>
      <w:b/>
      <w:bCs/>
      <w:kern w:val="2"/>
      <w:sz w:val="21"/>
      <w:szCs w:val="24"/>
      <w:lang w:val="zh-CN" w:eastAsia="zh-CN"/>
    </w:rPr>
  </w:style>
  <w:style w:type="character" w:customStyle="1" w:styleId="big1">
    <w:name w:val="big1"/>
    <w:qFormat/>
    <w:rPr>
      <w:sz w:val="22"/>
      <w:szCs w:val="22"/>
    </w:rPr>
  </w:style>
  <w:style w:type="character" w:customStyle="1" w:styleId="CharChar16">
    <w:name w:val="Char Char16"/>
    <w:qFormat/>
    <w:rPr>
      <w:rFonts w:ascii="Arial" w:eastAsia="黑体" w:hAnsi="Arial" w:cs="Arial" w:hint="default"/>
      <w:b/>
      <w:bCs/>
      <w:kern w:val="2"/>
      <w:sz w:val="32"/>
      <w:szCs w:val="32"/>
      <w:lang w:val="en-US" w:eastAsia="zh-CN" w:bidi="ar-SA"/>
    </w:rPr>
  </w:style>
  <w:style w:type="character" w:customStyle="1" w:styleId="Char1f">
    <w:name w:val="脚注文本 Char1"/>
    <w:uiPriority w:val="99"/>
    <w:qFormat/>
    <w:rPr>
      <w:kern w:val="2"/>
      <w:sz w:val="18"/>
      <w:szCs w:val="18"/>
    </w:rPr>
  </w:style>
  <w:style w:type="character" w:customStyle="1" w:styleId="Char1f0">
    <w:name w:val="正文首行缩进 Char1"/>
    <w:qFormat/>
  </w:style>
  <w:style w:type="character" w:customStyle="1" w:styleId="1fffa">
    <w:name w:val="已访问的超链接1"/>
    <w:qFormat/>
    <w:rPr>
      <w:color w:val="800080"/>
      <w:u w:val="single"/>
    </w:rPr>
  </w:style>
  <w:style w:type="character" w:customStyle="1" w:styleId="2Char11">
    <w:name w:val="正文文本缩进 2 Char1"/>
    <w:uiPriority w:val="99"/>
    <w:qFormat/>
    <w:rPr>
      <w:kern w:val="2"/>
      <w:sz w:val="21"/>
      <w:szCs w:val="24"/>
    </w:rPr>
  </w:style>
  <w:style w:type="character" w:customStyle="1" w:styleId="footeroddCharChar">
    <w:name w:val="footer odd Char Char"/>
    <w:qFormat/>
    <w:rPr>
      <w:rFonts w:ascii="宋体" w:eastAsia="宋体" w:hAnsi="宋体" w:hint="eastAsia"/>
      <w:sz w:val="18"/>
      <w:szCs w:val="18"/>
      <w:lang w:val="en-US" w:eastAsia="zh-CN" w:bidi="ar-SA"/>
    </w:rPr>
  </w:style>
  <w:style w:type="character" w:customStyle="1" w:styleId="footeroddCharChar1">
    <w:name w:val="footer odd Char Char1"/>
    <w:qFormat/>
    <w:rPr>
      <w:kern w:val="2"/>
      <w:sz w:val="18"/>
      <w:szCs w:val="18"/>
    </w:rPr>
  </w:style>
  <w:style w:type="character" w:customStyle="1" w:styleId="apple-style-span">
    <w:name w:val="apple-style-span"/>
    <w:qFormat/>
  </w:style>
  <w:style w:type="character" w:customStyle="1" w:styleId="footeroddCharChar2">
    <w:name w:val="footer odd Char Char2"/>
    <w:qFormat/>
    <w:rPr>
      <w:rFonts w:ascii="宋体" w:eastAsia="宋体" w:hAnsi="宋体" w:hint="eastAsia"/>
      <w:kern w:val="2"/>
      <w:sz w:val="18"/>
      <w:szCs w:val="18"/>
      <w:lang w:val="en-US" w:eastAsia="zh-CN" w:bidi="ar-SA"/>
    </w:rPr>
  </w:style>
  <w:style w:type="character" w:customStyle="1" w:styleId="Char1f1">
    <w:name w:val="副标题 Char1"/>
    <w:qFormat/>
    <w:rPr>
      <w:rFonts w:ascii="等线 Light" w:hAnsi="等线 Light" w:cs="Times New Roman"/>
      <w:b/>
      <w:bCs/>
      <w:kern w:val="28"/>
      <w:sz w:val="32"/>
      <w:szCs w:val="32"/>
    </w:rPr>
  </w:style>
  <w:style w:type="character" w:customStyle="1" w:styleId="CharChar4">
    <w:name w:val="Char Char4"/>
    <w:qFormat/>
    <w:rPr>
      <w:rFonts w:ascii="宋体" w:eastAsia="宋体" w:hAnsi="宋体" w:hint="eastAsia"/>
      <w:kern w:val="2"/>
      <w:sz w:val="21"/>
      <w:szCs w:val="24"/>
      <w:lang w:val="en-US" w:eastAsia="zh-CN" w:bidi="ar-SA"/>
    </w:rPr>
  </w:style>
  <w:style w:type="character" w:customStyle="1" w:styleId="CharChar5">
    <w:name w:val="招股书正文 Char Char"/>
    <w:qFormat/>
    <w:rPr>
      <w:rFonts w:ascii="宋体" w:eastAsia="宋体" w:hAnsi="宋体" w:hint="eastAsia"/>
      <w:kern w:val="2"/>
      <w:sz w:val="24"/>
      <w:szCs w:val="24"/>
    </w:rPr>
  </w:style>
  <w:style w:type="character" w:customStyle="1" w:styleId="big">
    <w:name w:val="big"/>
    <w:qFormat/>
  </w:style>
  <w:style w:type="character" w:customStyle="1" w:styleId="CharChar23">
    <w:name w:val="Char Char23"/>
    <w:qFormat/>
    <w:rPr>
      <w:rFonts w:ascii="Courier New" w:eastAsia="宋体" w:hAnsi="Courier New" w:cs="Courier New" w:hint="default"/>
      <w:sz w:val="21"/>
      <w:lang w:val="en-US" w:eastAsia="zh-CN" w:bidi="ar-SA"/>
    </w:rPr>
  </w:style>
  <w:style w:type="character" w:customStyle="1" w:styleId="5CharChar">
    <w:name w:val="标题 5 Char Char"/>
    <w:qFormat/>
    <w:rPr>
      <w:rFonts w:ascii="宋体" w:eastAsia="宋体" w:hAnsi="宋体" w:hint="eastAsia"/>
      <w:bCs/>
      <w:sz w:val="24"/>
      <w:szCs w:val="24"/>
      <w:lang w:val="en-US" w:eastAsia="zh-CN" w:bidi="ar-SA"/>
    </w:rPr>
  </w:style>
  <w:style w:type="character" w:customStyle="1" w:styleId="5CharChar1">
    <w:name w:val="标题 5 Char Char1"/>
    <w:qFormat/>
    <w:rPr>
      <w:rFonts w:ascii="宋体" w:eastAsia="宋体" w:hAnsi="宋体" w:hint="eastAsia"/>
      <w:bCs/>
      <w:sz w:val="24"/>
      <w:szCs w:val="24"/>
      <w:lang w:val="en-US" w:eastAsia="zh-CN" w:bidi="ar-SA"/>
    </w:rPr>
  </w:style>
  <w:style w:type="character" w:customStyle="1" w:styleId="4Char1Char1">
    <w:name w:val="标题 4 Char1 Char1"/>
    <w:qFormat/>
    <w:rPr>
      <w:rFonts w:ascii="宋体" w:eastAsia="黑体" w:hAnsi="Times New Roman" w:cs="Times New Roman" w:hint="eastAsia"/>
      <w:b/>
      <w:bCs/>
      <w:kern w:val="0"/>
      <w:sz w:val="24"/>
      <w:szCs w:val="24"/>
    </w:rPr>
  </w:style>
  <w:style w:type="character" w:customStyle="1" w:styleId="CharChar21">
    <w:name w:val="Char Char21"/>
    <w:qFormat/>
    <w:rPr>
      <w:rFonts w:ascii="Courier New" w:eastAsia="宋体" w:hAnsi="Courier New" w:cs="Courier New" w:hint="default"/>
      <w:sz w:val="21"/>
      <w:lang w:val="en-US" w:eastAsia="zh-CN" w:bidi="ar-SA"/>
    </w:rPr>
  </w:style>
  <w:style w:type="character" w:customStyle="1" w:styleId="CharChar22">
    <w:name w:val="Char Char22"/>
    <w:qFormat/>
    <w:rPr>
      <w:rFonts w:ascii="Courier New" w:eastAsia="宋体" w:hAnsi="Courier New" w:cs="Courier New" w:hint="default"/>
      <w:sz w:val="21"/>
      <w:lang w:val="en-US" w:eastAsia="zh-CN" w:bidi="ar-SA"/>
    </w:rPr>
  </w:style>
  <w:style w:type="character" w:customStyle="1" w:styleId="Char1f2">
    <w:name w:val="引用 Char1"/>
    <w:uiPriority w:val="29"/>
    <w:qFormat/>
    <w:rPr>
      <w:i/>
      <w:iCs/>
      <w:color w:val="000000"/>
      <w:kern w:val="2"/>
      <w:sz w:val="21"/>
      <w:szCs w:val="24"/>
    </w:rPr>
  </w:style>
  <w:style w:type="character" w:customStyle="1" w:styleId="Char1f3">
    <w:name w:val="明显引用 Char1"/>
    <w:uiPriority w:val="30"/>
    <w:qFormat/>
    <w:rPr>
      <w:b/>
      <w:bCs/>
      <w:i/>
      <w:iCs/>
      <w:color w:val="5B9BD5"/>
      <w:kern w:val="2"/>
      <w:sz w:val="21"/>
      <w:szCs w:val="24"/>
    </w:rPr>
  </w:style>
  <w:style w:type="character" w:customStyle="1" w:styleId="Char1f4">
    <w:name w:val="尾注文本 Char1"/>
    <w:uiPriority w:val="99"/>
    <w:qFormat/>
    <w:rPr>
      <w:kern w:val="2"/>
      <w:sz w:val="21"/>
      <w:szCs w:val="24"/>
    </w:rPr>
  </w:style>
  <w:style w:type="character" w:customStyle="1" w:styleId="2Char12">
    <w:name w:val="正文文本 2 Char1"/>
    <w:qFormat/>
    <w:rPr>
      <w:kern w:val="2"/>
      <w:sz w:val="21"/>
      <w:szCs w:val="24"/>
    </w:rPr>
  </w:style>
  <w:style w:type="character" w:customStyle="1" w:styleId="CharChar18">
    <w:name w:val="Char Char18"/>
    <w:qFormat/>
    <w:rPr>
      <w:rFonts w:ascii="宋体" w:eastAsia="黑体" w:hAnsi="宋体" w:hint="eastAsia"/>
      <w:w w:val="80"/>
      <w:kern w:val="44"/>
      <w:sz w:val="52"/>
    </w:rPr>
  </w:style>
  <w:style w:type="character" w:customStyle="1" w:styleId="CharChar17">
    <w:name w:val="Char Char17"/>
    <w:qFormat/>
    <w:rPr>
      <w:rFonts w:ascii="宋体" w:eastAsia="黑体" w:hAnsi="宋体" w:hint="eastAsia"/>
      <w:sz w:val="28"/>
    </w:rPr>
  </w:style>
  <w:style w:type="character" w:customStyle="1" w:styleId="CharChar15">
    <w:name w:val="Char Char15"/>
    <w:qFormat/>
    <w:rPr>
      <w:rFonts w:ascii="宋体" w:eastAsia="宋体" w:hAnsi="宋体" w:hint="eastAsia"/>
      <w:b/>
      <w:bCs/>
      <w:spacing w:val="-4"/>
      <w:kern w:val="28"/>
      <w:sz w:val="24"/>
      <w:lang w:val="en-US" w:eastAsia="zh-CN" w:bidi="he-IL"/>
    </w:rPr>
  </w:style>
  <w:style w:type="character" w:customStyle="1" w:styleId="CharChar14">
    <w:name w:val="Char Char14"/>
    <w:qFormat/>
    <w:rPr>
      <w:rFonts w:ascii="宋体" w:eastAsia="宋体" w:hAnsi="宋体" w:hint="eastAsia"/>
      <w:i/>
      <w:spacing w:val="-4"/>
      <w:kern w:val="28"/>
      <w:sz w:val="24"/>
      <w:lang w:bidi="he-IL"/>
    </w:rPr>
  </w:style>
  <w:style w:type="character" w:customStyle="1" w:styleId="CharChar130">
    <w:name w:val="Char Char13"/>
    <w:qFormat/>
    <w:rPr>
      <w:rFonts w:ascii="宋体" w:eastAsia="宋体" w:hAnsi="宋体" w:hint="eastAsia"/>
      <w:spacing w:val="-4"/>
      <w:kern w:val="28"/>
      <w:sz w:val="24"/>
      <w:lang w:bidi="he-IL"/>
    </w:rPr>
  </w:style>
  <w:style w:type="character" w:customStyle="1" w:styleId="CharChar8">
    <w:name w:val="Char Char8"/>
    <w:qFormat/>
    <w:rPr>
      <w:kern w:val="2"/>
      <w:sz w:val="18"/>
      <w:szCs w:val="18"/>
    </w:rPr>
  </w:style>
  <w:style w:type="character" w:customStyle="1" w:styleId="CharChar7">
    <w:name w:val="Char Char7"/>
    <w:qFormat/>
    <w:rPr>
      <w:rFonts w:ascii="宋体" w:eastAsia="宋体" w:hAnsi="宋体" w:cs="Arial" w:hint="eastAsia"/>
      <w:kern w:val="2"/>
      <w:sz w:val="24"/>
      <w:szCs w:val="24"/>
    </w:rPr>
  </w:style>
  <w:style w:type="character" w:customStyle="1" w:styleId="CharChar50">
    <w:name w:val="Char Char5"/>
    <w:qFormat/>
    <w:rPr>
      <w:rFonts w:ascii="仿宋_GB2312" w:eastAsia="仿宋_GB2312" w:hint="eastAsia"/>
      <w:sz w:val="28"/>
      <w:szCs w:val="28"/>
    </w:rPr>
  </w:style>
  <w:style w:type="character" w:customStyle="1" w:styleId="tpccontent1">
    <w:name w:val="tpc_content1"/>
    <w:qFormat/>
    <w:rPr>
      <w:sz w:val="20"/>
      <w:szCs w:val="20"/>
    </w:rPr>
  </w:style>
  <w:style w:type="character" w:customStyle="1" w:styleId="2Char13">
    <w:name w:val="正文首行缩进 2 Char1"/>
    <w:qFormat/>
    <w:rPr>
      <w:rFonts w:ascii="Times New Roman" w:eastAsia="等线" w:hAnsi="Times New Roman" w:cs="Times New Roman"/>
      <w:kern w:val="2"/>
      <w:sz w:val="21"/>
      <w:szCs w:val="24"/>
      <w:lang w:val="zh-CN" w:eastAsia="zh-CN"/>
    </w:rPr>
  </w:style>
  <w:style w:type="character" w:customStyle="1" w:styleId="3Char12">
    <w:name w:val="正文文本 3 Char1"/>
    <w:qFormat/>
    <w:rPr>
      <w:kern w:val="2"/>
      <w:sz w:val="16"/>
      <w:szCs w:val="16"/>
    </w:rPr>
  </w:style>
  <w:style w:type="character" w:customStyle="1" w:styleId="style1">
    <w:name w:val="style1"/>
    <w:qFormat/>
  </w:style>
  <w:style w:type="character" w:customStyle="1" w:styleId="link14pp1">
    <w:name w:val="link14pp1"/>
    <w:qFormat/>
    <w:rPr>
      <w:color w:val="000000"/>
      <w:sz w:val="21"/>
      <w:szCs w:val="21"/>
    </w:rPr>
  </w:style>
  <w:style w:type="character" w:customStyle="1" w:styleId="BodyTextChar">
    <w:name w:val="Body Text Char"/>
    <w:qFormat/>
    <w:locked/>
    <w:rPr>
      <w:rFonts w:ascii="Times New Roman" w:eastAsia="宋体" w:hAnsi="Times New Roman" w:cs="Times New Roman" w:hint="default"/>
      <w:sz w:val="24"/>
      <w:szCs w:val="24"/>
    </w:rPr>
  </w:style>
  <w:style w:type="character" w:customStyle="1" w:styleId="p14">
    <w:name w:val="p14"/>
    <w:qFormat/>
  </w:style>
  <w:style w:type="character" w:customStyle="1" w:styleId="HeaderChar">
    <w:name w:val="Header Char"/>
    <w:semiHidden/>
    <w:qFormat/>
    <w:locked/>
    <w:rPr>
      <w:rFonts w:ascii="宋体" w:eastAsia="宋体" w:hAnsi="宋体" w:hint="eastAsia"/>
      <w:kern w:val="2"/>
      <w:sz w:val="18"/>
      <w:szCs w:val="18"/>
      <w:lang w:val="en-US" w:eastAsia="zh-CN" w:bidi="ar-SA"/>
    </w:rPr>
  </w:style>
  <w:style w:type="character" w:customStyle="1" w:styleId="zi04">
    <w:name w:val="zi_04"/>
    <w:qFormat/>
  </w:style>
  <w:style w:type="character" w:customStyle="1" w:styleId="z-0">
    <w:name w:val="z-窗体底端 字符"/>
    <w:qFormat/>
    <w:rPr>
      <w:rFonts w:ascii="Arial" w:eastAsia="宋体" w:hAnsi="Arial" w:cs="Arial"/>
      <w:vanish/>
      <w:sz w:val="16"/>
      <w:szCs w:val="16"/>
    </w:rPr>
  </w:style>
  <w:style w:type="character" w:customStyle="1" w:styleId="z-Char1">
    <w:name w:val="z-窗体底端 Char1"/>
    <w:qFormat/>
    <w:locked/>
    <w:rPr>
      <w:rFonts w:ascii="Arial" w:hAnsi="Arial" w:cs="Arial" w:hint="default"/>
      <w:vanish/>
      <w:kern w:val="2"/>
      <w:sz w:val="16"/>
      <w:szCs w:val="16"/>
    </w:rPr>
  </w:style>
  <w:style w:type="character" w:customStyle="1" w:styleId="BodytextBatang">
    <w:name w:val="Body text + Batang"/>
    <w:qFormat/>
    <w:rPr>
      <w:rFonts w:ascii="Batang" w:eastAsia="Batang" w:hAnsi="Batang" w:cs="Batang" w:hint="eastAsia"/>
      <w:color w:val="000000"/>
      <w:spacing w:val="0"/>
      <w:w w:val="100"/>
      <w:position w:val="0"/>
      <w:sz w:val="21"/>
      <w:szCs w:val="21"/>
      <w:shd w:val="clear" w:color="auto" w:fill="FFFFFF"/>
      <w:lang w:val="zh-TW"/>
    </w:rPr>
  </w:style>
  <w:style w:type="character" w:customStyle="1" w:styleId="2fff3">
    <w:name w:val="正文文本2"/>
    <w:qFormat/>
    <w:rPr>
      <w:rFonts w:ascii="MingLiU" w:eastAsia="MingLiU" w:hAnsi="MingLiU" w:cs="MingLiU" w:hint="eastAsia"/>
      <w:color w:val="000000"/>
      <w:spacing w:val="10"/>
      <w:w w:val="100"/>
      <w:position w:val="0"/>
      <w:sz w:val="22"/>
      <w:szCs w:val="22"/>
      <w:u w:val="none"/>
      <w:shd w:val="clear" w:color="auto" w:fill="FFFFFF"/>
      <w:lang w:val="zh-TW"/>
    </w:rPr>
  </w:style>
  <w:style w:type="character" w:customStyle="1" w:styleId="3ff7">
    <w:name w:val="正文文本3"/>
    <w:qFormat/>
    <w:rPr>
      <w:rFonts w:ascii="MingLiU" w:eastAsia="MingLiU" w:hAnsi="MingLiU" w:cs="MingLiU" w:hint="eastAsia"/>
      <w:color w:val="000000"/>
      <w:spacing w:val="10"/>
      <w:w w:val="100"/>
      <w:position w:val="0"/>
      <w:sz w:val="22"/>
      <w:szCs w:val="22"/>
      <w:u w:val="none"/>
      <w:shd w:val="clear" w:color="auto" w:fill="FFFFFF"/>
      <w:lang w:val="zh-TW"/>
    </w:rPr>
  </w:style>
  <w:style w:type="character" w:customStyle="1" w:styleId="Bodytext10pt">
    <w:name w:val="Body text + 10 pt"/>
    <w:qFormat/>
    <w:rPr>
      <w:rFonts w:ascii="MingLiU" w:eastAsia="MingLiU" w:hAnsi="MingLiU" w:cs="MingLiU" w:hint="eastAsia"/>
      <w:i/>
      <w:iCs/>
      <w:color w:val="000000"/>
      <w:spacing w:val="80"/>
      <w:w w:val="100"/>
      <w:position w:val="0"/>
      <w:sz w:val="20"/>
      <w:szCs w:val="20"/>
      <w:u w:val="none"/>
      <w:shd w:val="clear" w:color="auto" w:fill="FFFFFF"/>
      <w:lang w:val="zh-TW"/>
    </w:rPr>
  </w:style>
  <w:style w:type="character" w:customStyle="1" w:styleId="Heading4">
    <w:name w:val="Heading #4"/>
    <w:qFormat/>
    <w:rPr>
      <w:rFonts w:ascii="MingLiU" w:eastAsia="MingLiU" w:hAnsi="MingLiU" w:cs="MingLiU" w:hint="eastAsia"/>
      <w:color w:val="000000"/>
      <w:spacing w:val="20"/>
      <w:w w:val="100"/>
      <w:position w:val="0"/>
      <w:sz w:val="24"/>
      <w:szCs w:val="24"/>
      <w:u w:val="single"/>
      <w:lang w:val="zh-TW"/>
    </w:rPr>
  </w:style>
  <w:style w:type="character" w:customStyle="1" w:styleId="GB23122">
    <w:name w:val="样式 楷体_GB2312 红色"/>
    <w:qFormat/>
    <w:rPr>
      <w:rFonts w:ascii="楷体_GB2312" w:eastAsia="楷体_GB2312" w:hAnsi="楷体_GB2312" w:hint="eastAsia"/>
      <w:color w:val="FF0000"/>
    </w:rPr>
  </w:style>
  <w:style w:type="character" w:customStyle="1" w:styleId="afffffffffff9">
    <w:name w:val="取消"/>
    <w:uiPriority w:val="1"/>
    <w:qFormat/>
  </w:style>
  <w:style w:type="character" w:customStyle="1" w:styleId="DeltaViewInsertion">
    <w:name w:val="DeltaView Insertion"/>
    <w:qFormat/>
    <w:rPr>
      <w:color w:val="0000FF"/>
      <w:spacing w:val="0"/>
      <w:u w:val="double"/>
    </w:rPr>
  </w:style>
  <w:style w:type="character" w:customStyle="1" w:styleId="DeltaViewDeletion">
    <w:name w:val="DeltaView Deletion"/>
    <w:qFormat/>
    <w:rPr>
      <w:strike/>
      <w:color w:val="FF0000"/>
      <w:spacing w:val="0"/>
    </w:rPr>
  </w:style>
  <w:style w:type="character" w:customStyle="1" w:styleId="zwSpace">
    <w:name w:val="zwSpace"/>
    <w:qFormat/>
    <w:rPr>
      <w:rFonts w:ascii="Arial" w:eastAsia="FZShuSong-Z01" w:hAnsi="Arial" w:cs="Arial" w:hint="default"/>
      <w:sz w:val="2"/>
      <w:lang w:eastAsia="zh-HK"/>
    </w:rPr>
  </w:style>
  <w:style w:type="character" w:customStyle="1" w:styleId="Char1f5">
    <w:name w:val="称呼 Char1"/>
    <w:qFormat/>
    <w:rPr>
      <w:kern w:val="2"/>
      <w:sz w:val="21"/>
      <w:szCs w:val="24"/>
    </w:rPr>
  </w:style>
  <w:style w:type="character" w:customStyle="1" w:styleId="11f0">
    <w:name w:val="中等深浅网格 11"/>
    <w:uiPriority w:val="99"/>
    <w:semiHidden/>
    <w:qFormat/>
    <w:rPr>
      <w:color w:val="808080"/>
    </w:rPr>
  </w:style>
  <w:style w:type="character" w:customStyle="1" w:styleId="close">
    <w:name w:val="close"/>
    <w:qFormat/>
  </w:style>
  <w:style w:type="character" w:customStyle="1" w:styleId="open">
    <w:name w:val="open"/>
    <w:qFormat/>
  </w:style>
  <w:style w:type="character" w:customStyle="1" w:styleId="FooterChar1">
    <w:name w:val="Footer Char1"/>
    <w:uiPriority w:val="99"/>
    <w:semiHidden/>
    <w:qFormat/>
    <w:rPr>
      <w:rFonts w:ascii="宋体" w:eastAsia="宋体" w:hAnsi="宋体" w:hint="eastAsia"/>
      <w:sz w:val="24"/>
      <w:szCs w:val="24"/>
      <w:lang w:eastAsia="en-US"/>
    </w:rPr>
  </w:style>
  <w:style w:type="character" w:customStyle="1" w:styleId="DocumentMapChar1">
    <w:name w:val="Document Map Char1"/>
    <w:uiPriority w:val="99"/>
    <w:semiHidden/>
    <w:qFormat/>
    <w:rPr>
      <w:rFonts w:ascii="Lucida Grande" w:eastAsia="Lucida Grande" w:hAnsi="Lucida Grande" w:cs="Lucida Grande" w:hint="eastAsia"/>
      <w:sz w:val="24"/>
      <w:szCs w:val="24"/>
      <w:lang w:eastAsia="en-US"/>
    </w:rPr>
  </w:style>
  <w:style w:type="character" w:customStyle="1" w:styleId="CommentTextChar1">
    <w:name w:val="Comment Text Char1"/>
    <w:uiPriority w:val="99"/>
    <w:semiHidden/>
    <w:qFormat/>
    <w:rPr>
      <w:rFonts w:ascii="宋体" w:eastAsia="宋体" w:hAnsi="宋体" w:hint="eastAsia"/>
      <w:sz w:val="24"/>
      <w:szCs w:val="24"/>
      <w:lang w:eastAsia="en-US"/>
    </w:rPr>
  </w:style>
  <w:style w:type="character" w:customStyle="1" w:styleId="CommentSubjectChar1">
    <w:name w:val="Comment Subject Char1"/>
    <w:uiPriority w:val="99"/>
    <w:semiHidden/>
    <w:qFormat/>
    <w:rPr>
      <w:rFonts w:ascii="宋体" w:eastAsia="宋体" w:hAnsi="宋体" w:hint="eastAsia"/>
      <w:b/>
      <w:bCs/>
      <w:sz w:val="24"/>
      <w:szCs w:val="24"/>
      <w:lang w:eastAsia="en-US"/>
    </w:rPr>
  </w:style>
  <w:style w:type="character" w:customStyle="1" w:styleId="HeaderChar1">
    <w:name w:val="Header Char1"/>
    <w:uiPriority w:val="99"/>
    <w:semiHidden/>
    <w:qFormat/>
    <w:rPr>
      <w:rFonts w:ascii="宋体" w:eastAsia="宋体" w:hAnsi="宋体" w:hint="eastAsia"/>
      <w:sz w:val="24"/>
      <w:szCs w:val="24"/>
      <w:lang w:eastAsia="en-US"/>
    </w:rPr>
  </w:style>
  <w:style w:type="character" w:customStyle="1" w:styleId="TitleChar1">
    <w:name w:val="Title Char1"/>
    <w:uiPriority w:val="10"/>
    <w:qFormat/>
    <w:rPr>
      <w:rFonts w:ascii="Calibri" w:eastAsia="MS Gothic" w:hAnsi="Calibri" w:cs="Times New Roman" w:hint="default"/>
      <w:b/>
      <w:bCs/>
      <w:kern w:val="28"/>
      <w:sz w:val="32"/>
      <w:szCs w:val="32"/>
      <w:lang w:eastAsia="en-US"/>
    </w:rPr>
  </w:style>
  <w:style w:type="character" w:customStyle="1" w:styleId="FootnoteTextChar1">
    <w:name w:val="Footnote Text Char1"/>
    <w:uiPriority w:val="99"/>
    <w:semiHidden/>
    <w:qFormat/>
    <w:rPr>
      <w:rFonts w:ascii="宋体" w:eastAsia="宋体" w:hAnsi="宋体" w:hint="eastAsia"/>
      <w:sz w:val="24"/>
      <w:szCs w:val="24"/>
      <w:lang w:eastAsia="en-US"/>
    </w:rPr>
  </w:style>
  <w:style w:type="character" w:customStyle="1" w:styleId="BodyTextIndent2Char1">
    <w:name w:val="Body Text Indent 2 Char1"/>
    <w:uiPriority w:val="99"/>
    <w:semiHidden/>
    <w:qFormat/>
    <w:rPr>
      <w:rFonts w:ascii="宋体" w:eastAsia="宋体" w:hAnsi="宋体" w:hint="eastAsia"/>
      <w:sz w:val="24"/>
      <w:szCs w:val="24"/>
      <w:lang w:eastAsia="en-US"/>
    </w:rPr>
  </w:style>
  <w:style w:type="character" w:customStyle="1" w:styleId="read">
    <w:name w:val="read"/>
    <w:qFormat/>
    <w:rPr>
      <w:rFonts w:ascii="Arial" w:eastAsia="宋体" w:hAnsi="Arial" w:cs="Arial" w:hint="default"/>
      <w:color w:val="000000"/>
      <w:kern w:val="2"/>
      <w:sz w:val="24"/>
      <w:szCs w:val="24"/>
      <w:lang w:val="en-US" w:eastAsia="zh-CN" w:bidi="ar-SA"/>
    </w:rPr>
  </w:style>
  <w:style w:type="character" w:customStyle="1" w:styleId="Checkbox">
    <w:name w:val="Checkbox"/>
    <w:qFormat/>
    <w:rPr>
      <w:rFonts w:ascii="Times New Roman" w:hAnsi="Times New Roman" w:cs="Times New Roman" w:hint="default"/>
      <w:sz w:val="22"/>
    </w:rPr>
  </w:style>
  <w:style w:type="character" w:customStyle="1" w:styleId="MessageHeaderLabel">
    <w:name w:val="Message Header Label"/>
    <w:qFormat/>
    <w:rPr>
      <w:rFonts w:ascii="Arial Black" w:hAnsi="Arial Black" w:hint="default"/>
      <w:sz w:val="18"/>
    </w:rPr>
  </w:style>
  <w:style w:type="character" w:customStyle="1" w:styleId="Slogan">
    <w:name w:val="Slogan"/>
    <w:qFormat/>
    <w:rPr>
      <w:rFonts w:ascii="Arial Black" w:hAnsi="Arial Black" w:hint="default"/>
      <w:spacing w:val="-10"/>
      <w:position w:val="2"/>
      <w:sz w:val="19"/>
    </w:rPr>
  </w:style>
  <w:style w:type="character" w:customStyle="1" w:styleId="st">
    <w:name w:val="st"/>
    <w:qFormat/>
  </w:style>
  <w:style w:type="character" w:customStyle="1" w:styleId="7Char3">
    <w:name w:val="样式7 Char"/>
    <w:qFormat/>
    <w:rPr>
      <w:rFonts w:ascii="Times New Roman" w:hAnsi="Times New Roman" w:cs="Times New Roman" w:hint="default"/>
      <w:sz w:val="24"/>
      <w:szCs w:val="24"/>
    </w:rPr>
  </w:style>
  <w:style w:type="character" w:customStyle="1" w:styleId="medium-normal1">
    <w:name w:val="medium-normal1"/>
    <w:qFormat/>
    <w:rPr>
      <w:rFonts w:ascii="Arial" w:hAnsi="Arial" w:cs="Arial" w:hint="default"/>
      <w:sz w:val="20"/>
      <w:szCs w:val="20"/>
    </w:rPr>
  </w:style>
  <w:style w:type="character" w:customStyle="1" w:styleId="bdsnopic">
    <w:name w:val="bds_nopic"/>
    <w:qFormat/>
  </w:style>
  <w:style w:type="character" w:customStyle="1" w:styleId="account">
    <w:name w:val="account"/>
    <w:qFormat/>
  </w:style>
  <w:style w:type="character" w:customStyle="1" w:styleId="psw">
    <w:name w:val="psw"/>
    <w:qFormat/>
  </w:style>
  <w:style w:type="character" w:customStyle="1" w:styleId="bdsmore4">
    <w:name w:val="bds_more4"/>
    <w:qFormat/>
    <w:rPr>
      <w:rFonts w:ascii="宋体" w:eastAsia="宋体" w:hAnsi="宋体" w:cs="宋体" w:hint="eastAsia"/>
    </w:rPr>
  </w:style>
  <w:style w:type="character" w:customStyle="1" w:styleId="bdsmore5">
    <w:name w:val="bds_more5"/>
    <w:qFormat/>
  </w:style>
  <w:style w:type="character" w:customStyle="1" w:styleId="bdsmore6">
    <w:name w:val="bds_more6"/>
    <w:qFormat/>
  </w:style>
  <w:style w:type="character" w:customStyle="1" w:styleId="bdsnopic1">
    <w:name w:val="bds_nopic1"/>
    <w:qFormat/>
  </w:style>
  <w:style w:type="character" w:customStyle="1" w:styleId="bdsnopic2">
    <w:name w:val="bds_nopic2"/>
    <w:qFormat/>
  </w:style>
  <w:style w:type="character" w:customStyle="1" w:styleId="cur">
    <w:name w:val="cur"/>
    <w:qFormat/>
    <w:rPr>
      <w:b/>
    </w:rPr>
  </w:style>
  <w:style w:type="character" w:customStyle="1" w:styleId="cur1">
    <w:name w:val="cur1"/>
    <w:qFormat/>
    <w:rPr>
      <w:shd w:val="clear" w:color="auto" w:fill="FF0000"/>
    </w:rPr>
  </w:style>
  <w:style w:type="character" w:customStyle="1" w:styleId="cur2">
    <w:name w:val="cur2"/>
    <w:qFormat/>
    <w:rPr>
      <w:b/>
    </w:rPr>
  </w:style>
  <w:style w:type="character" w:customStyle="1" w:styleId="normal1">
    <w:name w:val="normal1"/>
    <w:qFormat/>
    <w:rPr>
      <w:color w:val="000000"/>
    </w:rPr>
  </w:style>
  <w:style w:type="character" w:customStyle="1" w:styleId="normal2">
    <w:name w:val="normal2"/>
    <w:qFormat/>
    <w:rPr>
      <w:color w:val="FFFFFF"/>
    </w:rPr>
  </w:style>
  <w:style w:type="character" w:customStyle="1" w:styleId="on">
    <w:name w:val="on"/>
    <w:qFormat/>
    <w:rPr>
      <w:color w:val="FFFFFF"/>
    </w:rPr>
  </w:style>
  <w:style w:type="table" w:customStyle="1" w:styleId="-113">
    <w:name w:val="浅色列表 - 强调文字颜色 1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0">
    <w:name w:val="网格型113"/>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4">
    <w:name w:val="样式5"/>
    <w:basedOn w:val="a3"/>
    <w:uiPriority w:val="99"/>
    <w:qFormat/>
    <w:rPr>
      <w:rFonts w:ascii="Calibri" w:eastAsia="宋体" w:hAnsi="Calibri" w:cs="Times New Roman"/>
    </w:rPr>
    <w:tblPr/>
  </w:style>
  <w:style w:type="table" w:customStyle="1" w:styleId="2115">
    <w:name w:val="网格型2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afffffffffffa">
    <w:name w:val="表格模式"/>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4">
    <w:name w:val="网格型4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浅色列表 - 强调文字颜色 11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
    <w:name w:val="中等深浅底纹 1 - 强调文字颜色 11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b">
    <w:name w:val="网格型22"/>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网格型3111"/>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典雅型113"/>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5">
    <w:name w:val="古典型 111"/>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0">
    <w:name w:val="网格型1112"/>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样式51"/>
    <w:basedOn w:val="a3"/>
    <w:uiPriority w:val="99"/>
    <w:qFormat/>
    <w:rPr>
      <w:rFonts w:ascii="Calibri" w:eastAsia="宋体" w:hAnsi="Calibri" w:cs="Times New Roman"/>
    </w:rPr>
    <w:tblPr/>
  </w:style>
  <w:style w:type="table" w:customStyle="1" w:styleId="611">
    <w:name w:val="样式61"/>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fffb">
    <w:name w:val="表格模式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7">
    <w:name w:val="网格型5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网格型131"/>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浅色列表 - 强调文字颜色 112"/>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
    <w:name w:val="中等深浅底纹 1 - 强调文字颜色 112"/>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8">
    <w:name w:val="网格型2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网格型32"/>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典雅型122"/>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4">
    <w:name w:val="古典型 112"/>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0">
    <w:name w:val="网格型1121"/>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样式52"/>
    <w:basedOn w:val="a3"/>
    <w:uiPriority w:val="99"/>
    <w:qFormat/>
    <w:rPr>
      <w:rFonts w:ascii="Calibri" w:eastAsia="宋体" w:hAnsi="Calibri" w:cs="Times New Roman"/>
    </w:rPr>
    <w:tblPr/>
  </w:style>
  <w:style w:type="table" w:customStyle="1" w:styleId="2120">
    <w:name w:val="网格型21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
    <w:name w:val="样式62"/>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fff4">
    <w:name w:val="表格模式2"/>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2">
    <w:name w:val="网格型6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典雅型41"/>
    <w:basedOn w:val="a3"/>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2">
    <w:name w:val="古典型 14"/>
    <w:basedOn w:val="a3"/>
    <w:qFormat/>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0">
    <w:name w:val="网格型141"/>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浅色列表 - 强调文字颜色 113"/>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
    <w:name w:val="中等深浅底纹 1 - 强调文字颜色 113"/>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0">
    <w:name w:val="网格型2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7">
    <w:name w:val="网格型33"/>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典雅型13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2">
    <w:name w:val="古典型 113"/>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3">
    <w:name w:val="样式53"/>
    <w:basedOn w:val="a3"/>
    <w:uiPriority w:val="99"/>
    <w:qFormat/>
    <w:rPr>
      <w:rFonts w:ascii="Calibri" w:eastAsia="宋体" w:hAnsi="Calibri" w:cs="Times New Roman"/>
    </w:rPr>
    <w:tblPr/>
  </w:style>
  <w:style w:type="table" w:customStyle="1" w:styleId="2130">
    <w:name w:val="网格型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
    <w:name w:val="样式63"/>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ff8">
    <w:name w:val="表格模式3"/>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1">
    <w:name w:val="网格型7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网格型8"/>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网格型9"/>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网格型10"/>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网格型16"/>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网格型17"/>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网格型8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网格型18"/>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网格型19"/>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网格型25"/>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网格型26"/>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网格型27"/>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6">
    <w:name w:val="Table Normal6"/>
    <w:uiPriority w:val="2"/>
    <w:semiHidden/>
    <w:qFormat/>
    <w:pPr>
      <w:widowControl w:val="0"/>
    </w:pPr>
    <w:rPr>
      <w:rFonts w:ascii="Calibri" w:eastAsia="Times New Roman" w:hAnsi="Calibri" w:cs="Times New Roman"/>
      <w:sz w:val="22"/>
      <w:lang w:eastAsia="en-US"/>
    </w:rPr>
    <w:tblPr>
      <w:tblCellMar>
        <w:top w:w="0" w:type="dxa"/>
        <w:left w:w="0" w:type="dxa"/>
        <w:bottom w:w="0" w:type="dxa"/>
        <w:right w:w="0" w:type="dxa"/>
      </w:tblCellMar>
    </w:tblPr>
  </w:style>
  <w:style w:type="table" w:customStyle="1" w:styleId="TableNormal2">
    <w:name w:val="Table Normal2"/>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3">
    <w:name w:val="Table Normal3"/>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4">
    <w:name w:val="Table Normal4"/>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280">
    <w:name w:val="网格型28"/>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网格型110"/>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网格型3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网格型29"/>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网格型30"/>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网格型28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
    <w:name w:val="网格型28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网格型61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c">
    <w:name w:val="表格主题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4">
    <w:name w:val="网格型4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5">
    <w:name w:val="网格型5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5">
    <w:name w:val="表格主题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0">
    <w:name w:val="网格型711"/>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网格型41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0">
    <w:name w:val="网格型51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表格主题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4">
    <w:name w:val="网格型4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4">
    <w:name w:val="网格型53"/>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网格型6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9">
    <w:name w:val="表格主题3"/>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
    <w:name w:val="网格型72"/>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网格型8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网格型31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0">
    <w:name w:val="网格型41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0">
    <w:name w:val="网格型51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网格型612"/>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d">
    <w:name w:val="表格主题1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0">
    <w:name w:val="网格型4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
    <w:name w:val="网格型54"/>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网格型6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6">
    <w:name w:val="表格主题4"/>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1">
    <w:name w:val="网格型73"/>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网格型8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0">
    <w:name w:val="网格型3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网格型4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0">
    <w:name w:val="网格型513"/>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网格型61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a">
    <w:name w:val="表格主题13"/>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0">
    <w:name w:val="网格型9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0">
    <w:name w:val="网格型12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网格型3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
    <w:name w:val="网格型4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0">
    <w:name w:val="网格型52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网格型62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1">
    <w:name w:val="表格主题2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0">
    <w:name w:val="网格型8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网格型111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网格型21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
    <w:name w:val="网格型611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表格主题1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0">
    <w:name w:val="网格型10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0">
    <w:name w:val="网格型13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网格型2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网格型3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
    <w:name w:val="网格型4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0">
    <w:name w:val="网格型53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网格型63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表格主题3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0">
    <w:name w:val="网格型721"/>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网格型8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网格型112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网格型21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
    <w:name w:val="网格型31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
    <w:name w:val="网格型41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0">
    <w:name w:val="网格型512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网格型612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表格主题12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
    <w:name w:val="grp"/>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f2">
    <w:name w:val="网格型 11"/>
    <w:basedOn w:val="a3"/>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0">
    <w:name w:val="网格型 514"/>
    <w:basedOn w:val="a3"/>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0">
    <w:name w:val="网格型35"/>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0">
    <w:name w:val="网格型114"/>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网格型210"/>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网格型36"/>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网格型45"/>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
    <w:name w:val="网格型55"/>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网格型65"/>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网格型74"/>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网格型84"/>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0">
    <w:name w:val="网格型115"/>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网格型214"/>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0">
    <w:name w:val="网格型314"/>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0">
    <w:name w:val="网格型414"/>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
    <w:name w:val="网格型514"/>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网格型614"/>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0">
    <w:name w:val="网格型12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网格型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网格型3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网格型4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0">
    <w:name w:val="网格型6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网格型71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网格型8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
    <w:name w:val="网格型111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网格型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
    <w:name w:val="网格型3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
    <w:name w:val="网格型4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
    <w:name w:val="网格型61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网格型10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0">
    <w:name w:val="网格型13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网格型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0">
    <w:name w:val="网格型3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网格型4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0">
    <w:name w:val="网格型63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0">
    <w:name w:val="网格型8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0">
    <w:name w:val="网格型11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网格型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
    <w:name w:val="网格型3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
    <w:name w:val="网格型4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
    <w:name w:val="网格型61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网格型1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0">
    <w:name w:val="网格型15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网格型24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网格型34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网格型44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
    <w:name w:val="网格型64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网格型73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0">
    <w:name w:val="网格型8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网格型113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网格型21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
    <w:name w:val="网格型31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
    <w:name w:val="网格型41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
    <w:name w:val="网格型613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网格型9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
    <w:name w:val="网格型12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网格型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网格型3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网格型4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
    <w:name w:val="网格型62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网格型71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网格型8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
    <w:name w:val="网格型11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网格型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
    <w:name w:val="网格型3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网格型4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
    <w:name w:val="网格型61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网格型10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
    <w:name w:val="网格型13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网格型23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网格型33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网格型43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
    <w:name w:val="网格型63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网格型72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网格型8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
    <w:name w:val="网格型112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网格型21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
    <w:name w:val="网格型31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
    <w:name w:val="网格型41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
    <w:name w:val="网格型612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网格型16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0">
    <w:name w:val="网格型17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网格型18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
    <w:name w:val="grp1"/>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
    <w:name w:val="中等深浅网格 2 - 着色 12"/>
    <w:basedOn w:val="a3"/>
    <w:uiPriority w:val="68"/>
    <w:semiHidden/>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
    <w:name w:val="中等深浅底纹 1 - 着色 22"/>
    <w:basedOn w:val="a3"/>
    <w:uiPriority w:val="63"/>
    <w:semiHidden/>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
    <w:name w:val="彩色列表 - 着色 22"/>
    <w:basedOn w:val="a3"/>
    <w:uiPriority w:val="72"/>
    <w:semiHidden/>
    <w:qFormat/>
    <w:rPr>
      <w:rFonts w:ascii="Calibri" w:eastAsia="宋体" w:hAnsi="Calibri" w:cs="Times New Roman"/>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
    <w:name w:val="中等深浅网格 1 - 着色 32"/>
    <w:basedOn w:val="a3"/>
    <w:uiPriority w:val="67"/>
    <w:semiHidden/>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
    <w:name w:val="中等深浅网格 1 - 着色 33"/>
    <w:basedOn w:val="a3"/>
    <w:uiPriority w:val="67"/>
    <w:semiHidden/>
    <w:qFormat/>
    <w:rPr>
      <w:rFonts w:ascii="Calibri" w:eastAsia="宋体" w:hAnsi="Calibri" w:cs="Times New Roman"/>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
    <w:name w:val="中等深浅网格 2 - 着色 13"/>
    <w:basedOn w:val="a3"/>
    <w:uiPriority w:val="68"/>
    <w:semiHidden/>
    <w:qFormat/>
    <w:rPr>
      <w:rFonts w:ascii="Cambria" w:eastAsia="宋体" w:hAnsi="Cambria"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
    <w:name w:val="中等深浅底纹 1 - 着色 23"/>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
    <w:name w:val="彩色列表 - 着色 23"/>
    <w:basedOn w:val="a3"/>
    <w:uiPriority w:val="72"/>
    <w:semiHidden/>
    <w:qFormat/>
    <w:rPr>
      <w:rFonts w:ascii="Calibri" w:eastAsia="宋体" w:hAnsi="Calibri" w:cs="Times New Roman"/>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0">
    <w:name w:val="网格型37"/>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0">
    <w:name w:val="网格型116"/>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网格型215"/>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网格型38"/>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0">
    <w:name w:val="网格型46"/>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0">
    <w:name w:val="网格型56"/>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网格型66"/>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网格型75"/>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网格型85"/>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0">
    <w:name w:val="网格型117"/>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网格型216"/>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0">
    <w:name w:val="网格型315"/>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网格型415"/>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0">
    <w:name w:val="网格型515"/>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网格型615"/>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网格型9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网格型123"/>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网格型22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0">
    <w:name w:val="网格型32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网格型42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
    <w:name w:val="网格型623"/>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网格型713"/>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网格型81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0">
    <w:name w:val="网格型1113"/>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网格型211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
    <w:name w:val="网格型311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
    <w:name w:val="网格型411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
    <w:name w:val="网格型6113"/>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网格型10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网格型133"/>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网格型23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0">
    <w:name w:val="网格型33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0">
    <w:name w:val="网格型43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
    <w:name w:val="网格型633"/>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网格型723"/>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网格型82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0">
    <w:name w:val="网格型1123"/>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网格型212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网格型312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
    <w:name w:val="网格型4123"/>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3">
    <w:name w:val="网格型6123"/>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网格型1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网格型15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网格型2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
    <w:name w:val="网格型3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
    <w:name w:val="网格型4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2">
    <w:name w:val="网格型64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网格型73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0">
    <w:name w:val="网格型8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0">
    <w:name w:val="网格型113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网格型21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
    <w:name w:val="网格型31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2">
    <w:name w:val="网格型41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2">
    <w:name w:val="网格型613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网格型9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0">
    <w:name w:val="网格型12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网格型22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网格型32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
    <w:name w:val="网格型42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
    <w:name w:val="网格型62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网格型711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网格型8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0">
    <w:name w:val="网格型111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网格型21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
    <w:name w:val="网格型31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2">
    <w:name w:val="网格型41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
    <w:name w:val="网格型611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网格型10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
    <w:name w:val="网格型13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网格型23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
    <w:name w:val="网格型33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2">
    <w:name w:val="网格型43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2">
    <w:name w:val="网格型63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网格型721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网格型82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
    <w:name w:val="网格型112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
    <w:name w:val="网格型212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网格型312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2">
    <w:name w:val="网格型412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2">
    <w:name w:val="网格型612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网格型16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网格型172"/>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网格型182"/>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2">
    <w:name w:val="grp2"/>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34">
    <w:name w:val="中等深浅网格 1 - 着色 34"/>
    <w:basedOn w:val="a3"/>
    <w:uiPriority w:val="67"/>
    <w:semiHidden/>
    <w:qFormat/>
    <w:rPr>
      <w:rFonts w:ascii="Calibri" w:eastAsia="宋体" w:hAnsi="Calibri" w:cs="Times New Roman"/>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4">
    <w:name w:val="中等深浅网格 2 - 着色 14"/>
    <w:basedOn w:val="a3"/>
    <w:uiPriority w:val="68"/>
    <w:semiHidden/>
    <w:qFormat/>
    <w:rPr>
      <w:rFonts w:ascii="Cambria" w:eastAsia="宋体" w:hAnsi="Cambria"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4">
    <w:name w:val="中等深浅底纹 1 - 着色 24"/>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
    <w:name w:val="彩色列表 - 着色 24"/>
    <w:basedOn w:val="a3"/>
    <w:uiPriority w:val="72"/>
    <w:semiHidden/>
    <w:qFormat/>
    <w:rPr>
      <w:rFonts w:ascii="Calibri" w:eastAsia="宋体" w:hAnsi="Calibri" w:cs="Times New Roman"/>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zcjy">
    <w:name w:val="zcjy"/>
    <w:qFormat/>
    <w:rPr>
      <w:shd w:val="clear" w:color="auto" w:fill="266EB4"/>
    </w:rPr>
  </w:style>
  <w:style w:type="character" w:customStyle="1" w:styleId="ydx">
    <w:name w:val="ydx"/>
    <w:qFormat/>
    <w:rPr>
      <w:shd w:val="clear" w:color="auto" w:fill="CC6600"/>
    </w:rPr>
  </w:style>
  <w:style w:type="paragraph" w:customStyle="1" w:styleId="TOC30">
    <w:name w:val="TOC 标题3"/>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2fff6">
    <w:name w:val="明显引用2"/>
    <w:basedOn w:val="a0"/>
    <w:next w:val="a0"/>
    <w:link w:val="1fffd"/>
    <w:uiPriority w:val="99"/>
    <w:unhideWhenUsed/>
    <w:qFormat/>
    <w:pPr>
      <w:widowControl w:val="0"/>
      <w:pBdr>
        <w:bottom w:val="single" w:sz="4" w:space="4" w:color="5B9BD5"/>
      </w:pBdr>
      <w:spacing w:before="200" w:after="280"/>
      <w:ind w:left="936" w:right="936"/>
      <w:jc w:val="both"/>
    </w:pPr>
    <w:rPr>
      <w:rFonts w:ascii="Times New Roman" w:hAnsi="Times New Roman" w:cs="Times New Roman"/>
      <w:b/>
      <w:bCs/>
      <w:i/>
      <w:iCs/>
      <w:color w:val="5B9BD5"/>
      <w:kern w:val="2"/>
      <w:sz w:val="21"/>
    </w:rPr>
  </w:style>
  <w:style w:type="character" w:customStyle="1" w:styleId="1fffd">
    <w:name w:val="明显引用 字符1"/>
    <w:link w:val="2fff6"/>
    <w:uiPriority w:val="99"/>
    <w:qFormat/>
    <w:rPr>
      <w:rFonts w:ascii="Times New Roman" w:eastAsia="宋体" w:hAnsi="Times New Roman" w:cs="Times New Roman"/>
      <w:b/>
      <w:bCs/>
      <w:i/>
      <w:iCs/>
      <w:color w:val="5B9BD5"/>
      <w:szCs w:val="24"/>
    </w:rPr>
  </w:style>
  <w:style w:type="paragraph" w:customStyle="1" w:styleId="2fff7">
    <w:name w:val="书目2"/>
    <w:basedOn w:val="a0"/>
    <w:next w:val="a0"/>
    <w:uiPriority w:val="37"/>
    <w:unhideWhenUsed/>
    <w:qFormat/>
    <w:pPr>
      <w:widowControl w:val="0"/>
      <w:jc w:val="both"/>
    </w:pPr>
    <w:rPr>
      <w:rFonts w:ascii="Times New Roman" w:hAnsi="Times New Roman" w:cs="Times New Roman"/>
      <w:kern w:val="2"/>
      <w:sz w:val="21"/>
    </w:rPr>
  </w:style>
  <w:style w:type="paragraph" w:customStyle="1" w:styleId="2fff8">
    <w:name w:val="无间隔2"/>
    <w:uiPriority w:val="99"/>
    <w:unhideWhenUsed/>
    <w:qFormat/>
    <w:pPr>
      <w:widowControl w:val="0"/>
      <w:jc w:val="both"/>
    </w:pPr>
    <w:rPr>
      <w:rFonts w:ascii="Times New Roman" w:eastAsia="宋体" w:hAnsi="Times New Roman" w:cs="Times New Roman"/>
      <w:kern w:val="2"/>
      <w:sz w:val="21"/>
      <w:szCs w:val="24"/>
    </w:rPr>
  </w:style>
  <w:style w:type="paragraph" w:customStyle="1" w:styleId="2fff9">
    <w:name w:val="引用2"/>
    <w:basedOn w:val="a0"/>
    <w:next w:val="a0"/>
    <w:link w:val="1fffe"/>
    <w:uiPriority w:val="99"/>
    <w:unhideWhenUsed/>
    <w:qFormat/>
    <w:pPr>
      <w:widowControl w:val="0"/>
      <w:jc w:val="both"/>
    </w:pPr>
    <w:rPr>
      <w:rFonts w:ascii="Times New Roman" w:hAnsi="Times New Roman" w:cs="Times New Roman"/>
      <w:i/>
      <w:iCs/>
      <w:color w:val="000000"/>
      <w:kern w:val="2"/>
      <w:sz w:val="21"/>
    </w:rPr>
  </w:style>
  <w:style w:type="character" w:customStyle="1" w:styleId="1fffe">
    <w:name w:val="引用 字符1"/>
    <w:link w:val="2fff9"/>
    <w:uiPriority w:val="99"/>
    <w:qFormat/>
    <w:rPr>
      <w:rFonts w:ascii="Times New Roman" w:eastAsia="宋体" w:hAnsi="Times New Roman" w:cs="Times New Roman"/>
      <w:i/>
      <w:iCs/>
      <w:color w:val="000000"/>
      <w:szCs w:val="24"/>
    </w:rPr>
  </w:style>
  <w:style w:type="paragraph" w:customStyle="1" w:styleId="21f2">
    <w:name w:val="修订21"/>
    <w:hidden/>
    <w:uiPriority w:val="99"/>
    <w:unhideWhenUsed/>
    <w:qFormat/>
    <w:rPr>
      <w:rFonts w:ascii="Times New Roman" w:eastAsia="宋体" w:hAnsi="Times New Roman" w:cs="Times New Roman"/>
      <w:kern w:val="2"/>
      <w:sz w:val="21"/>
      <w:szCs w:val="24"/>
    </w:rPr>
  </w:style>
  <w:style w:type="paragraph" w:customStyle="1" w:styleId="21f3">
    <w:name w:val="列出段落21"/>
    <w:basedOn w:val="a0"/>
    <w:uiPriority w:val="34"/>
    <w:unhideWhenUsed/>
    <w:qFormat/>
    <w:pPr>
      <w:widowControl w:val="0"/>
      <w:ind w:firstLineChars="200" w:firstLine="420"/>
      <w:jc w:val="both"/>
    </w:pPr>
    <w:rPr>
      <w:rFonts w:ascii="Times New Roman" w:hAnsi="Times New Roman" w:cs="Times New Roman"/>
      <w:kern w:val="2"/>
      <w:sz w:val="21"/>
    </w:rPr>
  </w:style>
  <w:style w:type="character" w:customStyle="1" w:styleId="active">
    <w:name w:val="active"/>
    <w:qFormat/>
    <w:rPr>
      <w:color w:val="FFFFFF"/>
      <w:shd w:val="clear" w:color="auto" w:fill="F66262"/>
    </w:rPr>
  </w:style>
  <w:style w:type="character" w:customStyle="1" w:styleId="last-child">
    <w:name w:val="last-child"/>
    <w:qFormat/>
  </w:style>
  <w:style w:type="character" w:customStyle="1" w:styleId="resulthighlight">
    <w:name w:val="result_high_light"/>
    <w:qFormat/>
    <w:rPr>
      <w:color w:val="D8453B"/>
    </w:rPr>
  </w:style>
  <w:style w:type="character" w:customStyle="1" w:styleId="last-child1">
    <w:name w:val="last-child1"/>
    <w:qFormat/>
  </w:style>
  <w:style w:type="paragraph" w:customStyle="1" w:styleId="result">
    <w:name w:val="result"/>
    <w:basedOn w:val="a0"/>
    <w:qFormat/>
    <w:pPr>
      <w:widowControl w:val="0"/>
    </w:pPr>
    <w:rPr>
      <w:rFonts w:ascii="Times New Roman" w:hAnsi="Times New Roman" w:cs="Times New Roman"/>
      <w:sz w:val="21"/>
    </w:rPr>
  </w:style>
  <w:style w:type="paragraph" w:customStyle="1" w:styleId="result2">
    <w:name w:val="result2"/>
    <w:basedOn w:val="a0"/>
    <w:qFormat/>
    <w:pPr>
      <w:widowControl w:val="0"/>
    </w:pPr>
    <w:rPr>
      <w:rFonts w:ascii="Times New Roman" w:hAnsi="Times New Roman" w:cs="Times New Roman"/>
      <w:sz w:val="21"/>
    </w:rPr>
  </w:style>
  <w:style w:type="character" w:customStyle="1" w:styleId="result3">
    <w:name w:val="result3"/>
    <w:qFormat/>
  </w:style>
  <w:style w:type="paragraph" w:customStyle="1" w:styleId="TOC40">
    <w:name w:val="TOC 标题4"/>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3ffa">
    <w:name w:val="明显引用3"/>
    <w:basedOn w:val="a0"/>
    <w:next w:val="a0"/>
    <w:link w:val="2fffa"/>
    <w:uiPriority w:val="30"/>
    <w:unhideWhenUsed/>
    <w:qFormat/>
    <w:pPr>
      <w:widowControl w:val="0"/>
      <w:pBdr>
        <w:bottom w:val="single" w:sz="4" w:space="4" w:color="5B9BD5"/>
      </w:pBdr>
      <w:spacing w:before="200" w:after="280"/>
      <w:ind w:left="936" w:right="936"/>
      <w:jc w:val="both"/>
    </w:pPr>
    <w:rPr>
      <w:rFonts w:ascii="Times New Roman" w:hAnsi="Times New Roman" w:cs="Times New Roman"/>
      <w:b/>
      <w:bCs/>
      <w:i/>
      <w:iCs/>
      <w:color w:val="5B9BD5"/>
      <w:kern w:val="2"/>
      <w:sz w:val="21"/>
    </w:rPr>
  </w:style>
  <w:style w:type="character" w:customStyle="1" w:styleId="2fffa">
    <w:name w:val="明显引用 字符2"/>
    <w:link w:val="3ffa"/>
    <w:uiPriority w:val="30"/>
    <w:qFormat/>
    <w:rPr>
      <w:rFonts w:ascii="Times New Roman" w:eastAsia="宋体" w:hAnsi="Times New Roman" w:cs="Times New Roman"/>
      <w:b/>
      <w:bCs/>
      <w:i/>
      <w:iCs/>
      <w:color w:val="5B9BD5"/>
      <w:szCs w:val="24"/>
    </w:rPr>
  </w:style>
  <w:style w:type="paragraph" w:customStyle="1" w:styleId="3ffb">
    <w:name w:val="书目3"/>
    <w:basedOn w:val="a0"/>
    <w:next w:val="a0"/>
    <w:uiPriority w:val="37"/>
    <w:unhideWhenUsed/>
    <w:qFormat/>
    <w:pPr>
      <w:widowControl w:val="0"/>
      <w:jc w:val="both"/>
    </w:pPr>
    <w:rPr>
      <w:rFonts w:ascii="Times New Roman" w:hAnsi="Times New Roman" w:cs="Times New Roman"/>
      <w:kern w:val="2"/>
      <w:sz w:val="21"/>
    </w:rPr>
  </w:style>
  <w:style w:type="paragraph" w:customStyle="1" w:styleId="3ffc">
    <w:name w:val="无间隔3"/>
    <w:uiPriority w:val="1"/>
    <w:unhideWhenUsed/>
    <w:qFormat/>
    <w:pPr>
      <w:widowControl w:val="0"/>
      <w:jc w:val="both"/>
    </w:pPr>
    <w:rPr>
      <w:rFonts w:ascii="Times New Roman" w:eastAsia="宋体" w:hAnsi="Times New Roman" w:cs="Times New Roman"/>
      <w:kern w:val="2"/>
      <w:sz w:val="21"/>
      <w:szCs w:val="24"/>
    </w:rPr>
  </w:style>
  <w:style w:type="paragraph" w:customStyle="1" w:styleId="3ffd">
    <w:name w:val="引用3"/>
    <w:basedOn w:val="a0"/>
    <w:next w:val="a0"/>
    <w:link w:val="2fffb"/>
    <w:uiPriority w:val="29"/>
    <w:unhideWhenUsed/>
    <w:qFormat/>
    <w:pPr>
      <w:widowControl w:val="0"/>
      <w:jc w:val="both"/>
    </w:pPr>
    <w:rPr>
      <w:rFonts w:ascii="Times New Roman" w:hAnsi="Times New Roman" w:cs="Times New Roman"/>
      <w:i/>
      <w:iCs/>
      <w:color w:val="000000"/>
      <w:kern w:val="2"/>
      <w:sz w:val="21"/>
    </w:rPr>
  </w:style>
  <w:style w:type="character" w:customStyle="1" w:styleId="2fffb">
    <w:name w:val="引用 字符2"/>
    <w:link w:val="3ffd"/>
    <w:uiPriority w:val="29"/>
    <w:qFormat/>
    <w:rPr>
      <w:rFonts w:ascii="Times New Roman" w:eastAsia="宋体" w:hAnsi="Times New Roman" w:cs="Times New Roman"/>
      <w:i/>
      <w:iCs/>
      <w:color w:val="000000"/>
      <w:szCs w:val="24"/>
    </w:rPr>
  </w:style>
  <w:style w:type="paragraph" w:customStyle="1" w:styleId="3ffe">
    <w:name w:val="修订3"/>
    <w:hidden/>
    <w:uiPriority w:val="99"/>
    <w:unhideWhenUsed/>
    <w:qFormat/>
    <w:rPr>
      <w:rFonts w:ascii="Times New Roman" w:eastAsia="宋体" w:hAnsi="Times New Roman" w:cs="Times New Roman"/>
      <w:kern w:val="2"/>
      <w:sz w:val="21"/>
      <w:szCs w:val="24"/>
    </w:rPr>
  </w:style>
  <w:style w:type="paragraph" w:customStyle="1" w:styleId="4f7">
    <w:name w:val="修订4"/>
    <w:hidden/>
    <w:uiPriority w:val="99"/>
    <w:unhideWhenUsed/>
    <w:qFormat/>
    <w:rPr>
      <w:rFonts w:ascii="Times New Roman" w:eastAsia="宋体" w:hAnsi="Times New Roman" w:cs="Times New Roman"/>
      <w:kern w:val="2"/>
      <w:sz w:val="21"/>
      <w:szCs w:val="24"/>
    </w:rPr>
  </w:style>
  <w:style w:type="paragraph" w:customStyle="1" w:styleId="TOC50">
    <w:name w:val="TOC 标题5"/>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4f8">
    <w:name w:val="书目4"/>
    <w:basedOn w:val="a0"/>
    <w:next w:val="a0"/>
    <w:uiPriority w:val="37"/>
    <w:unhideWhenUsed/>
    <w:qFormat/>
    <w:pPr>
      <w:widowControl w:val="0"/>
      <w:jc w:val="both"/>
    </w:pPr>
    <w:rPr>
      <w:rFonts w:ascii="Times New Roman" w:hAnsi="Times New Roman" w:cs="Times New Roman"/>
      <w:kern w:val="2"/>
      <w:sz w:val="21"/>
    </w:rPr>
  </w:style>
  <w:style w:type="paragraph" w:customStyle="1" w:styleId="TOC60">
    <w:name w:val="TOC 标题6"/>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5f5">
    <w:name w:val="书目5"/>
    <w:basedOn w:val="a0"/>
    <w:next w:val="a0"/>
    <w:uiPriority w:val="37"/>
    <w:unhideWhenUsed/>
    <w:qFormat/>
    <w:pPr>
      <w:widowControl w:val="0"/>
      <w:jc w:val="both"/>
    </w:pPr>
    <w:rPr>
      <w:rFonts w:ascii="Times New Roman" w:hAnsi="Times New Roman" w:cs="Times New Roman"/>
      <w:kern w:val="2"/>
      <w:sz w:val="21"/>
    </w:rPr>
  </w:style>
  <w:style w:type="paragraph" w:customStyle="1" w:styleId="TOC70">
    <w:name w:val="TOC 标题7"/>
    <w:basedOn w:val="1"/>
    <w:next w:val="a0"/>
    <w:uiPriority w:val="39"/>
    <w:unhideWhenUsed/>
    <w:qFormat/>
    <w:pPr>
      <w:tabs>
        <w:tab w:val="left" w:pos="567"/>
      </w:tabs>
      <w:ind w:left="567" w:hanging="567"/>
      <w:outlineLvl w:val="9"/>
    </w:pPr>
    <w:rPr>
      <w:rFonts w:ascii="Times New Roman" w:eastAsia="宋体" w:hAnsi="Times New Roman"/>
    </w:rPr>
  </w:style>
  <w:style w:type="paragraph" w:customStyle="1" w:styleId="6a">
    <w:name w:val="书目6"/>
    <w:basedOn w:val="a0"/>
    <w:next w:val="a0"/>
    <w:uiPriority w:val="37"/>
    <w:unhideWhenUsed/>
    <w:qFormat/>
    <w:pPr>
      <w:widowControl w:val="0"/>
      <w:jc w:val="both"/>
    </w:pPr>
    <w:rPr>
      <w:rFonts w:ascii="Times New Roman" w:hAnsi="Times New Roman" w:cs="Times New Roman"/>
      <w:kern w:val="2"/>
      <w:sz w:val="21"/>
    </w:rPr>
  </w:style>
  <w:style w:type="paragraph" w:customStyle="1" w:styleId="TOC80">
    <w:name w:val="TOC 标题8"/>
    <w:basedOn w:val="1"/>
    <w:next w:val="a0"/>
    <w:uiPriority w:val="39"/>
    <w:unhideWhenUsed/>
    <w:qFormat/>
    <w:pPr>
      <w:outlineLvl w:val="9"/>
    </w:pPr>
    <w:rPr>
      <w:rFonts w:ascii="Arial" w:eastAsia="宋体" w:hAnsi="Arial"/>
    </w:rPr>
  </w:style>
  <w:style w:type="paragraph" w:customStyle="1" w:styleId="7b">
    <w:name w:val="书目7"/>
    <w:basedOn w:val="a0"/>
    <w:next w:val="a0"/>
    <w:uiPriority w:val="37"/>
    <w:unhideWhenUsed/>
    <w:qFormat/>
    <w:pPr>
      <w:widowControl w:val="0"/>
      <w:jc w:val="both"/>
    </w:pPr>
    <w:rPr>
      <w:rFonts w:ascii="Times New Roman" w:hAnsi="Times New Roman" w:cs="Times New Roman"/>
      <w:kern w:val="2"/>
      <w:sz w:val="21"/>
    </w:rPr>
  </w:style>
  <w:style w:type="paragraph" w:customStyle="1" w:styleId="5f6">
    <w:name w:val="修订5"/>
    <w:hidden/>
    <w:uiPriority w:val="99"/>
    <w:semiHidden/>
    <w:qFormat/>
    <w:rPr>
      <w:rFonts w:ascii="Times New Roman" w:eastAsia="宋体" w:hAnsi="Times New Roman" w:cs="Times New Roman"/>
      <w:kern w:val="2"/>
      <w:sz w:val="21"/>
      <w:szCs w:val="24"/>
    </w:rPr>
  </w:style>
  <w:style w:type="paragraph" w:customStyle="1" w:styleId="xl148">
    <w:name w:val="xl148"/>
    <w:basedOn w:val="a0"/>
    <w:qFormat/>
    <w:pPr>
      <w:pBdr>
        <w:left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49">
    <w:name w:val="xl149"/>
    <w:basedOn w:val="a0"/>
    <w:qFormat/>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style>
  <w:style w:type="paragraph" w:customStyle="1" w:styleId="xl150">
    <w:name w:val="xl150"/>
    <w:basedOn w:val="a0"/>
    <w:qFormat/>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151">
    <w:name w:val="xl151"/>
    <w:basedOn w:val="a0"/>
    <w:qFormat/>
    <w:pPr>
      <w:pBdr>
        <w:left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rPr>
  </w:style>
  <w:style w:type="paragraph" w:customStyle="1" w:styleId="xl152">
    <w:name w:val="xl152"/>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3">
    <w:name w:val="xl153"/>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54">
    <w:name w:val="xl154"/>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5">
    <w:name w:val="xl155"/>
    <w:basedOn w:val="a0"/>
    <w:qFormat/>
    <w:pPr>
      <w:pBdr>
        <w:top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6">
    <w:name w:val="xl156"/>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57">
    <w:name w:val="xl157"/>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58">
    <w:name w:val="xl158"/>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59">
    <w:name w:val="xl159"/>
    <w:basedOn w:val="a0"/>
    <w:qFormat/>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60">
    <w:name w:val="xl160"/>
    <w:basedOn w:val="a0"/>
    <w:qFormat/>
    <w:pPr>
      <w:pBdr>
        <w:top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61">
    <w:name w:val="xl161"/>
    <w:basedOn w:val="a0"/>
    <w:qFormat/>
    <w:pPr>
      <w:pBdr>
        <w:top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rPr>
  </w:style>
  <w:style w:type="paragraph" w:customStyle="1" w:styleId="xl162">
    <w:name w:val="xl162"/>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163">
    <w:name w:val="xl163"/>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64">
    <w:name w:val="xl164"/>
    <w:basedOn w:val="a0"/>
    <w:qFormat/>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165">
    <w:name w:val="xl165"/>
    <w:basedOn w:val="a0"/>
    <w:qFormat/>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166">
    <w:name w:val="xl166"/>
    <w:basedOn w:val="a0"/>
    <w:qFormat/>
    <w:pPr>
      <w:pBdr>
        <w:top w:val="single" w:sz="4" w:space="0" w:color="auto"/>
        <w:lef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67">
    <w:name w:val="xl167"/>
    <w:basedOn w:val="a0"/>
    <w:qFormat/>
    <w:pPr>
      <w:pBdr>
        <w:top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68">
    <w:name w:val="xl168"/>
    <w:basedOn w:val="a0"/>
    <w:qFormat/>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169">
    <w:name w:val="xl169"/>
    <w:basedOn w:val="a0"/>
    <w:qFormat/>
    <w:pPr>
      <w:pBdr>
        <w:left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170">
    <w:name w:val="xl170"/>
    <w:basedOn w:val="a0"/>
    <w:qFormat/>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171">
    <w:name w:val="xl171"/>
    <w:basedOn w:val="a0"/>
    <w:qFormat/>
    <w:pPr>
      <w:pBdr>
        <w:lef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2">
    <w:name w:val="xl172"/>
    <w:basedOn w:val="a0"/>
    <w:qFormat/>
    <w:pPr>
      <w:pBdr>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3">
    <w:name w:val="xl173"/>
    <w:basedOn w:val="a0"/>
    <w:qFormat/>
    <w:pPr>
      <w:pBdr>
        <w:left w:val="single" w:sz="4" w:space="0" w:color="auto"/>
        <w:bottom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4">
    <w:name w:val="xl174"/>
    <w:basedOn w:val="a0"/>
    <w:qFormat/>
    <w:pPr>
      <w:pBdr>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175">
    <w:name w:val="xl175"/>
    <w:basedOn w:val="a0"/>
    <w:qFormat/>
    <w:pPr>
      <w:pBdr>
        <w:top w:val="single" w:sz="4" w:space="0" w:color="auto"/>
        <w:lef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6">
    <w:name w:val="xl176"/>
    <w:basedOn w:val="a0"/>
    <w:qFormat/>
    <w:pPr>
      <w:pBdr>
        <w:top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7">
    <w:name w:val="xl177"/>
    <w:basedOn w:val="a0"/>
    <w:qFormat/>
    <w:pPr>
      <w:pBdr>
        <w:top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8">
    <w:name w:val="xl178"/>
    <w:basedOn w:val="a0"/>
    <w:qFormat/>
    <w:pPr>
      <w:pBdr>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79">
    <w:name w:val="xl179"/>
    <w:basedOn w:val="a0"/>
    <w:qFormat/>
    <w:pPr>
      <w:pBdr>
        <w:bottom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80">
    <w:name w:val="xl180"/>
    <w:basedOn w:val="a0"/>
    <w:qFormat/>
    <w:pPr>
      <w:pBdr>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b/>
      <w:bCs/>
    </w:rPr>
  </w:style>
  <w:style w:type="paragraph" w:customStyle="1" w:styleId="xl181">
    <w:name w:val="xl181"/>
    <w:basedOn w:val="a0"/>
    <w:qFormat/>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rPr>
  </w:style>
  <w:style w:type="paragraph" w:customStyle="1" w:styleId="xl182">
    <w:name w:val="xl182"/>
    <w:basedOn w:val="a0"/>
    <w:qFormat/>
    <w:pPr>
      <w:pBdr>
        <w:left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rPr>
  </w:style>
  <w:style w:type="paragraph" w:customStyle="1" w:styleId="xl183">
    <w:name w:val="xl183"/>
    <w:basedOn w:val="a0"/>
    <w:qFormat/>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rPr>
  </w:style>
  <w:style w:type="paragraph" w:customStyle="1" w:styleId="xl184">
    <w:name w:val="xl184"/>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5">
    <w:name w:val="xl185"/>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186">
    <w:name w:val="xl186"/>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7">
    <w:name w:val="xl187"/>
    <w:basedOn w:val="a0"/>
    <w:qFormat/>
    <w:pPr>
      <w:pBdr>
        <w:top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8">
    <w:name w:val="xl188"/>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189">
    <w:name w:val="xl189"/>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0">
    <w:name w:val="xl190"/>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1">
    <w:name w:val="xl191"/>
    <w:basedOn w:val="a0"/>
    <w:qFormat/>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2">
    <w:name w:val="xl192"/>
    <w:basedOn w:val="a0"/>
    <w:qFormat/>
    <w:pPr>
      <w:pBdr>
        <w:top w:val="single" w:sz="4" w:space="0" w:color="auto"/>
        <w:bottom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3">
    <w:name w:val="xl193"/>
    <w:basedOn w:val="a0"/>
    <w:qFormat/>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b/>
      <w:bCs/>
    </w:rPr>
  </w:style>
  <w:style w:type="paragraph" w:customStyle="1" w:styleId="xl194">
    <w:name w:val="xl194"/>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5">
    <w:name w:val="xl195"/>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196">
    <w:name w:val="xl196"/>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7">
    <w:name w:val="xl197"/>
    <w:basedOn w:val="a0"/>
    <w:qFormat/>
    <w:pPr>
      <w:pBdr>
        <w:top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8">
    <w:name w:val="xl198"/>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199">
    <w:name w:val="xl199"/>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00">
    <w:name w:val="xl200"/>
    <w:basedOn w:val="a0"/>
    <w:qFormat/>
    <w:pPr>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01">
    <w:name w:val="xl201"/>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02">
    <w:name w:val="xl202"/>
    <w:basedOn w:val="a0"/>
    <w:qFormat/>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rPr>
  </w:style>
  <w:style w:type="paragraph" w:customStyle="1" w:styleId="xl203">
    <w:name w:val="xl203"/>
    <w:basedOn w:val="a0"/>
    <w:qFormat/>
    <w:pPr>
      <w:pBdr>
        <w:left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rPr>
  </w:style>
  <w:style w:type="paragraph" w:customStyle="1" w:styleId="xl204">
    <w:name w:val="xl204"/>
    <w:basedOn w:val="a0"/>
    <w:qFormat/>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rPr>
  </w:style>
  <w:style w:type="paragraph" w:customStyle="1" w:styleId="xl205">
    <w:name w:val="xl205"/>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rPr>
  </w:style>
  <w:style w:type="paragraph" w:customStyle="1" w:styleId="xl206">
    <w:name w:val="xl206"/>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rPr>
  </w:style>
  <w:style w:type="paragraph" w:customStyle="1" w:styleId="xl207">
    <w:name w:val="xl207"/>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rPr>
  </w:style>
  <w:style w:type="paragraph" w:customStyle="1" w:styleId="xl208">
    <w:name w:val="xl208"/>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09">
    <w:name w:val="xl209"/>
    <w:basedOn w:val="a0"/>
    <w:qFormat/>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10">
    <w:name w:val="xl210"/>
    <w:basedOn w:val="a0"/>
    <w:qFormat/>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rPr>
  </w:style>
  <w:style w:type="paragraph" w:customStyle="1" w:styleId="xl211">
    <w:name w:val="xl211"/>
    <w:basedOn w:val="a0"/>
    <w:qFormat/>
    <w:pPr>
      <w:pBdr>
        <w:top w:val="single" w:sz="4" w:space="0" w:color="auto"/>
        <w:lef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2">
    <w:name w:val="xl212"/>
    <w:basedOn w:val="a0"/>
    <w:qFormat/>
    <w:pPr>
      <w:pBdr>
        <w:top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3">
    <w:name w:val="xl213"/>
    <w:basedOn w:val="a0"/>
    <w:qFormat/>
    <w:pPr>
      <w:pBdr>
        <w:top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4">
    <w:name w:val="xl214"/>
    <w:basedOn w:val="a0"/>
    <w:qFormat/>
    <w:pPr>
      <w:pBdr>
        <w:left w:val="single" w:sz="4" w:space="0" w:color="auto"/>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5">
    <w:name w:val="xl215"/>
    <w:basedOn w:val="a0"/>
    <w:qFormat/>
    <w:pPr>
      <w:pBdr>
        <w:bottom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6">
    <w:name w:val="xl216"/>
    <w:basedOn w:val="a0"/>
    <w:qFormat/>
    <w:pPr>
      <w:pBdr>
        <w:bottom w:val="single" w:sz="4" w:space="0" w:color="auto"/>
        <w:right w:val="single" w:sz="4" w:space="0" w:color="auto"/>
      </w:pBdr>
      <w:shd w:val="clear" w:color="000000" w:fill="C5D9F1"/>
      <w:spacing w:before="100" w:beforeAutospacing="1" w:after="100" w:afterAutospacing="1"/>
      <w:jc w:val="center"/>
      <w:textAlignment w:val="center"/>
    </w:pPr>
    <w:rPr>
      <w:rFonts w:ascii="楷体_GB2312" w:eastAsia="楷体_GB2312"/>
      <w:b/>
      <w:bCs/>
    </w:rPr>
  </w:style>
  <w:style w:type="paragraph" w:customStyle="1" w:styleId="xl217">
    <w:name w:val="xl217"/>
    <w:basedOn w:val="a0"/>
    <w:qFormat/>
    <w:pPr>
      <w:pBdr>
        <w:top w:val="single" w:sz="4" w:space="0" w:color="auto"/>
        <w:lef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18">
    <w:name w:val="xl218"/>
    <w:basedOn w:val="a0"/>
    <w:qFormat/>
    <w:pPr>
      <w:pBdr>
        <w:top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19">
    <w:name w:val="xl219"/>
    <w:basedOn w:val="a0"/>
    <w:qFormat/>
    <w:pPr>
      <w:pBdr>
        <w:top w:val="single" w:sz="4" w:space="0" w:color="auto"/>
        <w:righ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0">
    <w:name w:val="xl220"/>
    <w:basedOn w:val="a0"/>
    <w:qFormat/>
    <w:pPr>
      <w:pBdr>
        <w:left w:val="single" w:sz="4" w:space="0" w:color="auto"/>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1">
    <w:name w:val="xl221"/>
    <w:basedOn w:val="a0"/>
    <w:qFormat/>
    <w:pPr>
      <w:pBdr>
        <w:bottom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2">
    <w:name w:val="xl222"/>
    <w:basedOn w:val="a0"/>
    <w:qFormat/>
    <w:pPr>
      <w:pBdr>
        <w:bottom w:val="single" w:sz="4" w:space="0" w:color="auto"/>
        <w:right w:val="single" w:sz="4" w:space="0" w:color="auto"/>
      </w:pBdr>
      <w:shd w:val="clear" w:color="000000" w:fill="DCE6F1"/>
      <w:spacing w:before="100" w:beforeAutospacing="1" w:after="100" w:afterAutospacing="1"/>
      <w:jc w:val="center"/>
      <w:textAlignment w:val="center"/>
    </w:pPr>
    <w:rPr>
      <w:rFonts w:ascii="楷体_GB2312" w:eastAsia="楷体_GB2312"/>
      <w:b/>
      <w:bCs/>
    </w:rPr>
  </w:style>
  <w:style w:type="paragraph" w:customStyle="1" w:styleId="xl223">
    <w:name w:val="xl223"/>
    <w:basedOn w:val="a0"/>
    <w:qFormat/>
    <w:pPr>
      <w:pBdr>
        <w:left w:val="single" w:sz="4" w:space="0" w:color="auto"/>
        <w:bottom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224">
    <w:name w:val="xl224"/>
    <w:basedOn w:val="a0"/>
    <w:qFormat/>
    <w:pPr>
      <w:pBdr>
        <w:bottom w:val="single" w:sz="4" w:space="0" w:color="auto"/>
        <w:righ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225">
    <w:name w:val="xl225"/>
    <w:basedOn w:val="a0"/>
    <w:qFormat/>
    <w:pPr>
      <w:pBdr>
        <w:top w:val="single" w:sz="4" w:space="0" w:color="auto"/>
        <w:left w:val="single" w:sz="4" w:space="0" w:color="auto"/>
      </w:pBdr>
      <w:shd w:val="clear" w:color="000000" w:fill="FDE9D9"/>
      <w:spacing w:before="100" w:beforeAutospacing="1" w:after="100" w:afterAutospacing="1"/>
      <w:jc w:val="center"/>
      <w:textAlignment w:val="center"/>
    </w:pPr>
    <w:rPr>
      <w:rFonts w:ascii="楷体_GB2312" w:eastAsia="楷体_GB2312"/>
    </w:rPr>
  </w:style>
  <w:style w:type="paragraph" w:customStyle="1" w:styleId="xl226">
    <w:name w:val="xl226"/>
    <w:basedOn w:val="a0"/>
    <w:qFormat/>
    <w:pPr>
      <w:pBdr>
        <w:top w:val="single" w:sz="4" w:space="0" w:color="auto"/>
        <w:lef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27">
    <w:name w:val="xl227"/>
    <w:basedOn w:val="a0"/>
    <w:qFormat/>
    <w:pPr>
      <w:pBdr>
        <w:top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28">
    <w:name w:val="xl228"/>
    <w:basedOn w:val="a0"/>
    <w:qFormat/>
    <w:pPr>
      <w:pBdr>
        <w:top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29">
    <w:name w:val="xl229"/>
    <w:basedOn w:val="a0"/>
    <w:qFormat/>
    <w:pPr>
      <w:pBdr>
        <w:left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30">
    <w:name w:val="xl230"/>
    <w:basedOn w:val="a0"/>
    <w:qFormat/>
    <w:pPr>
      <w:pBdr>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31">
    <w:name w:val="xl231"/>
    <w:basedOn w:val="a0"/>
    <w:qFormat/>
    <w:pPr>
      <w:pBdr>
        <w:bottom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32">
    <w:name w:val="xl232"/>
    <w:basedOn w:val="a0"/>
    <w:qFormat/>
    <w:pPr>
      <w:pBdr>
        <w:top w:val="single" w:sz="4" w:space="0" w:color="auto"/>
        <w:lef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3">
    <w:name w:val="xl233"/>
    <w:basedOn w:val="a0"/>
    <w:qFormat/>
    <w:pPr>
      <w:pBdr>
        <w:top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4">
    <w:name w:val="xl234"/>
    <w:basedOn w:val="a0"/>
    <w:qFormat/>
    <w:pPr>
      <w:pBdr>
        <w:top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5">
    <w:name w:val="xl235"/>
    <w:basedOn w:val="a0"/>
    <w:qFormat/>
    <w:pPr>
      <w:pBdr>
        <w:left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6">
    <w:name w:val="xl236"/>
    <w:basedOn w:val="a0"/>
    <w:qFormat/>
    <w:pPr>
      <w:pBdr>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7">
    <w:name w:val="xl237"/>
    <w:basedOn w:val="a0"/>
    <w:qFormat/>
    <w:pPr>
      <w:pBdr>
        <w:bottom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38">
    <w:name w:val="xl238"/>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39">
    <w:name w:val="xl239"/>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40">
    <w:name w:val="xl240"/>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41">
    <w:name w:val="xl241"/>
    <w:basedOn w:val="a0"/>
    <w:qFormat/>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rPr>
  </w:style>
  <w:style w:type="paragraph" w:customStyle="1" w:styleId="xl242">
    <w:name w:val="xl242"/>
    <w:basedOn w:val="a0"/>
    <w:qFormat/>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243">
    <w:name w:val="xl243"/>
    <w:basedOn w:val="a0"/>
    <w:qFormat/>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244">
    <w:name w:val="xl244"/>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45">
    <w:name w:val="xl245"/>
    <w:basedOn w:val="a0"/>
    <w:qFormat/>
    <w:pPr>
      <w:pBdr>
        <w:top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46">
    <w:name w:val="xl246"/>
    <w:basedOn w:val="a0"/>
    <w:qFormat/>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47">
    <w:name w:val="xl247"/>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48">
    <w:name w:val="xl248"/>
    <w:basedOn w:val="a0"/>
    <w:qFormat/>
    <w:pPr>
      <w:pBdr>
        <w:top w:val="single" w:sz="4" w:space="0" w:color="auto"/>
        <w:bottom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49">
    <w:name w:val="xl249"/>
    <w:basedOn w:val="a0"/>
    <w:qFormat/>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rPr>
  </w:style>
  <w:style w:type="paragraph" w:customStyle="1" w:styleId="xl250">
    <w:name w:val="xl250"/>
    <w:basedOn w:val="a0"/>
    <w:qFormat/>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楷体_GB2312" w:eastAsia="楷体_GB2312"/>
      <w:b/>
      <w:bCs/>
    </w:rPr>
  </w:style>
  <w:style w:type="paragraph" w:customStyle="1" w:styleId="xl251">
    <w:name w:val="xl251"/>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0"/>
    <w:qFormat/>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53">
    <w:name w:val="xl253"/>
    <w:basedOn w:val="a0"/>
    <w:qFormat/>
    <w:pPr>
      <w:pBdr>
        <w:top w:val="single" w:sz="4" w:space="0" w:color="auto"/>
        <w:bottom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54">
    <w:name w:val="xl254"/>
    <w:basedOn w:val="a0"/>
    <w:qFormat/>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楷体_GB2312" w:eastAsia="楷体_GB2312"/>
      <w:b/>
      <w:bCs/>
    </w:rPr>
  </w:style>
  <w:style w:type="paragraph" w:customStyle="1" w:styleId="xl255">
    <w:name w:val="xl255"/>
    <w:basedOn w:val="a0"/>
    <w:qFormat/>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56">
    <w:name w:val="xl256"/>
    <w:basedOn w:val="a0"/>
    <w:qFormat/>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0"/>
    <w:qFormat/>
    <w:pPr>
      <w:pBdr>
        <w:top w:val="single" w:sz="4" w:space="0" w:color="auto"/>
        <w:bottom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58">
    <w:name w:val="xl258"/>
    <w:basedOn w:val="a0"/>
    <w:qFormat/>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Arial" w:hAnsi="Arial" w:cs="Arial"/>
      <w:b/>
      <w:bCs/>
    </w:rPr>
  </w:style>
  <w:style w:type="paragraph" w:customStyle="1" w:styleId="xl259">
    <w:name w:val="xl259"/>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0">
    <w:name w:val="xl260"/>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1">
    <w:name w:val="xl261"/>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62">
    <w:name w:val="xl262"/>
    <w:basedOn w:val="a0"/>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3">
    <w:name w:val="xl263"/>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264">
    <w:name w:val="xl264"/>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rPr>
  </w:style>
  <w:style w:type="paragraph" w:customStyle="1" w:styleId="xl265">
    <w:name w:val="xl265"/>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6">
    <w:name w:val="xl266"/>
    <w:basedOn w:val="a0"/>
    <w:qFormat/>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7">
    <w:name w:val="xl267"/>
    <w:basedOn w:val="a0"/>
    <w:qFormat/>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8">
    <w:name w:val="xl268"/>
    <w:basedOn w:val="a0"/>
    <w:qFormat/>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69">
    <w:name w:val="xl269"/>
    <w:basedOn w:val="a0"/>
    <w:qFormat/>
    <w:pPr>
      <w:pBdr>
        <w:top w:val="single" w:sz="4" w:space="0" w:color="auto"/>
        <w:bottom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70">
    <w:name w:val="xl270"/>
    <w:basedOn w:val="a0"/>
    <w:qFormat/>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楷体_GB2312" w:eastAsia="楷体_GB2312"/>
      <w:b/>
      <w:bCs/>
    </w:rPr>
  </w:style>
  <w:style w:type="paragraph" w:customStyle="1" w:styleId="xl271">
    <w:name w:val="xl271"/>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2">
    <w:name w:val="xl272"/>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3">
    <w:name w:val="xl273"/>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4">
    <w:name w:val="xl274"/>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5">
    <w:name w:val="xl275"/>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6">
    <w:name w:val="xl276"/>
    <w:basedOn w:val="a0"/>
    <w:qFormat/>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7">
    <w:name w:val="xl277"/>
    <w:basedOn w:val="a0"/>
    <w:qFormat/>
    <w:pPr>
      <w:pBdr>
        <w:left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278">
    <w:name w:val="xl278"/>
    <w:basedOn w:val="a0"/>
    <w:qFormat/>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character" w:customStyle="1" w:styleId="nlkfqirnlfjer1dfgzxcyiuro">
    <w:name w:val="nlkfqirnlfjer1dfgzxcyiuro"/>
    <w:qFormat/>
  </w:style>
  <w:style w:type="paragraph" w:customStyle="1" w:styleId="font12">
    <w:name w:val="font12"/>
    <w:basedOn w:val="a0"/>
    <w:qFormat/>
    <w:pPr>
      <w:spacing w:before="100" w:beforeAutospacing="1" w:after="100" w:afterAutospacing="1"/>
    </w:pPr>
    <w:rPr>
      <w:color w:val="000000"/>
      <w:sz w:val="18"/>
      <w:szCs w:val="18"/>
    </w:rPr>
  </w:style>
  <w:style w:type="paragraph" w:customStyle="1" w:styleId="font13">
    <w:name w:val="font13"/>
    <w:basedOn w:val="a0"/>
    <w:qFormat/>
    <w:pPr>
      <w:spacing w:before="100" w:beforeAutospacing="1" w:after="100" w:afterAutospacing="1"/>
    </w:pPr>
    <w:rPr>
      <w:rFonts w:ascii="等线" w:hAnsi="等线"/>
      <w:sz w:val="18"/>
      <w:szCs w:val="18"/>
    </w:rPr>
  </w:style>
  <w:style w:type="paragraph" w:customStyle="1" w:styleId="font14">
    <w:name w:val="font14"/>
    <w:basedOn w:val="a0"/>
    <w:qFormat/>
    <w:pPr>
      <w:spacing w:before="100" w:beforeAutospacing="1" w:after="100" w:afterAutospacing="1"/>
    </w:pPr>
    <w:rPr>
      <w:rFonts w:ascii="楷体_GB2312" w:eastAsia="楷体_GB2312"/>
      <w:b/>
      <w:bCs/>
    </w:rPr>
  </w:style>
  <w:style w:type="paragraph" w:customStyle="1" w:styleId="font15">
    <w:name w:val="font15"/>
    <w:basedOn w:val="a0"/>
    <w:qFormat/>
    <w:pPr>
      <w:spacing w:before="100" w:beforeAutospacing="1" w:after="100" w:afterAutospacing="1"/>
    </w:pPr>
    <w:rPr>
      <w:rFonts w:ascii="楷体_GB2312" w:eastAsia="楷体_GB2312"/>
      <w:sz w:val="22"/>
      <w:szCs w:val="22"/>
    </w:rPr>
  </w:style>
  <w:style w:type="paragraph" w:customStyle="1" w:styleId="font16">
    <w:name w:val="font16"/>
    <w:basedOn w:val="a0"/>
    <w:qFormat/>
    <w:pPr>
      <w:spacing w:before="100" w:beforeAutospacing="1" w:after="100" w:afterAutospacing="1"/>
    </w:pPr>
    <w:rPr>
      <w:rFonts w:ascii="楷体_GB2312" w:eastAsia="楷体_GB2312"/>
      <w:color w:val="000000"/>
      <w:sz w:val="22"/>
      <w:szCs w:val="22"/>
    </w:rPr>
  </w:style>
  <w:style w:type="paragraph" w:customStyle="1" w:styleId="font17">
    <w:name w:val="font17"/>
    <w:basedOn w:val="a0"/>
    <w:qFormat/>
    <w:pPr>
      <w:spacing w:before="100" w:beforeAutospacing="1" w:after="100" w:afterAutospacing="1"/>
    </w:pPr>
    <w:rPr>
      <w:rFonts w:ascii="楷体_GB2312" w:eastAsia="楷体_GB2312"/>
      <w:b/>
      <w:bCs/>
      <w:sz w:val="22"/>
      <w:szCs w:val="22"/>
    </w:rPr>
  </w:style>
  <w:style w:type="paragraph" w:customStyle="1" w:styleId="font18">
    <w:name w:val="font18"/>
    <w:basedOn w:val="a0"/>
    <w:qFormat/>
    <w:pPr>
      <w:spacing w:before="100" w:beforeAutospacing="1" w:after="100" w:afterAutospacing="1"/>
    </w:pPr>
    <w:rPr>
      <w:rFonts w:ascii="楷体_GB2312" w:eastAsia="楷体_GB2312"/>
      <w:b/>
      <w:bCs/>
      <w:sz w:val="22"/>
      <w:szCs w:val="22"/>
      <w:u w:val="single"/>
    </w:rPr>
  </w:style>
  <w:style w:type="paragraph" w:customStyle="1" w:styleId="font19">
    <w:name w:val="font19"/>
    <w:basedOn w:val="a0"/>
    <w:qFormat/>
    <w:pPr>
      <w:spacing w:before="100" w:beforeAutospacing="1" w:after="100" w:afterAutospacing="1"/>
    </w:pPr>
    <w:rPr>
      <w:rFonts w:ascii="楷体_GB2312" w:eastAsia="楷体_GB2312"/>
    </w:rPr>
  </w:style>
  <w:style w:type="paragraph" w:customStyle="1" w:styleId="font20">
    <w:name w:val="font20"/>
    <w:basedOn w:val="a0"/>
    <w:qFormat/>
    <w:pPr>
      <w:spacing w:before="100" w:beforeAutospacing="1" w:after="100" w:afterAutospacing="1"/>
    </w:pPr>
    <w:rPr>
      <w:rFonts w:ascii="Arial" w:hAnsi="Arial" w:cs="Arial"/>
      <w:b/>
      <w:bCs/>
    </w:rPr>
  </w:style>
  <w:style w:type="paragraph" w:customStyle="1" w:styleId="font22">
    <w:name w:val="font22"/>
    <w:basedOn w:val="a0"/>
    <w:qFormat/>
    <w:pPr>
      <w:spacing w:before="100" w:beforeAutospacing="1" w:after="100" w:afterAutospacing="1"/>
    </w:pPr>
    <w:rPr>
      <w:rFonts w:ascii="Arial" w:hAnsi="Arial" w:cs="Arial"/>
      <w:color w:val="000000"/>
      <w:sz w:val="22"/>
      <w:szCs w:val="22"/>
    </w:rPr>
  </w:style>
  <w:style w:type="paragraph" w:customStyle="1" w:styleId="font23">
    <w:name w:val="font23"/>
    <w:basedOn w:val="a0"/>
    <w:qFormat/>
    <w:pPr>
      <w:spacing w:before="100" w:beforeAutospacing="1" w:after="100" w:afterAutospacing="1"/>
    </w:pPr>
    <w:rPr>
      <w:rFonts w:ascii="Arial" w:hAnsi="Arial" w:cs="Arial"/>
    </w:rPr>
  </w:style>
  <w:style w:type="character" w:customStyle="1" w:styleId="2fffc">
    <w:name w:val="书籍标题2"/>
    <w:uiPriority w:val="33"/>
    <w:qFormat/>
    <w:rPr>
      <w:b/>
      <w:bCs/>
      <w:smallCaps/>
      <w:spacing w:val="5"/>
    </w:rPr>
  </w:style>
  <w:style w:type="paragraph" w:customStyle="1" w:styleId="afffffffffffb">
    <w:name w:val="表内"/>
    <w:qFormat/>
    <w:pPr>
      <w:keepLines/>
      <w:contextualSpacing/>
    </w:pPr>
    <w:rPr>
      <w:rFonts w:ascii="Times New Roman" w:eastAsia="宋体" w:hAnsi="Times New Roman" w:cs="Times New Roman"/>
      <w:bCs/>
      <w:kern w:val="2"/>
      <w:sz w:val="21"/>
      <w:szCs w:val="21"/>
    </w:rPr>
  </w:style>
  <w:style w:type="paragraph" w:customStyle="1" w:styleId="font24">
    <w:name w:val="font24"/>
    <w:basedOn w:val="a0"/>
    <w:qFormat/>
    <w:pPr>
      <w:spacing w:before="100" w:beforeAutospacing="1" w:after="100" w:afterAutospacing="1"/>
    </w:pPr>
    <w:rPr>
      <w:b/>
      <w:bCs/>
    </w:rPr>
  </w:style>
  <w:style w:type="paragraph" w:customStyle="1" w:styleId="font25">
    <w:name w:val="font25"/>
    <w:basedOn w:val="a0"/>
    <w:qFormat/>
    <w:pPr>
      <w:spacing w:before="100" w:beforeAutospacing="1" w:after="100" w:afterAutospacing="1"/>
    </w:pPr>
    <w:rPr>
      <w:sz w:val="22"/>
      <w:szCs w:val="22"/>
    </w:rPr>
  </w:style>
  <w:style w:type="paragraph" w:customStyle="1" w:styleId="font26">
    <w:name w:val="font26"/>
    <w:basedOn w:val="a0"/>
    <w:qFormat/>
    <w:pPr>
      <w:spacing w:before="100" w:beforeAutospacing="1" w:after="100" w:afterAutospacing="1"/>
    </w:pPr>
    <w:rPr>
      <w:rFonts w:ascii="楷体_GB2312" w:eastAsia="楷体_GB2312"/>
      <w:sz w:val="22"/>
      <w:szCs w:val="22"/>
    </w:rPr>
  </w:style>
  <w:style w:type="paragraph" w:customStyle="1" w:styleId="afffffffffffc">
    <w:name w:val="表格数字"/>
    <w:basedOn w:val="a0"/>
    <w:link w:val="Charfff4"/>
    <w:uiPriority w:val="6"/>
    <w:qFormat/>
    <w:pPr>
      <w:jc w:val="right"/>
    </w:pPr>
    <w:rPr>
      <w:rFonts w:ascii="Times New Roman" w:hAnsi="Times New Roman" w:cs="Arial"/>
      <w:kern w:val="2"/>
      <w:sz w:val="21"/>
      <w:szCs w:val="21"/>
    </w:rPr>
  </w:style>
  <w:style w:type="character" w:customStyle="1" w:styleId="Charfff4">
    <w:name w:val="表格数字 Char"/>
    <w:link w:val="afffffffffffc"/>
    <w:uiPriority w:val="6"/>
    <w:qFormat/>
    <w:rPr>
      <w:rFonts w:ascii="Times New Roman" w:eastAsia="宋体" w:hAnsi="Times New Roman" w:cs="Arial"/>
      <w:szCs w:val="21"/>
    </w:rPr>
  </w:style>
  <w:style w:type="paragraph" w:customStyle="1" w:styleId="p15">
    <w:name w:val="p15"/>
    <w:basedOn w:val="a0"/>
    <w:qFormat/>
    <w:pPr>
      <w:spacing w:line="240" w:lineRule="atLeast"/>
      <w:jc w:val="both"/>
    </w:pPr>
    <w:rPr>
      <w:rFonts w:ascii="Times New Roman" w:eastAsia="等线" w:hAnsi="Times New Roman" w:cs="Times New Roman"/>
      <w:sz w:val="32"/>
      <w:szCs w:val="22"/>
    </w:rPr>
  </w:style>
  <w:style w:type="paragraph" w:customStyle="1" w:styleId="4f9">
    <w:name w:val="明显引用4"/>
    <w:basedOn w:val="a0"/>
    <w:next w:val="a0"/>
    <w:uiPriority w:val="30"/>
    <w:unhideWhenUsed/>
    <w:qFormat/>
    <w:pPr>
      <w:widowControl w:val="0"/>
      <w:pBdr>
        <w:bottom w:val="single" w:sz="4" w:space="4" w:color="5B9BD5"/>
      </w:pBdr>
      <w:spacing w:before="200" w:after="280"/>
      <w:ind w:left="936" w:right="936"/>
      <w:jc w:val="both"/>
    </w:pPr>
    <w:rPr>
      <w:rFonts w:ascii="Times New Roman" w:hAnsi="Times New Roman" w:cs="Times New Roman"/>
      <w:b/>
      <w:bCs/>
      <w:i/>
      <w:iCs/>
      <w:color w:val="5B9BD5"/>
      <w:kern w:val="2"/>
      <w:sz w:val="21"/>
    </w:rPr>
  </w:style>
  <w:style w:type="character" w:customStyle="1" w:styleId="3fff">
    <w:name w:val="明显引用 字符3"/>
    <w:uiPriority w:val="99"/>
    <w:qFormat/>
    <w:rPr>
      <w:rFonts w:ascii="等线" w:eastAsia="等线" w:hAnsi="等线" w:cs="Times New Roman"/>
      <w:i/>
      <w:iCs/>
      <w:color w:val="5B9BD5"/>
      <w:kern w:val="2"/>
      <w:sz w:val="21"/>
      <w:szCs w:val="22"/>
    </w:rPr>
  </w:style>
  <w:style w:type="paragraph" w:customStyle="1" w:styleId="4fa">
    <w:name w:val="无间隔4"/>
    <w:uiPriority w:val="1"/>
    <w:unhideWhenUsed/>
    <w:qFormat/>
    <w:pPr>
      <w:widowControl w:val="0"/>
      <w:jc w:val="both"/>
    </w:pPr>
    <w:rPr>
      <w:rFonts w:ascii="Times New Roman" w:eastAsia="宋体" w:hAnsi="Times New Roman" w:cs="Times New Roman"/>
      <w:kern w:val="2"/>
      <w:sz w:val="21"/>
      <w:szCs w:val="24"/>
    </w:rPr>
  </w:style>
  <w:style w:type="paragraph" w:customStyle="1" w:styleId="4fb">
    <w:name w:val="引用4"/>
    <w:basedOn w:val="a0"/>
    <w:next w:val="a0"/>
    <w:uiPriority w:val="29"/>
    <w:unhideWhenUsed/>
    <w:qFormat/>
    <w:pPr>
      <w:widowControl w:val="0"/>
      <w:jc w:val="both"/>
    </w:pPr>
    <w:rPr>
      <w:rFonts w:ascii="Times New Roman" w:hAnsi="Times New Roman" w:cs="Times New Roman"/>
      <w:i/>
      <w:iCs/>
      <w:color w:val="000000"/>
      <w:kern w:val="2"/>
      <w:sz w:val="21"/>
    </w:rPr>
  </w:style>
  <w:style w:type="character" w:customStyle="1" w:styleId="3fff0">
    <w:name w:val="引用 字符3"/>
    <w:uiPriority w:val="99"/>
    <w:qFormat/>
    <w:rPr>
      <w:rFonts w:ascii="等线" w:eastAsia="等线" w:hAnsi="等线" w:cs="Times New Roman"/>
      <w:i/>
      <w:iCs/>
      <w:color w:val="404040"/>
      <w:kern w:val="2"/>
      <w:sz w:val="21"/>
      <w:szCs w:val="22"/>
    </w:rPr>
  </w:style>
  <w:style w:type="paragraph" w:customStyle="1" w:styleId="TOC90">
    <w:name w:val="TOC 标题9"/>
    <w:basedOn w:val="1"/>
    <w:next w:val="a0"/>
    <w:uiPriority w:val="39"/>
    <w:unhideWhenUsed/>
    <w:qFormat/>
    <w:pPr>
      <w:outlineLvl w:val="9"/>
    </w:pPr>
    <w:rPr>
      <w:rFonts w:ascii="Arial" w:eastAsia="宋体" w:hAnsi="Arial"/>
    </w:rPr>
  </w:style>
  <w:style w:type="paragraph" w:customStyle="1" w:styleId="88">
    <w:name w:val="书目8"/>
    <w:basedOn w:val="a0"/>
    <w:next w:val="a0"/>
    <w:uiPriority w:val="37"/>
    <w:unhideWhenUsed/>
    <w:qFormat/>
    <w:pPr>
      <w:widowControl w:val="0"/>
      <w:jc w:val="both"/>
    </w:pPr>
    <w:rPr>
      <w:rFonts w:ascii="Times New Roman" w:hAnsi="Times New Roman" w:cs="Times New Roman"/>
      <w:kern w:val="2"/>
      <w:sz w:val="21"/>
    </w:rPr>
  </w:style>
  <w:style w:type="paragraph" w:customStyle="1" w:styleId="6b">
    <w:name w:val="修订6"/>
    <w:hidden/>
    <w:uiPriority w:val="99"/>
    <w:semiHidden/>
    <w:qFormat/>
    <w:rPr>
      <w:rFonts w:ascii="Times New Roman" w:eastAsia="宋体" w:hAnsi="Times New Roman" w:cs="Times New Roman"/>
      <w:kern w:val="2"/>
      <w:sz w:val="21"/>
      <w:szCs w:val="24"/>
    </w:rPr>
  </w:style>
  <w:style w:type="character" w:customStyle="1" w:styleId="3fff1">
    <w:name w:val="书籍标题3"/>
    <w:uiPriority w:val="33"/>
    <w:qFormat/>
    <w:rPr>
      <w:b/>
      <w:bCs/>
      <w:smallCaps/>
      <w:spacing w:val="5"/>
    </w:rPr>
  </w:style>
  <w:style w:type="paragraph" w:customStyle="1" w:styleId="4fc">
    <w:name w:val="列出段落4"/>
    <w:basedOn w:val="a0"/>
    <w:uiPriority w:val="34"/>
    <w:qFormat/>
    <w:pPr>
      <w:widowControl w:val="0"/>
      <w:ind w:firstLineChars="200" w:firstLine="420"/>
      <w:jc w:val="both"/>
    </w:pPr>
    <w:rPr>
      <w:rFonts w:ascii="等线" w:eastAsia="等线" w:hAnsi="等线" w:cs="Times New Roman"/>
      <w:kern w:val="2"/>
      <w:sz w:val="21"/>
      <w:szCs w:val="22"/>
    </w:rPr>
  </w:style>
  <w:style w:type="table" w:customStyle="1" w:styleId="390">
    <w:name w:val="网格型39"/>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网格型40"/>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4">
    <w:name w:val="正文文本 3 Char"/>
    <w:qFormat/>
    <w:rPr>
      <w:rFonts w:ascii="Times New Roman" w:hAnsi="Times New Roman"/>
      <w:sz w:val="16"/>
    </w:rPr>
  </w:style>
  <w:style w:type="character" w:customStyle="1" w:styleId="Charfff5">
    <w:name w:val="签名 Char"/>
    <w:qFormat/>
    <w:rPr>
      <w:rFonts w:ascii="Times New Roman" w:hAnsi="Times New Roman"/>
      <w:kern w:val="2"/>
      <w:sz w:val="21"/>
      <w:szCs w:val="24"/>
    </w:rPr>
  </w:style>
  <w:style w:type="character" w:customStyle="1" w:styleId="3Char5">
    <w:name w:val="正文文本缩进 3 Char"/>
    <w:uiPriority w:val="99"/>
    <w:qFormat/>
    <w:rPr>
      <w:rFonts w:ascii="宋体" w:hAnsi="Times New Roman"/>
      <w:b/>
      <w:kern w:val="2"/>
      <w:sz w:val="32"/>
    </w:rPr>
  </w:style>
  <w:style w:type="character" w:customStyle="1" w:styleId="Charfff6">
    <w:name w:val="标题 Char"/>
    <w:qFormat/>
    <w:rPr>
      <w:rFonts w:ascii="Arial" w:hAnsi="Arial" w:cs="Arial"/>
      <w:b/>
      <w:bCs/>
      <w:kern w:val="2"/>
      <w:sz w:val="32"/>
      <w:szCs w:val="32"/>
      <w:shd w:val="clear" w:color="auto" w:fill="000080"/>
    </w:rPr>
  </w:style>
  <w:style w:type="character" w:customStyle="1" w:styleId="Charfff7">
    <w:name w:val="列表项目符号 Char"/>
    <w:qFormat/>
    <w:rPr>
      <w:rFonts w:ascii="Times New Roman" w:hAnsi="Times New Roman"/>
      <w:kern w:val="2"/>
      <w:sz w:val="21"/>
      <w:szCs w:val="24"/>
    </w:rPr>
  </w:style>
  <w:style w:type="character" w:customStyle="1" w:styleId="Charfff8">
    <w:name w:val="正文缩进 Char"/>
    <w:uiPriority w:val="5"/>
    <w:qFormat/>
    <w:rPr>
      <w:rFonts w:ascii="Times New Roman" w:eastAsia="仿宋_GB2312" w:hAnsi="Times New Roman"/>
      <w:kern w:val="2"/>
      <w:sz w:val="24"/>
    </w:rPr>
  </w:style>
  <w:style w:type="character" w:customStyle="1" w:styleId="Charfff9">
    <w:name w:val="宏文本 Char"/>
    <w:semiHidden/>
    <w:qFormat/>
    <w:rPr>
      <w:rFonts w:ascii="Courier New" w:hAnsi="Courier New" w:cs="Courier New"/>
      <w:color w:val="333333"/>
      <w:lang w:eastAsia="en-US"/>
    </w:rPr>
  </w:style>
  <w:style w:type="character" w:customStyle="1" w:styleId="Charfffa">
    <w:name w:val="注释标题 Char"/>
    <w:qFormat/>
    <w:rPr>
      <w:rFonts w:ascii="Times New Roman" w:hAnsi="Times New Roman"/>
      <w:kern w:val="2"/>
      <w:sz w:val="21"/>
      <w:szCs w:val="24"/>
    </w:rPr>
  </w:style>
  <w:style w:type="character" w:customStyle="1" w:styleId="Charfffb">
    <w:name w:val="电子邮件签名 Char"/>
    <w:qFormat/>
    <w:rPr>
      <w:rFonts w:ascii="Times New Roman" w:hAnsi="Times New Roman"/>
      <w:kern w:val="2"/>
      <w:sz w:val="21"/>
      <w:szCs w:val="24"/>
    </w:rPr>
  </w:style>
  <w:style w:type="character" w:customStyle="1" w:styleId="Charfffc">
    <w:name w:val="称呼 Char"/>
    <w:semiHidden/>
    <w:qFormat/>
    <w:rPr>
      <w:rFonts w:ascii="Times New Roman" w:hAnsi="Times New Roman"/>
      <w:kern w:val="2"/>
      <w:sz w:val="21"/>
      <w:szCs w:val="24"/>
    </w:rPr>
  </w:style>
  <w:style w:type="character" w:customStyle="1" w:styleId="Charfffd">
    <w:name w:val="结束语 Char"/>
    <w:qFormat/>
    <w:rPr>
      <w:rFonts w:ascii="Times New Roman" w:hAnsi="Times New Roman"/>
      <w:kern w:val="2"/>
      <w:sz w:val="21"/>
      <w:szCs w:val="24"/>
    </w:rPr>
  </w:style>
  <w:style w:type="character" w:customStyle="1" w:styleId="HTMLChar0">
    <w:name w:val="HTML 地址 Char"/>
    <w:qFormat/>
    <w:rPr>
      <w:rFonts w:ascii="Times New Roman" w:hAnsi="Times New Roman"/>
      <w:i/>
      <w:iCs/>
      <w:kern w:val="2"/>
      <w:sz w:val="21"/>
      <w:szCs w:val="24"/>
    </w:rPr>
  </w:style>
  <w:style w:type="paragraph" w:customStyle="1" w:styleId="96">
    <w:name w:val="9"/>
    <w:basedOn w:val="a0"/>
    <w:link w:val="2Char8"/>
    <w:qFormat/>
    <w:pPr>
      <w:widowControl w:val="0"/>
      <w:jc w:val="both"/>
    </w:pPr>
    <w:rPr>
      <w:rFonts w:ascii="Times New Roman" w:eastAsia="等线" w:hAnsi="Times New Roman" w:cs="Times New Roman"/>
      <w:kern w:val="2"/>
      <w:sz w:val="21"/>
      <w:szCs w:val="21"/>
    </w:rPr>
  </w:style>
  <w:style w:type="character" w:customStyle="1" w:styleId="2Char8">
    <w:name w:val="正文首行缩进 2 Char"/>
    <w:link w:val="96"/>
    <w:qFormat/>
    <w:rPr>
      <w:rFonts w:ascii="Times New Roman" w:eastAsia="等线" w:hAnsi="Times New Roman" w:cs="Times New Roman"/>
      <w:szCs w:val="21"/>
    </w:rPr>
  </w:style>
  <w:style w:type="character" w:customStyle="1" w:styleId="Charfffe">
    <w:name w:val="信息标题 Char"/>
    <w:qFormat/>
    <w:rPr>
      <w:rFonts w:ascii="Times New Roman" w:hAnsi="Times New Roman" w:cs="Arial"/>
      <w:kern w:val="2"/>
      <w:sz w:val="24"/>
      <w:szCs w:val="24"/>
      <w:shd w:val="pct20" w:color="auto" w:fill="auto"/>
    </w:rPr>
  </w:style>
  <w:style w:type="table" w:customStyle="1" w:styleId="470">
    <w:name w:val="网格型47"/>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尾注文本 字符2"/>
    <w:uiPriority w:val="99"/>
    <w:qFormat/>
    <w:rPr>
      <w:rFonts w:ascii="等线" w:eastAsia="等线" w:hAnsi="等线" w:cs="Times New Roman"/>
      <w:szCs w:val="21"/>
    </w:rPr>
  </w:style>
  <w:style w:type="character" w:customStyle="1" w:styleId="1ffff">
    <w:name w:val="列表段落 字符1"/>
    <w:uiPriority w:val="34"/>
    <w:qFormat/>
    <w:rPr>
      <w:rFonts w:ascii="等线" w:eastAsia="等线" w:hAnsi="等线" w:cs="Times New Roman"/>
      <w:szCs w:val="21"/>
    </w:rPr>
  </w:style>
  <w:style w:type="character" w:customStyle="1" w:styleId="2fffe">
    <w:name w:val="正文文本首行缩进 字符2"/>
    <w:uiPriority w:val="99"/>
    <w:qFormat/>
  </w:style>
  <w:style w:type="character" w:customStyle="1" w:styleId="2ffff">
    <w:name w:val="页眉 字符2"/>
    <w:uiPriority w:val="99"/>
    <w:qFormat/>
    <w:rPr>
      <w:sz w:val="18"/>
      <w:szCs w:val="18"/>
    </w:rPr>
  </w:style>
  <w:style w:type="character" w:customStyle="1" w:styleId="2ffff0">
    <w:name w:val="页脚 字符2"/>
    <w:uiPriority w:val="99"/>
    <w:qFormat/>
    <w:rPr>
      <w:sz w:val="18"/>
      <w:szCs w:val="18"/>
    </w:rPr>
  </w:style>
  <w:style w:type="character" w:customStyle="1" w:styleId="21f4">
    <w:name w:val="正文文本首行缩进 2 字符1"/>
    <w:uiPriority w:val="99"/>
    <w:semiHidden/>
    <w:qFormat/>
    <w:rPr>
      <w:rFonts w:ascii="等线" w:eastAsia="等线" w:hAnsi="等线" w:cs="Times New Roman"/>
      <w:szCs w:val="21"/>
      <w:lang w:val="zh-CN" w:eastAsia="zh-CN"/>
    </w:rPr>
  </w:style>
  <w:style w:type="character" w:customStyle="1" w:styleId="1ffff0">
    <w:name w:val="批注文字 字符1"/>
    <w:uiPriority w:val="99"/>
    <w:qFormat/>
    <w:rPr>
      <w:rFonts w:ascii="Times New Roman" w:eastAsia="等线" w:hAnsi="Times New Roman"/>
      <w:kern w:val="2"/>
      <w:sz w:val="21"/>
      <w:szCs w:val="24"/>
    </w:rPr>
  </w:style>
  <w:style w:type="table" w:customStyle="1" w:styleId="480">
    <w:name w:val="网格型48"/>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f2">
    <w:name w:val="正文文本首行缩进 字符3"/>
    <w:uiPriority w:val="99"/>
    <w:qFormat/>
    <w:rPr>
      <w:rFonts w:ascii="Calibri" w:eastAsia="等线" w:hAnsi="Calibri" w:cs="Times New Roman"/>
      <w:sz w:val="21"/>
      <w:szCs w:val="22"/>
    </w:rPr>
  </w:style>
  <w:style w:type="character" w:customStyle="1" w:styleId="3fff3">
    <w:name w:val="尾注文本 字符3"/>
    <w:uiPriority w:val="99"/>
    <w:qFormat/>
    <w:rPr>
      <w:rFonts w:ascii="等线" w:eastAsia="等线" w:hAnsi="等线" w:cs="Times New Roman"/>
      <w:sz w:val="21"/>
      <w:szCs w:val="21"/>
    </w:rPr>
  </w:style>
  <w:style w:type="character" w:customStyle="1" w:styleId="2ffff1">
    <w:name w:val="列表段落 字符2"/>
    <w:uiPriority w:val="34"/>
    <w:qFormat/>
    <w:rPr>
      <w:rFonts w:ascii="等线" w:eastAsia="等线" w:hAnsi="等线" w:cs="Times New Roman"/>
      <w:sz w:val="21"/>
      <w:szCs w:val="21"/>
    </w:rPr>
  </w:style>
  <w:style w:type="character" w:customStyle="1" w:styleId="22c">
    <w:name w:val="正文文本首行缩进 2 字符2"/>
    <w:uiPriority w:val="99"/>
    <w:semiHidden/>
    <w:qFormat/>
    <w:rPr>
      <w:rFonts w:ascii="等线" w:eastAsia="等线" w:hAnsi="等线" w:cs="Times New Roman"/>
      <w:sz w:val="21"/>
      <w:szCs w:val="21"/>
      <w:lang w:val="zh-CN" w:eastAsia="zh-CN"/>
    </w:rPr>
  </w:style>
  <w:style w:type="character" w:customStyle="1" w:styleId="Char22">
    <w:name w:val="日期 Char2"/>
    <w:qFormat/>
    <w:rPr>
      <w:rFonts w:ascii="等线" w:eastAsia="等线" w:hAnsi="等线" w:cs="Times New Roman"/>
      <w:szCs w:val="21"/>
    </w:rPr>
  </w:style>
  <w:style w:type="character" w:customStyle="1" w:styleId="2Char20">
    <w:name w:val="标题 2 Char2"/>
    <w:uiPriority w:val="9"/>
    <w:qFormat/>
    <w:rPr>
      <w:rFonts w:ascii="等线 Light" w:eastAsia="等线 Light" w:hAnsi="等线 Light" w:cs="Times New Roman"/>
      <w:b/>
      <w:bCs/>
      <w:sz w:val="32"/>
      <w:szCs w:val="32"/>
    </w:rPr>
  </w:style>
  <w:style w:type="character" w:customStyle="1" w:styleId="1Char30">
    <w:name w:val="标题 1 Char3"/>
    <w:uiPriority w:val="9"/>
    <w:qFormat/>
    <w:rPr>
      <w:rFonts w:ascii="等线" w:eastAsia="等线" w:hAnsi="等线" w:cs="Times New Roman"/>
      <w:b/>
      <w:bCs/>
      <w:kern w:val="44"/>
      <w:sz w:val="44"/>
      <w:szCs w:val="44"/>
    </w:rPr>
  </w:style>
  <w:style w:type="character" w:customStyle="1" w:styleId="3Char20">
    <w:name w:val="标题 3 Char2"/>
    <w:uiPriority w:val="9"/>
    <w:qFormat/>
    <w:rPr>
      <w:rFonts w:ascii="等线" w:eastAsia="等线" w:hAnsi="等线" w:cs="Times New Roman"/>
      <w:b/>
      <w:bCs/>
      <w:sz w:val="32"/>
      <w:szCs w:val="32"/>
    </w:rPr>
  </w:style>
  <w:style w:type="character" w:customStyle="1" w:styleId="4Char10">
    <w:name w:val="标题 4 Char1"/>
    <w:uiPriority w:val="9"/>
    <w:qFormat/>
    <w:rPr>
      <w:rFonts w:ascii="等线 Light" w:eastAsia="等线 Light" w:hAnsi="等线 Light" w:cs="Times New Roman"/>
      <w:b/>
      <w:bCs/>
      <w:sz w:val="28"/>
      <w:szCs w:val="28"/>
    </w:rPr>
  </w:style>
  <w:style w:type="character" w:customStyle="1" w:styleId="5Char2">
    <w:name w:val="标题 5 Char2"/>
    <w:uiPriority w:val="9"/>
    <w:qFormat/>
    <w:rPr>
      <w:rFonts w:ascii="等线" w:eastAsia="等线" w:hAnsi="等线" w:cs="Times New Roman"/>
      <w:b/>
      <w:bCs/>
      <w:sz w:val="28"/>
      <w:szCs w:val="28"/>
    </w:rPr>
  </w:style>
  <w:style w:type="character" w:customStyle="1" w:styleId="6Char2">
    <w:name w:val="标题 6 Char2"/>
    <w:uiPriority w:val="9"/>
    <w:qFormat/>
    <w:rPr>
      <w:rFonts w:ascii="等线 Light" w:eastAsia="等线 Light" w:hAnsi="等线 Light" w:cs="Times New Roman"/>
      <w:b/>
      <w:bCs/>
      <w:sz w:val="24"/>
      <w:szCs w:val="24"/>
    </w:rPr>
  </w:style>
  <w:style w:type="character" w:customStyle="1" w:styleId="7Char20">
    <w:name w:val="标题 7 Char2"/>
    <w:uiPriority w:val="9"/>
    <w:qFormat/>
    <w:rPr>
      <w:rFonts w:ascii="等线" w:eastAsia="等线" w:hAnsi="等线" w:cs="Times New Roman"/>
      <w:b/>
      <w:bCs/>
      <w:sz w:val="24"/>
      <w:szCs w:val="24"/>
    </w:rPr>
  </w:style>
  <w:style w:type="character" w:customStyle="1" w:styleId="8Char2">
    <w:name w:val="标题 8 Char2"/>
    <w:uiPriority w:val="9"/>
    <w:qFormat/>
    <w:rPr>
      <w:rFonts w:ascii="等线 Light" w:eastAsia="等线 Light" w:hAnsi="等线 Light" w:cs="Times New Roman"/>
      <w:sz w:val="24"/>
      <w:szCs w:val="24"/>
    </w:rPr>
  </w:style>
  <w:style w:type="character" w:customStyle="1" w:styleId="9Char2">
    <w:name w:val="标题 9 Char2"/>
    <w:uiPriority w:val="9"/>
    <w:qFormat/>
    <w:rPr>
      <w:rFonts w:ascii="等线 Light" w:eastAsia="等线 Light" w:hAnsi="等线 Light" w:cs="Times New Roman"/>
      <w:szCs w:val="21"/>
    </w:rPr>
  </w:style>
  <w:style w:type="character" w:customStyle="1" w:styleId="Char23">
    <w:name w:val="纯文本 Char2"/>
    <w:qFormat/>
    <w:rPr>
      <w:rFonts w:ascii="宋体" w:eastAsia="等线" w:hAnsi="Courier New" w:cs="Times New Roman"/>
      <w:szCs w:val="21"/>
      <w:lang w:val="zh-CN" w:eastAsia="zh-CN"/>
    </w:rPr>
  </w:style>
  <w:style w:type="character" w:customStyle="1" w:styleId="Char24">
    <w:name w:val="批注框文本 Char2"/>
    <w:uiPriority w:val="99"/>
    <w:qFormat/>
    <w:rPr>
      <w:rFonts w:ascii="Times New Roman" w:eastAsia="等线" w:hAnsi="Times New Roman" w:cs="Times New Roman"/>
      <w:sz w:val="18"/>
      <w:szCs w:val="18"/>
      <w:lang w:val="zh-CN" w:eastAsia="zh-CN"/>
    </w:rPr>
  </w:style>
  <w:style w:type="character" w:customStyle="1" w:styleId="Char25">
    <w:name w:val="批注文字 Char2"/>
    <w:uiPriority w:val="99"/>
    <w:qFormat/>
    <w:rPr>
      <w:rFonts w:ascii="Times New Roman" w:eastAsia="等线" w:hAnsi="Times New Roman" w:cs="Times New Roman"/>
      <w:szCs w:val="24"/>
      <w:lang w:val="zh-CN" w:eastAsia="zh-CN"/>
    </w:rPr>
  </w:style>
  <w:style w:type="character" w:customStyle="1" w:styleId="Char26">
    <w:name w:val="文档结构图 Char2"/>
    <w:qFormat/>
    <w:rPr>
      <w:rFonts w:ascii="Times New Roman" w:eastAsia="等线" w:hAnsi="Times New Roman" w:cs="Times New Roman"/>
      <w:szCs w:val="24"/>
      <w:shd w:val="clear" w:color="auto" w:fill="000080"/>
      <w:lang w:val="zh-CN" w:eastAsia="zh-CN"/>
    </w:rPr>
  </w:style>
  <w:style w:type="character" w:customStyle="1" w:styleId="Char27">
    <w:name w:val="批注主题 Char2"/>
    <w:qFormat/>
    <w:rPr>
      <w:rFonts w:ascii="Times New Roman" w:eastAsia="等线" w:hAnsi="Times New Roman" w:cs="Times New Roman"/>
      <w:b/>
      <w:bCs/>
      <w:szCs w:val="24"/>
      <w:lang w:val="zh-CN" w:eastAsia="zh-CN"/>
    </w:rPr>
  </w:style>
  <w:style w:type="character" w:customStyle="1" w:styleId="Char28">
    <w:name w:val="正文文本 Char2"/>
    <w:qFormat/>
    <w:rPr>
      <w:rFonts w:ascii="Times New Roman" w:eastAsia="等线" w:hAnsi="Times New Roman" w:cs="Times New Roman"/>
      <w:szCs w:val="24"/>
      <w:lang w:val="zh-CN" w:eastAsia="zh-CN"/>
    </w:rPr>
  </w:style>
  <w:style w:type="character" w:customStyle="1" w:styleId="Char29">
    <w:name w:val="正文文本缩进 Char2"/>
    <w:qFormat/>
    <w:rPr>
      <w:rFonts w:ascii="Times New Roman" w:eastAsia="等线" w:hAnsi="Times New Roman" w:cs="Times New Roman"/>
      <w:szCs w:val="24"/>
      <w:lang w:val="zh-CN" w:eastAsia="zh-CN"/>
    </w:rPr>
  </w:style>
  <w:style w:type="character" w:customStyle="1" w:styleId="2Char21">
    <w:name w:val="正文文本 2 Char2"/>
    <w:qFormat/>
    <w:rPr>
      <w:rFonts w:ascii="Times New Roman" w:eastAsia="等线" w:hAnsi="Times New Roman" w:cs="Times New Roman"/>
      <w:szCs w:val="24"/>
      <w:lang w:val="zh-CN" w:eastAsia="zh-CN"/>
    </w:rPr>
  </w:style>
  <w:style w:type="character" w:customStyle="1" w:styleId="Char2a">
    <w:name w:val="脚注文本 Char2"/>
    <w:qFormat/>
    <w:rPr>
      <w:rFonts w:ascii="Times New Roman" w:eastAsia="等线" w:hAnsi="Times New Roman" w:cs="Times New Roman"/>
      <w:sz w:val="18"/>
      <w:szCs w:val="18"/>
      <w:lang w:val="zh-CN" w:eastAsia="zh-CN"/>
    </w:rPr>
  </w:style>
  <w:style w:type="character" w:customStyle="1" w:styleId="Char2b">
    <w:name w:val="正文首行缩进 Char2"/>
    <w:uiPriority w:val="99"/>
    <w:qFormat/>
    <w:rPr>
      <w:rFonts w:ascii="Calibri" w:eastAsia="等线" w:hAnsi="Calibri" w:cs="Times New Roman"/>
    </w:rPr>
  </w:style>
  <w:style w:type="character" w:customStyle="1" w:styleId="2Char22">
    <w:name w:val="正文文本缩进 2 Char2"/>
    <w:qFormat/>
    <w:rPr>
      <w:rFonts w:ascii="等线" w:eastAsia="等线" w:hAnsi="等线" w:cs="Times New Roman"/>
      <w:szCs w:val="21"/>
    </w:rPr>
  </w:style>
  <w:style w:type="character" w:customStyle="1" w:styleId="HTMLChar2">
    <w:name w:val="HTML 预设格式 Char2"/>
    <w:qFormat/>
    <w:rPr>
      <w:rFonts w:ascii="宋体" w:hAnsi="宋体" w:cs="宋体"/>
      <w:sz w:val="24"/>
      <w:szCs w:val="24"/>
    </w:rPr>
  </w:style>
  <w:style w:type="character" w:customStyle="1" w:styleId="Char2c">
    <w:name w:val="普通(网站) Char2"/>
    <w:qFormat/>
    <w:rPr>
      <w:rFonts w:ascii="宋体" w:eastAsia="等线" w:hAnsi="宋体" w:cs="Times New Roman"/>
      <w:kern w:val="0"/>
      <w:sz w:val="24"/>
      <w:szCs w:val="24"/>
    </w:rPr>
  </w:style>
  <w:style w:type="character" w:customStyle="1" w:styleId="Char2d">
    <w:name w:val="副标题 Char2"/>
    <w:uiPriority w:val="11"/>
    <w:qFormat/>
    <w:rPr>
      <w:rFonts w:ascii="等线 Light" w:eastAsia="宋体" w:hAnsi="等线 Light" w:cs="Times New Roman"/>
      <w:b/>
      <w:bCs/>
      <w:kern w:val="28"/>
      <w:sz w:val="32"/>
      <w:szCs w:val="32"/>
    </w:rPr>
  </w:style>
  <w:style w:type="character" w:customStyle="1" w:styleId="3Char21">
    <w:name w:val="正文文本 3 Char2"/>
    <w:qFormat/>
    <w:rPr>
      <w:rFonts w:ascii="Times New Roman" w:eastAsia="宋体" w:hAnsi="Times New Roman" w:cs="Times New Roman"/>
      <w:kern w:val="0"/>
      <w:sz w:val="16"/>
      <w:szCs w:val="20"/>
    </w:rPr>
  </w:style>
  <w:style w:type="character" w:customStyle="1" w:styleId="Char1f6">
    <w:name w:val="签名 Char1"/>
    <w:qFormat/>
    <w:rPr>
      <w:rFonts w:ascii="Times New Roman" w:eastAsia="宋体" w:hAnsi="Times New Roman" w:cs="Times New Roman"/>
      <w:szCs w:val="24"/>
    </w:rPr>
  </w:style>
  <w:style w:type="character" w:customStyle="1" w:styleId="3Char22">
    <w:name w:val="正文文本缩进 3 Char2"/>
    <w:qFormat/>
    <w:rPr>
      <w:rFonts w:ascii="宋体" w:eastAsia="宋体" w:hAnsi="Times New Roman" w:cs="Times New Roman"/>
      <w:b/>
      <w:sz w:val="32"/>
      <w:szCs w:val="20"/>
    </w:rPr>
  </w:style>
  <w:style w:type="character" w:customStyle="1" w:styleId="Char31">
    <w:name w:val="标题 Char3"/>
    <w:qFormat/>
    <w:rPr>
      <w:rFonts w:ascii="Arial" w:eastAsia="宋体" w:hAnsi="Arial" w:cs="Arial"/>
      <w:b/>
      <w:bCs/>
      <w:sz w:val="32"/>
      <w:szCs w:val="32"/>
      <w:shd w:val="clear" w:color="auto" w:fill="000080"/>
    </w:rPr>
  </w:style>
  <w:style w:type="character" w:customStyle="1" w:styleId="Char1f7">
    <w:name w:val="列表项目符号 Char1"/>
    <w:qFormat/>
    <w:rPr>
      <w:rFonts w:ascii="Times New Roman" w:eastAsia="宋体" w:hAnsi="Times New Roman" w:cs="Times New Roman"/>
      <w:szCs w:val="24"/>
    </w:rPr>
  </w:style>
  <w:style w:type="character" w:customStyle="1" w:styleId="Char1f8">
    <w:name w:val="正文缩进 Char1"/>
    <w:qFormat/>
    <w:rPr>
      <w:rFonts w:ascii="Times New Roman" w:eastAsia="仿宋_GB2312" w:hAnsi="Times New Roman" w:cs="Times New Roman"/>
      <w:sz w:val="24"/>
      <w:szCs w:val="20"/>
    </w:rPr>
  </w:style>
  <w:style w:type="character" w:customStyle="1" w:styleId="Char1f9">
    <w:name w:val="宏文本 Char1"/>
    <w:semiHidden/>
    <w:qFormat/>
    <w:rPr>
      <w:rFonts w:ascii="Courier New" w:eastAsia="宋体" w:hAnsi="Courier New" w:cs="Courier New"/>
      <w:color w:val="333333"/>
      <w:kern w:val="0"/>
      <w:sz w:val="20"/>
      <w:szCs w:val="20"/>
      <w:lang w:eastAsia="en-US"/>
    </w:rPr>
  </w:style>
  <w:style w:type="character" w:customStyle="1" w:styleId="Char1fa">
    <w:name w:val="注释标题 Char1"/>
    <w:qFormat/>
    <w:rPr>
      <w:rFonts w:ascii="Times New Roman" w:eastAsia="宋体" w:hAnsi="Times New Roman" w:cs="Times New Roman"/>
      <w:szCs w:val="24"/>
    </w:rPr>
  </w:style>
  <w:style w:type="character" w:customStyle="1" w:styleId="Char1fb">
    <w:name w:val="电子邮件签名 Char1"/>
    <w:semiHidden/>
    <w:qFormat/>
    <w:rPr>
      <w:rFonts w:ascii="Times New Roman" w:eastAsia="宋体" w:hAnsi="Times New Roman" w:cs="Times New Roman"/>
      <w:szCs w:val="24"/>
    </w:rPr>
  </w:style>
  <w:style w:type="character" w:customStyle="1" w:styleId="Char2e">
    <w:name w:val="称呼 Char2"/>
    <w:qFormat/>
    <w:rPr>
      <w:rFonts w:ascii="Times New Roman" w:eastAsia="宋体" w:hAnsi="Times New Roman" w:cs="Times New Roman"/>
      <w:szCs w:val="24"/>
    </w:rPr>
  </w:style>
  <w:style w:type="character" w:customStyle="1" w:styleId="Char1fc">
    <w:name w:val="结束语 Char1"/>
    <w:qFormat/>
    <w:rPr>
      <w:rFonts w:ascii="Times New Roman" w:eastAsia="宋体" w:hAnsi="Times New Roman" w:cs="Times New Roman"/>
      <w:szCs w:val="24"/>
    </w:rPr>
  </w:style>
  <w:style w:type="character" w:customStyle="1" w:styleId="HTMLChar10">
    <w:name w:val="HTML 地址 Char1"/>
    <w:qFormat/>
    <w:rPr>
      <w:rFonts w:ascii="Times New Roman" w:eastAsia="宋体" w:hAnsi="Times New Roman" w:cs="Times New Roman"/>
      <w:i/>
      <w:iCs/>
      <w:szCs w:val="24"/>
    </w:rPr>
  </w:style>
  <w:style w:type="character" w:customStyle="1" w:styleId="Char2f">
    <w:name w:val="信息标题 Char2"/>
    <w:qFormat/>
    <w:rPr>
      <w:rFonts w:ascii="Times New Roman" w:eastAsia="宋体" w:hAnsi="Times New Roman" w:cs="Arial"/>
      <w:sz w:val="24"/>
      <w:szCs w:val="24"/>
      <w:shd w:val="pct20" w:color="auto" w:fill="auto"/>
    </w:rPr>
  </w:style>
  <w:style w:type="character" w:customStyle="1" w:styleId="2Char23">
    <w:name w:val="正文首行缩进 2 Char2"/>
    <w:uiPriority w:val="99"/>
    <w:qFormat/>
    <w:rPr>
      <w:rFonts w:ascii="等线" w:eastAsia="等线" w:hAnsi="等线" w:cs="Times New Roman"/>
      <w:szCs w:val="21"/>
      <w:lang w:val="zh-CN" w:eastAsia="zh-CN"/>
    </w:rPr>
  </w:style>
  <w:style w:type="character" w:customStyle="1" w:styleId="Char32">
    <w:name w:val="列出段落 Char3"/>
    <w:uiPriority w:val="34"/>
    <w:qFormat/>
    <w:rPr>
      <w:kern w:val="2"/>
      <w:sz w:val="21"/>
      <w:szCs w:val="22"/>
    </w:rPr>
  </w:style>
  <w:style w:type="paragraph" w:customStyle="1" w:styleId="afffffffffffd">
    <w:name w:val="表格"/>
    <w:basedOn w:val="affffffff8"/>
    <w:qFormat/>
    <w:rPr>
      <w:color w:val="000000"/>
      <w:sz w:val="21"/>
      <w:szCs w:val="22"/>
    </w:rPr>
  </w:style>
  <w:style w:type="paragraph" w:customStyle="1" w:styleId="31d">
    <w:name w:val="列出段落31"/>
    <w:basedOn w:val="a0"/>
    <w:uiPriority w:val="34"/>
    <w:unhideWhenUsed/>
    <w:qFormat/>
    <w:pPr>
      <w:widowControl w:val="0"/>
      <w:ind w:firstLineChars="200" w:firstLine="420"/>
      <w:jc w:val="both"/>
    </w:pPr>
    <w:rPr>
      <w:rFonts w:ascii="Times New Roman" w:hAnsi="Times New Roman" w:cs="Times New Roman"/>
      <w:kern w:val="2"/>
      <w:sz w:val="21"/>
    </w:rPr>
  </w:style>
  <w:style w:type="character" w:customStyle="1" w:styleId="3fff4">
    <w:name w:val="列表段落 字符3"/>
    <w:uiPriority w:val="34"/>
    <w:qFormat/>
    <w:rPr>
      <w:rFonts w:ascii="等线" w:eastAsia="等线" w:hAnsi="等线" w:cs="Times New Roman"/>
      <w:szCs w:val="21"/>
    </w:rPr>
  </w:style>
  <w:style w:type="character" w:customStyle="1" w:styleId="4fd">
    <w:name w:val="页眉 字符4"/>
    <w:uiPriority w:val="99"/>
    <w:qFormat/>
    <w:rPr>
      <w:sz w:val="18"/>
      <w:szCs w:val="18"/>
    </w:rPr>
  </w:style>
  <w:style w:type="character" w:customStyle="1" w:styleId="3fff5">
    <w:name w:val="页脚 字符3"/>
    <w:uiPriority w:val="99"/>
    <w:qFormat/>
    <w:rPr>
      <w:sz w:val="18"/>
      <w:szCs w:val="18"/>
    </w:rPr>
  </w:style>
  <w:style w:type="character" w:customStyle="1" w:styleId="1ffff1">
    <w:name w:val="日期 字符1"/>
    <w:qFormat/>
    <w:rPr>
      <w:rFonts w:ascii="等线" w:eastAsia="等线" w:hAnsi="等线" w:cs="Times New Roman"/>
      <w:szCs w:val="21"/>
    </w:rPr>
  </w:style>
  <w:style w:type="character" w:customStyle="1" w:styleId="21f5">
    <w:name w:val="标题 2 字符1"/>
    <w:uiPriority w:val="9"/>
    <w:qFormat/>
    <w:rPr>
      <w:rFonts w:ascii="等线 Light" w:eastAsia="等线 Light" w:hAnsi="等线 Light" w:cs="Times New Roman"/>
      <w:b/>
      <w:bCs/>
      <w:sz w:val="32"/>
      <w:szCs w:val="32"/>
    </w:rPr>
  </w:style>
  <w:style w:type="character" w:customStyle="1" w:styleId="11f3">
    <w:name w:val="标题 1 字符1"/>
    <w:uiPriority w:val="9"/>
    <w:qFormat/>
    <w:rPr>
      <w:rFonts w:ascii="等线" w:eastAsia="等线" w:hAnsi="等线" w:cs="Times New Roman"/>
      <w:b/>
      <w:bCs/>
      <w:kern w:val="44"/>
      <w:sz w:val="44"/>
      <w:szCs w:val="44"/>
    </w:rPr>
  </w:style>
  <w:style w:type="character" w:customStyle="1" w:styleId="31e">
    <w:name w:val="标题 3 字符1"/>
    <w:uiPriority w:val="9"/>
    <w:qFormat/>
    <w:rPr>
      <w:rFonts w:ascii="等线" w:eastAsia="等线" w:hAnsi="等线" w:cs="Times New Roman"/>
      <w:b/>
      <w:bCs/>
      <w:sz w:val="32"/>
      <w:szCs w:val="32"/>
    </w:rPr>
  </w:style>
  <w:style w:type="character" w:customStyle="1" w:styleId="416">
    <w:name w:val="标题 4 字符1"/>
    <w:uiPriority w:val="9"/>
    <w:qFormat/>
    <w:rPr>
      <w:rFonts w:ascii="等线 Light" w:eastAsia="等线 Light" w:hAnsi="等线 Light" w:cs="Times New Roman"/>
      <w:b/>
      <w:bCs/>
      <w:sz w:val="28"/>
      <w:szCs w:val="28"/>
    </w:rPr>
  </w:style>
  <w:style w:type="character" w:customStyle="1" w:styleId="518">
    <w:name w:val="标题 5 字符1"/>
    <w:uiPriority w:val="9"/>
    <w:qFormat/>
    <w:rPr>
      <w:rFonts w:ascii="等线" w:eastAsia="等线" w:hAnsi="等线" w:cs="Times New Roman"/>
      <w:b/>
      <w:bCs/>
      <w:sz w:val="28"/>
      <w:szCs w:val="28"/>
    </w:rPr>
  </w:style>
  <w:style w:type="character" w:customStyle="1" w:styleId="616">
    <w:name w:val="标题 6 字符1"/>
    <w:uiPriority w:val="9"/>
    <w:qFormat/>
    <w:rPr>
      <w:rFonts w:ascii="等线 Light" w:eastAsia="等线 Light" w:hAnsi="等线 Light" w:cs="Times New Roman"/>
      <w:b/>
      <w:bCs/>
      <w:sz w:val="24"/>
      <w:szCs w:val="24"/>
    </w:rPr>
  </w:style>
  <w:style w:type="character" w:customStyle="1" w:styleId="714">
    <w:name w:val="标题 7 字符1"/>
    <w:uiPriority w:val="9"/>
    <w:qFormat/>
    <w:rPr>
      <w:rFonts w:ascii="等线" w:eastAsia="等线" w:hAnsi="等线" w:cs="Times New Roman"/>
      <w:b/>
      <w:bCs/>
      <w:sz w:val="24"/>
      <w:szCs w:val="24"/>
    </w:rPr>
  </w:style>
  <w:style w:type="character" w:customStyle="1" w:styleId="814">
    <w:name w:val="标题 8 字符1"/>
    <w:uiPriority w:val="9"/>
    <w:qFormat/>
    <w:rPr>
      <w:rFonts w:ascii="等线 Light" w:eastAsia="等线 Light" w:hAnsi="等线 Light" w:cs="Times New Roman"/>
      <w:sz w:val="24"/>
      <w:szCs w:val="24"/>
    </w:rPr>
  </w:style>
  <w:style w:type="character" w:customStyle="1" w:styleId="913">
    <w:name w:val="标题 9 字符1"/>
    <w:uiPriority w:val="9"/>
    <w:qFormat/>
    <w:rPr>
      <w:rFonts w:ascii="等线 Light" w:eastAsia="等线 Light" w:hAnsi="等线 Light" w:cs="Times New Roman"/>
      <w:szCs w:val="21"/>
    </w:rPr>
  </w:style>
  <w:style w:type="character" w:customStyle="1" w:styleId="1ffff2">
    <w:name w:val="纯文本 字符1"/>
    <w:qFormat/>
    <w:rPr>
      <w:rFonts w:ascii="宋体" w:eastAsia="等线" w:hAnsi="Courier New" w:cs="Times New Roman"/>
      <w:szCs w:val="21"/>
      <w:lang w:val="zh-CN" w:eastAsia="zh-CN"/>
    </w:rPr>
  </w:style>
  <w:style w:type="character" w:customStyle="1" w:styleId="1ffff3">
    <w:name w:val="批注框文本 字符1"/>
    <w:uiPriority w:val="99"/>
    <w:qFormat/>
    <w:rPr>
      <w:rFonts w:ascii="Times New Roman" w:eastAsia="等线" w:hAnsi="Times New Roman" w:cs="Times New Roman"/>
      <w:sz w:val="18"/>
      <w:szCs w:val="18"/>
      <w:lang w:val="zh-CN" w:eastAsia="zh-CN"/>
    </w:rPr>
  </w:style>
  <w:style w:type="character" w:customStyle="1" w:styleId="2ffff2">
    <w:name w:val="批注文字 字符2"/>
    <w:uiPriority w:val="99"/>
    <w:qFormat/>
    <w:rPr>
      <w:rFonts w:ascii="Times New Roman" w:eastAsia="等线" w:hAnsi="Times New Roman" w:cs="Times New Roman"/>
      <w:szCs w:val="24"/>
      <w:lang w:val="zh-CN" w:eastAsia="zh-CN"/>
    </w:rPr>
  </w:style>
  <w:style w:type="character" w:customStyle="1" w:styleId="1ffff4">
    <w:name w:val="文档结构图 字符1"/>
    <w:qFormat/>
    <w:rPr>
      <w:rFonts w:ascii="Times New Roman" w:eastAsia="等线" w:hAnsi="Times New Roman" w:cs="Times New Roman"/>
      <w:szCs w:val="24"/>
      <w:shd w:val="clear" w:color="auto" w:fill="000080"/>
      <w:lang w:val="zh-CN" w:eastAsia="zh-CN"/>
    </w:rPr>
  </w:style>
  <w:style w:type="character" w:customStyle="1" w:styleId="1ffff5">
    <w:name w:val="批注主题 字符1"/>
    <w:qFormat/>
    <w:rPr>
      <w:rFonts w:ascii="Times New Roman" w:eastAsia="等线" w:hAnsi="Times New Roman" w:cs="Times New Roman"/>
      <w:b/>
      <w:bCs/>
      <w:szCs w:val="24"/>
      <w:lang w:val="zh-CN" w:eastAsia="zh-CN"/>
    </w:rPr>
  </w:style>
  <w:style w:type="character" w:customStyle="1" w:styleId="1ffff6">
    <w:name w:val="正文文本 字符1"/>
    <w:qFormat/>
    <w:rPr>
      <w:rFonts w:ascii="Times New Roman" w:eastAsia="等线" w:hAnsi="Times New Roman" w:cs="Times New Roman"/>
      <w:szCs w:val="24"/>
      <w:lang w:val="zh-CN" w:eastAsia="zh-CN"/>
    </w:rPr>
  </w:style>
  <w:style w:type="character" w:customStyle="1" w:styleId="1ffff7">
    <w:name w:val="正文文本缩进 字符1"/>
    <w:qFormat/>
    <w:rPr>
      <w:rFonts w:ascii="Times New Roman" w:eastAsia="等线" w:hAnsi="Times New Roman" w:cs="Times New Roman"/>
      <w:szCs w:val="24"/>
      <w:lang w:val="zh-CN" w:eastAsia="zh-CN"/>
    </w:rPr>
  </w:style>
  <w:style w:type="character" w:customStyle="1" w:styleId="21f6">
    <w:name w:val="正文文本 2 字符1"/>
    <w:qFormat/>
    <w:rPr>
      <w:rFonts w:ascii="Times New Roman" w:eastAsia="等线" w:hAnsi="Times New Roman" w:cs="Times New Roman"/>
      <w:szCs w:val="24"/>
      <w:lang w:val="zh-CN" w:eastAsia="zh-CN"/>
    </w:rPr>
  </w:style>
  <w:style w:type="character" w:customStyle="1" w:styleId="1ffff8">
    <w:name w:val="脚注文本 字符1"/>
    <w:qFormat/>
    <w:rPr>
      <w:rFonts w:ascii="Times New Roman" w:eastAsia="等线" w:hAnsi="Times New Roman" w:cs="Times New Roman"/>
      <w:sz w:val="18"/>
      <w:szCs w:val="18"/>
      <w:lang w:val="zh-CN" w:eastAsia="zh-CN"/>
    </w:rPr>
  </w:style>
  <w:style w:type="character" w:customStyle="1" w:styleId="4fe">
    <w:name w:val="正文文本首行缩进 字符4"/>
    <w:uiPriority w:val="99"/>
    <w:qFormat/>
    <w:rPr>
      <w:rFonts w:ascii="Calibri" w:eastAsia="等线" w:hAnsi="Calibri" w:cs="Times New Roman"/>
    </w:rPr>
  </w:style>
  <w:style w:type="character" w:customStyle="1" w:styleId="21f7">
    <w:name w:val="正文文本缩进 2 字符1"/>
    <w:qFormat/>
    <w:rPr>
      <w:rFonts w:ascii="等线" w:eastAsia="等线" w:hAnsi="等线" w:cs="Times New Roman"/>
      <w:szCs w:val="21"/>
    </w:rPr>
  </w:style>
  <w:style w:type="character" w:customStyle="1" w:styleId="HTML20">
    <w:name w:val="HTML 预设格式 字符2"/>
    <w:qFormat/>
    <w:rPr>
      <w:rFonts w:ascii="宋体" w:hAnsi="宋体" w:cs="宋体"/>
      <w:sz w:val="24"/>
      <w:szCs w:val="24"/>
    </w:rPr>
  </w:style>
  <w:style w:type="character" w:customStyle="1" w:styleId="1ffff9">
    <w:name w:val="普通(网站) 字符1"/>
    <w:qFormat/>
    <w:rPr>
      <w:rFonts w:ascii="宋体" w:eastAsia="等线" w:hAnsi="宋体" w:cs="Times New Roman"/>
      <w:kern w:val="0"/>
      <w:sz w:val="24"/>
      <w:szCs w:val="24"/>
    </w:rPr>
  </w:style>
  <w:style w:type="character" w:customStyle="1" w:styleId="4ff">
    <w:name w:val="尾注文本 字符4"/>
    <w:uiPriority w:val="99"/>
    <w:qFormat/>
    <w:rPr>
      <w:rFonts w:ascii="等线" w:eastAsia="等线" w:hAnsi="等线" w:cs="Times New Roman"/>
      <w:szCs w:val="21"/>
    </w:rPr>
  </w:style>
  <w:style w:type="character" w:customStyle="1" w:styleId="1ffffa">
    <w:name w:val="副标题 字符1"/>
    <w:uiPriority w:val="11"/>
    <w:qFormat/>
    <w:rPr>
      <w:rFonts w:ascii="等线 Light" w:eastAsia="宋体" w:hAnsi="等线 Light" w:cs="Times New Roman"/>
      <w:b/>
      <w:bCs/>
      <w:kern w:val="28"/>
      <w:sz w:val="32"/>
      <w:szCs w:val="32"/>
    </w:rPr>
  </w:style>
  <w:style w:type="character" w:customStyle="1" w:styleId="31f">
    <w:name w:val="正文文本 3 字符1"/>
    <w:qFormat/>
    <w:rPr>
      <w:rFonts w:ascii="Times New Roman" w:eastAsia="宋体" w:hAnsi="Times New Roman" w:cs="Times New Roman"/>
      <w:kern w:val="0"/>
      <w:sz w:val="16"/>
      <w:szCs w:val="20"/>
    </w:rPr>
  </w:style>
  <w:style w:type="character" w:customStyle="1" w:styleId="1ffffb">
    <w:name w:val="签名 字符1"/>
    <w:qFormat/>
    <w:rPr>
      <w:rFonts w:ascii="Times New Roman" w:eastAsia="宋体" w:hAnsi="Times New Roman" w:cs="Times New Roman"/>
      <w:szCs w:val="24"/>
    </w:rPr>
  </w:style>
  <w:style w:type="character" w:customStyle="1" w:styleId="31f0">
    <w:name w:val="正文文本缩进 3 字符1"/>
    <w:qFormat/>
    <w:rPr>
      <w:rFonts w:ascii="宋体" w:eastAsia="宋体" w:hAnsi="Times New Roman" w:cs="Times New Roman"/>
      <w:b/>
      <w:sz w:val="32"/>
      <w:szCs w:val="20"/>
    </w:rPr>
  </w:style>
  <w:style w:type="character" w:customStyle="1" w:styleId="1ffffc">
    <w:name w:val="标题 字符1"/>
    <w:qFormat/>
    <w:rPr>
      <w:rFonts w:ascii="Arial" w:eastAsia="宋体" w:hAnsi="Arial" w:cs="Arial"/>
      <w:b/>
      <w:bCs/>
      <w:sz w:val="32"/>
      <w:szCs w:val="32"/>
      <w:shd w:val="clear" w:color="auto" w:fill="000080"/>
    </w:rPr>
  </w:style>
  <w:style w:type="character" w:customStyle="1" w:styleId="1ffffd">
    <w:name w:val="列表项目符号 字符1"/>
    <w:qFormat/>
    <w:rPr>
      <w:rFonts w:ascii="Times New Roman" w:eastAsia="宋体" w:hAnsi="Times New Roman" w:cs="Times New Roman"/>
      <w:szCs w:val="24"/>
    </w:rPr>
  </w:style>
  <w:style w:type="character" w:customStyle="1" w:styleId="1ffffe">
    <w:name w:val="正文缩进 字符1"/>
    <w:qFormat/>
    <w:rPr>
      <w:rFonts w:ascii="Times New Roman" w:eastAsia="仿宋_GB2312" w:hAnsi="Times New Roman" w:cs="Times New Roman"/>
      <w:sz w:val="24"/>
      <w:szCs w:val="20"/>
    </w:rPr>
  </w:style>
  <w:style w:type="character" w:customStyle="1" w:styleId="1fffff">
    <w:name w:val="宏文本 字符1"/>
    <w:semiHidden/>
    <w:qFormat/>
    <w:rPr>
      <w:rFonts w:ascii="Courier New" w:eastAsia="宋体" w:hAnsi="Courier New" w:cs="Courier New"/>
      <w:color w:val="333333"/>
      <w:kern w:val="0"/>
      <w:sz w:val="20"/>
      <w:szCs w:val="20"/>
      <w:lang w:eastAsia="en-US"/>
    </w:rPr>
  </w:style>
  <w:style w:type="character" w:customStyle="1" w:styleId="1fffff0">
    <w:name w:val="注释标题 字符1"/>
    <w:qFormat/>
    <w:rPr>
      <w:rFonts w:ascii="Times New Roman" w:eastAsia="宋体" w:hAnsi="Times New Roman" w:cs="Times New Roman"/>
      <w:szCs w:val="24"/>
    </w:rPr>
  </w:style>
  <w:style w:type="character" w:customStyle="1" w:styleId="1fffff1">
    <w:name w:val="电子邮件签名 字符1"/>
    <w:qFormat/>
    <w:rPr>
      <w:rFonts w:ascii="Times New Roman" w:eastAsia="宋体" w:hAnsi="Times New Roman" w:cs="Times New Roman"/>
      <w:szCs w:val="24"/>
    </w:rPr>
  </w:style>
  <w:style w:type="character" w:customStyle="1" w:styleId="1fffff2">
    <w:name w:val="称呼 字符1"/>
    <w:qFormat/>
    <w:rPr>
      <w:rFonts w:ascii="Times New Roman" w:eastAsia="宋体" w:hAnsi="Times New Roman" w:cs="Times New Roman"/>
      <w:szCs w:val="24"/>
    </w:rPr>
  </w:style>
  <w:style w:type="character" w:customStyle="1" w:styleId="1fffff3">
    <w:name w:val="结束语 字符1"/>
    <w:qFormat/>
    <w:rPr>
      <w:rFonts w:ascii="Times New Roman" w:eastAsia="宋体" w:hAnsi="Times New Roman" w:cs="Times New Roman"/>
      <w:szCs w:val="24"/>
    </w:rPr>
  </w:style>
  <w:style w:type="character" w:customStyle="1" w:styleId="HTML11">
    <w:name w:val="HTML 地址 字符1"/>
    <w:qFormat/>
    <w:rPr>
      <w:rFonts w:ascii="Times New Roman" w:eastAsia="宋体" w:hAnsi="Times New Roman" w:cs="Times New Roman"/>
      <w:i/>
      <w:iCs/>
      <w:szCs w:val="24"/>
    </w:rPr>
  </w:style>
  <w:style w:type="character" w:customStyle="1" w:styleId="1fffff4">
    <w:name w:val="信息标题 字符1"/>
    <w:qFormat/>
    <w:rPr>
      <w:rFonts w:ascii="Times New Roman" w:eastAsia="宋体" w:hAnsi="Times New Roman" w:cs="Arial"/>
      <w:sz w:val="24"/>
      <w:szCs w:val="24"/>
      <w:shd w:val="pct20" w:color="auto" w:fill="auto"/>
    </w:rPr>
  </w:style>
  <w:style w:type="character" w:customStyle="1" w:styleId="239">
    <w:name w:val="正文文本首行缩进 2 字符3"/>
    <w:uiPriority w:val="99"/>
    <w:semiHidden/>
    <w:qFormat/>
    <w:rPr>
      <w:rFonts w:ascii="等线" w:eastAsia="等线" w:hAnsi="等线" w:cs="Times New Roman"/>
      <w:szCs w:val="21"/>
      <w:lang w:val="zh-CN" w:eastAsia="zh-CN"/>
    </w:rPr>
  </w:style>
  <w:style w:type="character" w:customStyle="1" w:styleId="2ffff3">
    <w:name w:val="日期 字符2"/>
    <w:qFormat/>
    <w:rPr>
      <w:rFonts w:ascii="等线" w:eastAsia="等线" w:hAnsi="等线"/>
      <w:kern w:val="2"/>
      <w:sz w:val="21"/>
      <w:szCs w:val="21"/>
    </w:rPr>
  </w:style>
  <w:style w:type="character" w:customStyle="1" w:styleId="724">
    <w:name w:val="标题 7 字符2"/>
    <w:uiPriority w:val="9"/>
    <w:qFormat/>
    <w:rPr>
      <w:rFonts w:ascii="等线" w:eastAsia="等线" w:hAnsi="等线" w:cs="Times New Roman"/>
      <w:b/>
      <w:bCs/>
      <w:kern w:val="2"/>
      <w:sz w:val="24"/>
      <w:szCs w:val="24"/>
    </w:rPr>
  </w:style>
  <w:style w:type="character" w:customStyle="1" w:styleId="824">
    <w:name w:val="标题 8 字符2"/>
    <w:uiPriority w:val="9"/>
    <w:qFormat/>
    <w:rPr>
      <w:rFonts w:ascii="Calibri Light" w:eastAsia="宋体" w:hAnsi="Calibri Light" w:cs="Times New Roman"/>
      <w:kern w:val="2"/>
      <w:sz w:val="24"/>
      <w:szCs w:val="24"/>
    </w:rPr>
  </w:style>
  <w:style w:type="character" w:customStyle="1" w:styleId="921">
    <w:name w:val="标题 9 字符2"/>
    <w:uiPriority w:val="9"/>
    <w:qFormat/>
    <w:rPr>
      <w:rFonts w:ascii="Calibri Light" w:eastAsia="宋体" w:hAnsi="Calibri Light" w:cs="Times New Roman"/>
      <w:kern w:val="2"/>
      <w:sz w:val="21"/>
      <w:szCs w:val="21"/>
    </w:rPr>
  </w:style>
  <w:style w:type="character" w:customStyle="1" w:styleId="2ffff4">
    <w:name w:val="批注框文本 字符2"/>
    <w:uiPriority w:val="99"/>
    <w:qFormat/>
    <w:rPr>
      <w:rFonts w:ascii="等线" w:eastAsia="等线" w:hAnsi="等线"/>
      <w:kern w:val="2"/>
      <w:sz w:val="18"/>
      <w:szCs w:val="18"/>
    </w:rPr>
  </w:style>
  <w:style w:type="character" w:customStyle="1" w:styleId="2ffff5">
    <w:name w:val="批注主题 字符2"/>
    <w:qFormat/>
    <w:rPr>
      <w:rFonts w:ascii="等线" w:eastAsia="等线" w:hAnsi="等线" w:cs="Times New Roman"/>
      <w:b/>
      <w:bCs/>
      <w:kern w:val="2"/>
      <w:sz w:val="21"/>
      <w:szCs w:val="21"/>
      <w:lang w:val="zh-CN" w:eastAsia="zh-CN"/>
    </w:rPr>
  </w:style>
  <w:style w:type="character" w:customStyle="1" w:styleId="2ffff6">
    <w:name w:val="脚注文本 字符2"/>
    <w:qFormat/>
    <w:rPr>
      <w:rFonts w:ascii="等线" w:eastAsia="等线" w:hAnsi="等线"/>
      <w:kern w:val="2"/>
      <w:sz w:val="18"/>
      <w:szCs w:val="18"/>
    </w:rPr>
  </w:style>
  <w:style w:type="character" w:customStyle="1" w:styleId="32a">
    <w:name w:val="正文文本缩进 3 字符2"/>
    <w:qFormat/>
    <w:rPr>
      <w:rFonts w:ascii="等线" w:eastAsia="等线" w:hAnsi="等线"/>
      <w:kern w:val="2"/>
      <w:sz w:val="16"/>
      <w:szCs w:val="16"/>
    </w:rPr>
  </w:style>
  <w:style w:type="character" w:customStyle="1" w:styleId="2ffff7">
    <w:name w:val="宏文本 字符2"/>
    <w:semiHidden/>
    <w:qFormat/>
    <w:rPr>
      <w:rFonts w:ascii="Courier New" w:hAnsi="Courier New" w:cs="Courier New"/>
      <w:kern w:val="2"/>
      <w:sz w:val="24"/>
      <w:szCs w:val="24"/>
    </w:rPr>
  </w:style>
  <w:style w:type="character" w:customStyle="1" w:styleId="2ffff8">
    <w:name w:val="注释标题 字符2"/>
    <w:qFormat/>
    <w:rPr>
      <w:rFonts w:ascii="等线" w:eastAsia="等线" w:hAnsi="等线"/>
      <w:kern w:val="2"/>
      <w:sz w:val="21"/>
      <w:szCs w:val="21"/>
    </w:rPr>
  </w:style>
  <w:style w:type="character" w:customStyle="1" w:styleId="2ffff9">
    <w:name w:val="电子邮件签名 字符2"/>
    <w:qFormat/>
    <w:rPr>
      <w:rFonts w:ascii="等线" w:eastAsia="等线" w:hAnsi="等线"/>
      <w:kern w:val="2"/>
      <w:sz w:val="21"/>
      <w:szCs w:val="21"/>
    </w:rPr>
  </w:style>
  <w:style w:type="character" w:customStyle="1" w:styleId="2ffffa">
    <w:name w:val="称呼 字符2"/>
    <w:qFormat/>
    <w:rPr>
      <w:rFonts w:ascii="等线" w:eastAsia="等线" w:hAnsi="等线"/>
      <w:kern w:val="2"/>
      <w:sz w:val="21"/>
      <w:szCs w:val="21"/>
    </w:rPr>
  </w:style>
  <w:style w:type="character" w:customStyle="1" w:styleId="2ffffb">
    <w:name w:val="结束语 字符2"/>
    <w:qFormat/>
    <w:rPr>
      <w:rFonts w:ascii="等线" w:eastAsia="等线" w:hAnsi="等线"/>
      <w:kern w:val="2"/>
      <w:sz w:val="21"/>
      <w:szCs w:val="21"/>
    </w:rPr>
  </w:style>
  <w:style w:type="character" w:customStyle="1" w:styleId="4a">
    <w:name w:val="列表段落 字符4"/>
    <w:link w:val="affffe"/>
    <w:uiPriority w:val="1"/>
    <w:qFormat/>
    <w:locked/>
  </w:style>
  <w:style w:type="table" w:customStyle="1" w:styleId="12e">
    <w:name w:val="简明型 12"/>
    <w:basedOn w:val="a3"/>
    <w:unhideWhenUsed/>
    <w:qFormat/>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3">
    <w:name w:val="简明型 24"/>
    <w:basedOn w:val="a3"/>
    <w:unhideWhenUsed/>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3">
    <w:name w:val="简明型 34"/>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53">
    <w:name w:val="古典型 15"/>
    <w:basedOn w:val="a3"/>
    <w:unhideWhenUsed/>
    <w:qFormat/>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4">
    <w:name w:val="古典型 24"/>
    <w:basedOn w:val="a3"/>
    <w:unhideWhenUsed/>
    <w:qFormat/>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4">
    <w:name w:val="古典型 34"/>
    <w:basedOn w:val="a3"/>
    <w:unhideWhenUsed/>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3">
    <w:name w:val="古典型 44"/>
    <w:basedOn w:val="a3"/>
    <w:unhideWhenUsed/>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f4">
    <w:name w:val="彩色型 11"/>
    <w:basedOn w:val="a3"/>
    <w:unhideWhenUsed/>
    <w:qFormat/>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5">
    <w:name w:val="彩色型 24"/>
    <w:basedOn w:val="a3"/>
    <w:unhideWhenUsed/>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5">
    <w:name w:val="彩色型 34"/>
    <w:basedOn w:val="a3"/>
    <w:unhideWhenUsed/>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3">
    <w:name w:val="竖列型 14"/>
    <w:basedOn w:val="a3"/>
    <w:unhideWhenUsed/>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6">
    <w:name w:val="竖列型 24"/>
    <w:basedOn w:val="a3"/>
    <w:unhideWhenUsed/>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6">
    <w:name w:val="竖列型 34"/>
    <w:basedOn w:val="a3"/>
    <w:unhideWhenUsed/>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4">
    <w:name w:val="竖列型 44"/>
    <w:basedOn w:val="a3"/>
    <w:unhideWhenUsed/>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竖列型 54"/>
    <w:basedOn w:val="a3"/>
    <w:unhideWhenUsed/>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f">
    <w:name w:val="网格型 12"/>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f8">
    <w:name w:val="网格型 21"/>
    <w:basedOn w:val="a3"/>
    <w:unhideWhenUsed/>
    <w:qFormat/>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f1">
    <w:name w:val="网格型 31"/>
    <w:basedOn w:val="a3"/>
    <w:unhideWhenUsed/>
    <w:qFormat/>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5">
    <w:name w:val="网格型 44"/>
    <w:basedOn w:val="a3"/>
    <w:unhideWhenUsed/>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1">
    <w:name w:val="网格型 56"/>
    <w:basedOn w:val="a3"/>
    <w:unhideWhenUsed/>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3">
    <w:name w:val="网格型 64"/>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5">
    <w:name w:val="网格型 71"/>
    <w:basedOn w:val="a3"/>
    <w:unhideWhenUsed/>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
    <w:name w:val="网格型 84"/>
    <w:basedOn w:val="a3"/>
    <w:unhideWhenUsed/>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4">
    <w:name w:val="列表型 14"/>
    <w:basedOn w:val="a3"/>
    <w:unhideWhenUsed/>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7">
    <w:name w:val="列表型 24"/>
    <w:basedOn w:val="a3"/>
    <w:unhideWhenUsed/>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7">
    <w:name w:val="列表型 34"/>
    <w:basedOn w:val="a3"/>
    <w:unhideWhenUsed/>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6">
    <w:name w:val="列表型 44"/>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9">
    <w:name w:val="列表型 51"/>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7">
    <w:name w:val="列表型 61"/>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1">
    <w:name w:val="列表型 74"/>
    <w:basedOn w:val="a3"/>
    <w:unhideWhenUsed/>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
    <w:name w:val="列表型 84"/>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f5">
    <w:name w:val="表三维效果 11"/>
    <w:basedOn w:val="a3"/>
    <w:uiPriority w:val="99"/>
    <w:unhideWhenUsed/>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f9">
    <w:name w:val="表三维效果 21"/>
    <w:basedOn w:val="a3"/>
    <w:uiPriority w:val="99"/>
    <w:unhideWhenUsed/>
    <w:qFormat/>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f2">
    <w:name w:val="表三维效果 31"/>
    <w:basedOn w:val="a3"/>
    <w:uiPriority w:val="99"/>
    <w:unhideWhenUsed/>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4ff0">
    <w:name w:val="流行型4"/>
    <w:basedOn w:val="a3"/>
    <w:unhideWhenUsed/>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6c">
    <w:name w:val="典雅型6"/>
    <w:basedOn w:val="a3"/>
    <w:unhideWhenUsed/>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4ff1">
    <w:name w:val="专业型4"/>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f6">
    <w:name w:val="精巧型 11"/>
    <w:basedOn w:val="a3"/>
    <w:unhideWhenUsed/>
    <w:qFormat/>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fa">
    <w:name w:val="精巧型 21"/>
    <w:basedOn w:val="a3"/>
    <w:unhideWhenUsed/>
    <w:qFormat/>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5">
    <w:name w:val="网页型 14"/>
    <w:basedOn w:val="a3"/>
    <w:unhideWhenUsed/>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48">
    <w:name w:val="网页型 24"/>
    <w:basedOn w:val="a3"/>
    <w:unhideWhenUsed/>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348">
    <w:name w:val="网页型 34"/>
    <w:basedOn w:val="a3"/>
    <w:unhideWhenUsed/>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110">
    <w:name w:val="中等深浅网格 2 - 着色 11"/>
    <w:basedOn w:val="a3"/>
    <w:uiPriority w:val="68"/>
    <w:unhideWhenUsed/>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210">
    <w:name w:val="中等深浅底纹 1 - 着色 21"/>
    <w:basedOn w:val="a3"/>
    <w:uiPriority w:val="63"/>
    <w:unhideWhenUsed/>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100" w:beforeAutospacing="1" w:afterLines="0" w:after="100" w:afterAutospacing="1"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100" w:beforeAutospacing="1" w:afterLines="0" w:after="100" w:afterAutospacing="1"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10">
    <w:name w:val="彩色列表 - 着色 21"/>
    <w:basedOn w:val="a3"/>
    <w:uiPriority w:val="72"/>
    <w:unhideWhenUsed/>
    <w:qFormat/>
    <w:rPr>
      <w:rFonts w:ascii="Calibri" w:eastAsia="宋体" w:hAnsi="Calibri" w:cs="Times New Roman"/>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2">
    <w:name w:val="浅色列表 - 着色 31"/>
    <w:basedOn w:val="a3"/>
    <w:uiPriority w:val="61"/>
    <w:unhideWhenUsed/>
    <w:qFormat/>
    <w:rPr>
      <w:rFonts w:ascii="Calibri" w:eastAsia="宋体" w:hAnsi="Calibri" w:cs="Times New Roman"/>
      <w:sz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1">
    <w:name w:val="中等深浅底纹 2 - 着色 51"/>
    <w:basedOn w:val="a3"/>
    <w:uiPriority w:val="64"/>
    <w:unhideWhenUsed/>
    <w:qFormat/>
    <w:rPr>
      <w:rFonts w:ascii="Calibri" w:eastAsia="宋体" w:hAnsi="Calibri" w:cs="Times New Roman"/>
      <w:sz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f7">
    <w:name w:val="招股书格式5"/>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49">
    <w:name w:val="典雅型24"/>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38">
    <w:name w:val="典雅型3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2b">
    <w:name w:val="招股书格式3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124">
    <w:name w:val="典雅型2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2170">
    <w:name w:val="网格型217"/>
    <w:basedOn w:val="a3"/>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网格型 541"/>
    <w:basedOn w:val="a3"/>
    <w:qFormat/>
    <w:rPr>
      <w:rFonts w:ascii="Calibri" w:eastAsia="宋体" w:hAnsi="Calibri" w:cs="Calibri"/>
    </w:rPr>
    <w:tblPr/>
    <w:tblStylePr w:type="lastCol">
      <w:rPr>
        <w:b/>
        <w:bCs/>
      </w:rPr>
      <w:tblPr/>
      <w:tcPr>
        <w:tcBorders>
          <w:tl2br w:val="nil"/>
          <w:tr2bl w:val="nil"/>
        </w:tcBorders>
      </w:tcPr>
    </w:tblStylePr>
  </w:style>
  <w:style w:type="table" w:customStyle="1" w:styleId="11213">
    <w:name w:val="典雅型11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f7">
    <w:name w:val="预案表格11"/>
    <w:basedOn w:val="a3"/>
    <w:uiPriority w:val="99"/>
    <w:qFormat/>
    <w:rPr>
      <w:rFonts w:ascii="Calibri" w:eastAsia="宋体" w:hAnsi="Calibri" w:cs="Times New Roman"/>
    </w:rPr>
    <w:tblPr>
      <w:tblBorders>
        <w:top w:val="thinThickSmallGap" w:sz="12" w:space="0" w:color="auto"/>
        <w:bottom w:val="thickThinSmallGap" w:sz="12" w:space="0" w:color="auto"/>
        <w:insideH w:val="single" w:sz="4" w:space="0" w:color="auto"/>
        <w:insideV w:val="single" w:sz="4" w:space="0" w:color="auto"/>
      </w:tblBorders>
    </w:tblPr>
    <w:tcPr>
      <w:vAlign w:val="center"/>
    </w:tcPr>
    <w:tblStylePr w:type="firstRow">
      <w:rPr>
        <w:rFonts w:ascii="Times New Roman" w:eastAsia="宋体" w:hAnsi="Times New Roman" w:cs="Times New Roman" w:hint="default"/>
        <w:b w:val="0"/>
        <w:i w:val="0"/>
        <w:caps w:val="0"/>
        <w:smallCaps w:val="0"/>
        <w:strike w:val="0"/>
        <w:dstrike w:val="0"/>
        <w:vanish w:val="0"/>
        <w:sz w:val="21"/>
        <w:szCs w:val="21"/>
        <w:u w:val="none"/>
      </w:rPr>
      <w:tblPr/>
      <w:tcPr>
        <w:vAlign w:val="bottom"/>
      </w:tcPr>
    </w:tblStylePr>
  </w:style>
  <w:style w:type="table" w:customStyle="1" w:styleId="1fffff5">
    <w:name w:val="附注表格1"/>
    <w:basedOn w:val="a3"/>
    <w:qFormat/>
    <w:pPr>
      <w:jc w:val="center"/>
    </w:pPr>
    <w:rPr>
      <w:rFonts w:ascii="Times New Roman" w:eastAsia="宋体" w:hAnsi="Times New Roman" w:cs="Times New Roman"/>
      <w:szCs w:val="21"/>
    </w:rPr>
    <w:tblPr>
      <w:tblBorders>
        <w:top w:val="single" w:sz="4" w:space="0" w:color="auto"/>
        <w:bottom w:val="single" w:sz="4" w:space="0" w:color="auto"/>
        <w:insideH w:val="dotted" w:sz="4" w:space="0" w:color="auto"/>
        <w:insideV w:val="dotted" w:sz="4" w:space="0" w:color="auto"/>
      </w:tblBorders>
    </w:tblPr>
  </w:style>
  <w:style w:type="table" w:customStyle="1" w:styleId="1117">
    <w:name w:val="简明型 111"/>
    <w:basedOn w:val="a3"/>
    <w:qFormat/>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10">
    <w:name w:val="网格型 55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style>
  <w:style w:type="table" w:customStyle="1" w:styleId="KWTable2">
    <w:name w:val="K&amp;W Table2"/>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hint="default"/>
        <w:b/>
        <w:sz w:val="20"/>
        <w:szCs w:val="20"/>
      </w:rPr>
      <w:tblPr/>
      <w:tcPr>
        <w:shd w:val="clear" w:color="auto" w:fill="E0E0E0"/>
      </w:tcPr>
    </w:tblStylePr>
  </w:style>
  <w:style w:type="table" w:customStyle="1" w:styleId="3114">
    <w:name w:val="彩色型 311"/>
    <w:basedOn w:val="a3"/>
    <w:semiHidden/>
    <w:qFormat/>
    <w:rPr>
      <w:rFonts w:ascii="Calibri" w:eastAsia="宋体" w:hAnsi="Calibri" w:cs="Calibri"/>
    </w:rPr>
    <w:tblPr/>
    <w:tblStylePr w:type="firstCol">
      <w:tblPr/>
      <w:tcPr>
        <w:tcBorders>
          <w:left w:val="single" w:sz="36" w:space="0" w:color="000000"/>
          <w:right w:val="single" w:sz="6" w:space="0" w:color="000000"/>
          <w:tl2br w:val="nil"/>
          <w:tr2bl w:val="nil"/>
        </w:tcBorders>
        <w:shd w:val="solid" w:color="008080" w:fill="FFFFFF"/>
      </w:tcPr>
    </w:tblStylePr>
  </w:style>
  <w:style w:type="table" w:customStyle="1" w:styleId="1118">
    <w:name w:val="立体型 111"/>
    <w:basedOn w:val="a3"/>
    <w:semiHidden/>
    <w:qFormat/>
    <w:rPr>
      <w:rFonts w:ascii="Calibri" w:eastAsia="宋体" w:hAnsi="Calibri" w:cs="Calibri"/>
    </w:rPr>
    <w:tblPr/>
    <w:tblStylePr w:type="swCell">
      <w:rPr>
        <w:color w:val="000080"/>
      </w:rPr>
      <w:tblPr/>
      <w:tcPr>
        <w:tcBorders>
          <w:top w:val="nil"/>
          <w:right w:val="nil"/>
          <w:tl2br w:val="nil"/>
          <w:tr2bl w:val="nil"/>
        </w:tcBorders>
      </w:tcPr>
    </w:tblStylePr>
  </w:style>
  <w:style w:type="table" w:customStyle="1" w:styleId="3115">
    <w:name w:val="立体型 311"/>
    <w:basedOn w:val="a3"/>
    <w:semiHidden/>
    <w:qFormat/>
    <w:rPr>
      <w:rFonts w:ascii="Times New Roman" w:eastAsia="宋体" w:hAnsi="Times New Roman" w:cs="Times New Roman"/>
    </w:rPr>
    <w:tblPr/>
    <w:tblStylePr w:type="firstRow">
      <w:rPr>
        <w:b/>
        <w:bCs/>
      </w:rPr>
      <w:tblPr/>
      <w:tcPr>
        <w:tcBorders>
          <w:tl2br w:val="nil"/>
          <w:tr2bl w:val="nil"/>
        </w:tcBorders>
      </w:tcPr>
    </w:tblStylePr>
  </w:style>
  <w:style w:type="table" w:customStyle="1" w:styleId="7113">
    <w:name w:val="列表型 711"/>
    <w:basedOn w:val="a3"/>
    <w:qFormat/>
    <w:rPr>
      <w:rFonts w:ascii="Calibri" w:eastAsia="宋体" w:hAnsi="Calibri" w:cs="Calibri"/>
    </w:rPr>
    <w:tbl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1119">
    <w:name w:val="竖列型 111"/>
    <w:basedOn w:val="a3"/>
    <w:semiHidden/>
    <w:qFormat/>
    <w:rPr>
      <w:rFonts w:ascii="Calibri" w:eastAsia="宋体" w:hAnsi="Calibri" w:cs="Calibri"/>
    </w:rPr>
    <w:tblPr/>
    <w:tblStylePr w:type="swCell">
      <w:rPr>
        <w:b/>
        <w:bCs/>
      </w:rPr>
      <w:tblPr/>
      <w:tcPr>
        <w:tcBorders>
          <w:tl2br w:val="nil"/>
          <w:tr2bl w:val="nil"/>
        </w:tcBorders>
      </w:tcPr>
    </w:tblStylePr>
  </w:style>
  <w:style w:type="table" w:customStyle="1" w:styleId="2116">
    <w:name w:val="竖列型 21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style>
  <w:style w:type="table" w:customStyle="1" w:styleId="2117">
    <w:name w:val="网页型 21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1216">
    <w:name w:val="古典型 121"/>
    <w:basedOn w:val="a3"/>
    <w:qFormat/>
    <w:rPr>
      <w:rFonts w:ascii="Calibri" w:eastAsia="宋体" w:hAnsi="Calibri" w:cs="Calibri"/>
    </w:rPr>
    <w:tblPr/>
    <w:tblStylePr w:type="neCell">
      <w:rPr>
        <w:b/>
        <w:bCs/>
        <w:i w:val="0"/>
        <w:iCs w:val="0"/>
      </w:rPr>
      <w:tblPr/>
      <w:tcPr>
        <w:tcBorders>
          <w:tl2br w:val="nil"/>
          <w:tr2bl w:val="nil"/>
        </w:tcBorders>
      </w:tcPr>
    </w:tblStylePr>
  </w:style>
  <w:style w:type="table" w:customStyle="1" w:styleId="2213">
    <w:name w:val="简明型 22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213">
    <w:name w:val="列表型 82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3">
    <w:name w:val="竖列型 321"/>
    <w:basedOn w:val="a3"/>
    <w:semiHidden/>
    <w:qFormat/>
    <w:rPr>
      <w:rFonts w:ascii="Calibri" w:eastAsia="宋体" w:hAnsi="Calibri" w:cs="Calibri"/>
    </w:rPr>
    <w:tblPr/>
    <w:tblStylePr w:type="neCell">
      <w:rPr>
        <w:b/>
        <w:bCs/>
      </w:rPr>
      <w:tblPr/>
      <w:tcPr>
        <w:tcBorders>
          <w:tl2br w:val="nil"/>
          <w:tr2bl w:val="nil"/>
        </w:tcBorders>
      </w:tcPr>
    </w:tblStylePr>
  </w:style>
  <w:style w:type="table" w:customStyle="1" w:styleId="6213">
    <w:name w:val="网格型 62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KWTable11">
    <w:name w:val="K&amp;W Table11"/>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cs="Arial" w:hint="default"/>
        <w:b/>
        <w:sz w:val="20"/>
        <w:szCs w:val="20"/>
      </w:rPr>
      <w:tblPr/>
      <w:tcPr>
        <w:shd w:val="clear" w:color="auto" w:fill="E0E0E0"/>
      </w:tcPr>
    </w:tblStylePr>
  </w:style>
  <w:style w:type="table" w:customStyle="1" w:styleId="2313">
    <w:name w:val="彩色型 231"/>
    <w:basedOn w:val="a3"/>
    <w:semiHidden/>
    <w:qFormat/>
    <w:rPr>
      <w:rFonts w:ascii="Calibri" w:eastAsia="宋体" w:hAnsi="Calibri" w:cs="Calibri"/>
    </w:rPr>
    <w:tbl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style>
  <w:style w:type="table" w:customStyle="1" w:styleId="2314">
    <w:name w:val="古典型 231"/>
    <w:basedOn w:val="a3"/>
    <w:semiHidden/>
    <w:qFormat/>
    <w:rPr>
      <w:rFonts w:ascii="Calibri" w:eastAsia="宋体" w:hAnsi="Calibri" w:cs="Calibri"/>
    </w:rPr>
    <w:tblPr/>
    <w:tblStylePr w:type="neCell">
      <w:rPr>
        <w:b/>
        <w:bCs/>
      </w:rPr>
      <w:tblPr/>
      <w:tcPr>
        <w:tcBorders>
          <w:tl2br w:val="nil"/>
          <w:tr2bl w:val="nil"/>
        </w:tcBorders>
      </w:tcPr>
    </w:tblStylePr>
    <w:tblStylePr w:type="nwCell">
      <w:tblPr/>
      <w:tcPr>
        <w:tcBorders>
          <w:tl2br w:val="nil"/>
          <w:tr2bl w:val="nil"/>
        </w:tcBorders>
        <w:shd w:val="solid" w:color="800080" w:fill="FFFFFF"/>
      </w:tcPr>
    </w:tblStylePr>
  </w:style>
  <w:style w:type="table" w:customStyle="1" w:styleId="2315">
    <w:name w:val="简明型 23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311">
    <w:name w:val="列表型 83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3">
    <w:name w:val="竖列型 331"/>
    <w:basedOn w:val="a3"/>
    <w:semiHidden/>
    <w:qFormat/>
    <w:rPr>
      <w:rFonts w:ascii="Calibri" w:eastAsia="宋体" w:hAnsi="Calibri" w:cs="Calibri"/>
    </w:rPr>
    <w:tblPr/>
    <w:tblStylePr w:type="neCell">
      <w:rPr>
        <w:b/>
        <w:bCs/>
      </w:rPr>
      <w:tblPr/>
      <w:tcPr>
        <w:tcBorders>
          <w:tl2br w:val="nil"/>
          <w:tr2bl w:val="nil"/>
        </w:tcBorders>
      </w:tcPr>
    </w:tblStylePr>
  </w:style>
  <w:style w:type="table" w:customStyle="1" w:styleId="6313">
    <w:name w:val="网格型 63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114">
    <w:name w:val="浅色列表 - 强调文字颜色 114"/>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4">
    <w:name w:val="中等深浅底纹 1 - 强调文字颜色 114"/>
    <w:basedOn w:val="a3"/>
    <w:uiPriority w:val="63"/>
    <w:qFormat/>
    <w:rPr>
      <w:rFonts w:ascii="Calibri" w:eastAsia="宋体"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
    <w:name w:val="浅色列表 - 强调文字颜色 1111"/>
    <w:basedOn w:val="a3"/>
    <w:uiPriority w:val="61"/>
    <w:qFormat/>
    <w:rPr>
      <w:rFonts w:ascii="Calibri" w:eastAsia="宋体" w:hAnsi="Calibri" w:cs="Calibri"/>
    </w:rPr>
    <w:tbl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
    <w:name w:val="中等深浅底纹 1 - 强调文字颜色 1111"/>
    <w:basedOn w:val="a3"/>
    <w:uiPriority w:val="63"/>
    <w:qFormat/>
    <w:rPr>
      <w:rFonts w:ascii="Calibri" w:eastAsia="宋体"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
    <w:name w:val="浅色列表 - 强调文字颜色 1121"/>
    <w:basedOn w:val="a3"/>
    <w:uiPriority w:val="61"/>
    <w:qFormat/>
    <w:rPr>
      <w:rFonts w:ascii="Calibri" w:eastAsia="宋体" w:hAnsi="Calibri" w:cs="Calibri"/>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2">
    <w:name w:val="典雅型131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11">
    <w:name w:val="古典型 1131"/>
    <w:basedOn w:val="a3"/>
    <w:qFormat/>
    <w:rPr>
      <w:rFonts w:ascii="Calibri" w:eastAsia="宋体" w:hAnsi="Calibri" w:cs="Calibri"/>
    </w:rPr>
    <w:tblPr/>
    <w:tblStylePr w:type="firstCol">
      <w:tblPr/>
      <w:tcPr>
        <w:tcBorders>
          <w:right w:val="single" w:sz="6" w:space="0" w:color="000000"/>
          <w:tl2br w:val="nil"/>
          <w:tr2bl w:val="nil"/>
        </w:tcBorders>
      </w:tcPr>
    </w:tblStylePr>
  </w:style>
  <w:style w:type="table" w:customStyle="1" w:styleId="111a">
    <w:name w:val="网格型 111"/>
    <w:basedOn w:val="a3"/>
    <w:qFormat/>
    <w:rPr>
      <w:rFonts w:ascii="Calibri" w:eastAsia="宋体" w:hAnsi="Calibri" w:cs="Calibri"/>
    </w:rPr>
    <w:tblPr/>
    <w:tblStylePr w:type="nwCell">
      <w:tblPr/>
      <w:tcPr>
        <w:tcBorders>
          <w:tl2br w:val="single" w:sz="6" w:space="0" w:color="000000"/>
          <w:tr2bl w:val="nil"/>
        </w:tcBorders>
      </w:tcPr>
    </w:tblStylePr>
  </w:style>
  <w:style w:type="table" w:customStyle="1" w:styleId="1-221">
    <w:name w:val="中等深浅底纹 1 - 着色 221"/>
    <w:basedOn w:val="a3"/>
    <w:uiPriority w:val="63"/>
    <w:semiHidden/>
    <w:qFormat/>
    <w:rPr>
      <w:rFonts w:ascii="Calibri" w:eastAsia="宋体" w:hAnsi="Calibri" w:cs="Calibri"/>
    </w:rPr>
    <w:tbl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31">
    <w:name w:val="中等深浅底纹 1 - 着色 231"/>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style>
  <w:style w:type="table" w:customStyle="1" w:styleId="-231">
    <w:name w:val="彩色列表 - 着色 231"/>
    <w:basedOn w:val="a3"/>
    <w:uiPriority w:val="72"/>
    <w:semiHidden/>
    <w:qFormat/>
    <w:rPr>
      <w:rFonts w:ascii="Calibri" w:eastAsia="宋体" w:hAnsi="Calibri" w:cs="Calibri"/>
    </w:rPr>
    <w:tblPr/>
    <w:tblStylePr w:type="band1Horz">
      <w:tblPr/>
      <w:tcPr>
        <w:shd w:val="clear" w:color="auto" w:fill="F2DBDB"/>
      </w:tcPr>
    </w:tblStylePr>
  </w:style>
  <w:style w:type="table" w:customStyle="1" w:styleId="1-341">
    <w:name w:val="中等深浅网格 1 - 着色 341"/>
    <w:basedOn w:val="a3"/>
    <w:uiPriority w:val="67"/>
    <w:semiHidden/>
    <w:qFormat/>
    <w:rPr>
      <w:rFonts w:ascii="Calibri" w:eastAsia="宋体" w:hAnsi="Calibri" w:cs="Calibri"/>
    </w:rPr>
    <w:tbl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style>
  <w:style w:type="table" w:customStyle="1" w:styleId="2-141">
    <w:name w:val="中等深浅网格 2 - 着色 141"/>
    <w:basedOn w:val="a3"/>
    <w:uiPriority w:val="68"/>
    <w:semiHidden/>
    <w:qFormat/>
    <w:rPr>
      <w:rFonts w:ascii="Calibri" w:eastAsia="宋体" w:hAnsi="Calibri" w:cs="Calibri"/>
    </w:rPr>
    <w:tblPr/>
    <w:tblStylePr w:type="band1Horz">
      <w:tblPr/>
      <w:tcPr>
        <w:tcBorders>
          <w:insideH w:val="single" w:sz="6" w:space="0" w:color="auto"/>
          <w:insideV w:val="single" w:sz="6" w:space="0" w:color="auto"/>
        </w:tcBorders>
        <w:shd w:val="clear" w:color="auto" w:fill="A7BFDE"/>
      </w:tcPr>
    </w:tblStylePr>
  </w:style>
  <w:style w:type="table" w:customStyle="1" w:styleId="7c">
    <w:name w:val="典雅型7"/>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70">
    <w:name w:val="网格型 57"/>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f8">
    <w:name w:val="定制网格型5"/>
    <w:basedOn w:val="a3"/>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9">
    <w:name w:val="奔奔团招股书格式5"/>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6d">
    <w:name w:val="招股书格式6"/>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54">
    <w:name w:val="典雅型15"/>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51">
    <w:name w:val="网格型 515"/>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80">
    <w:name w:val="网格型118"/>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奔奔团招股书格式14"/>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47">
    <w:name w:val="招股书格式14"/>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51">
    <w:name w:val="典雅型25"/>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30">
    <w:name w:val="网格型 52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b">
    <w:name w:val="定制网格型13"/>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奔奔团招股书格式2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3b">
    <w:name w:val="招股书格式23"/>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41">
    <w:name w:val="典雅型114"/>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3">
    <w:name w:val="网格型 511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90">
    <w:name w:val="网格型119"/>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奔奔团招股书格式11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34">
    <w:name w:val="招股书格式113"/>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3c">
    <w:name w:val="定制网格型23"/>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9">
    <w:name w:val="典雅型34"/>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20">
    <w:name w:val="网格型 53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f3">
    <w:name w:val="定制网格型3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c">
    <w:name w:val="奔奔团招股书格式3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39">
    <w:name w:val="招股书格式33"/>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31">
    <w:name w:val="典雅型12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2">
    <w:name w:val="网格型 512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40">
    <w:name w:val="网格型124"/>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奔奔团招股书格式12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23">
    <w:name w:val="招股书格式12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33">
    <w:name w:val="典雅型21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2">
    <w:name w:val="网格型 52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5">
    <w:name w:val="定制网格型11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
    <w:name w:val="奔奔团招股书格式2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26">
    <w:name w:val="招股书格式21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22">
    <w:name w:val="典雅型11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2">
    <w:name w:val="网格型 511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0">
    <w:name w:val="网格型1114"/>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奔奔团招股书格式11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24">
    <w:name w:val="招股书格式111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8">
    <w:name w:val="定制网格型2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网格型218"/>
    <w:basedOn w:val="a3"/>
    <w:uiPriority w:val="3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典雅型4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20">
    <w:name w:val="网格型 54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7">
    <w:name w:val="定制网格型4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奔奔团招股书格式4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19">
    <w:name w:val="招股书格式4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21">
    <w:name w:val="典雅型13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1">
    <w:name w:val="网格型 513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40">
    <w:name w:val="网格型134"/>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奔奔团招股书格式13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14">
    <w:name w:val="招股书格式13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14">
    <w:name w:val="典雅型2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1">
    <w:name w:val="网格型 52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7">
    <w:name w:val="定制网格型12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5">
    <w:name w:val="奔奔团招股书格式2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16">
    <w:name w:val="招股书格式22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21">
    <w:name w:val="典雅型112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1">
    <w:name w:val="网格型 511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40">
    <w:name w:val="网格型1124"/>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奔奔团招股书格式11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15">
    <w:name w:val="招股书格式112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16">
    <w:name w:val="典雅型3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1">
    <w:name w:val="网格型 53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7">
    <w:name w:val="定制网格型22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
    <w:name w:val="奔奔团招股书格式3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18">
    <w:name w:val="招股书格式31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12">
    <w:name w:val="典雅型12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1">
    <w:name w:val="网格型 512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30">
    <w:name w:val="网格型1213"/>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奔奔团招股书格式12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14">
    <w:name w:val="招股书格式12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13">
    <w:name w:val="典雅型2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1">
    <w:name w:val="网格型 52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4">
    <w:name w:val="定制网格型11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奔奔团招股书格式2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15">
    <w:name w:val="招股书格式211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12">
    <w:name w:val="典雅型11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1">
    <w:name w:val="网格型 511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30">
    <w:name w:val="网格型11113"/>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奔奔团招股书格式11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14">
    <w:name w:val="招股书格式111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f0">
    <w:name w:val="预案表格12"/>
    <w:basedOn w:val="a3"/>
    <w:uiPriority w:val="99"/>
    <w:qFormat/>
    <w:rPr>
      <w:rFonts w:ascii="Calibri" w:eastAsia="宋体" w:hAnsi="Calibri" w:cs="Times New Roman"/>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宋体" w:hAnsi="Times New Roman"/>
        <w:b w:val="0"/>
        <w:i w:val="0"/>
        <w:caps w:val="0"/>
        <w:smallCaps w:val="0"/>
        <w:strike w:val="0"/>
        <w:dstrike w:val="0"/>
        <w:vanish w:val="0"/>
        <w:sz w:val="21"/>
        <w:vertAlign w:val="baseline"/>
      </w:rPr>
    </w:tblStylePr>
  </w:style>
  <w:style w:type="table" w:customStyle="1" w:styleId="3100">
    <w:name w:val="网格型310"/>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网格型49"/>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网格型57"/>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网格型67"/>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彩色型 25"/>
    <w:basedOn w:val="a3"/>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3c">
    <w:name w:val="简明型 13"/>
    <w:basedOn w:val="a3"/>
    <w:qFormat/>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51">
    <w:name w:val="网格型 85"/>
    <w:basedOn w:val="a3"/>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320">
    <w:name w:val="浅色列表 - 着色 32"/>
    <w:basedOn w:val="a3"/>
    <w:uiPriority w:val="61"/>
    <w:qFormat/>
    <w:rPr>
      <w:rFonts w:ascii="Calibri" w:eastAsia="宋体" w:hAnsi="Calibri" w:cs="Times New Roman"/>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2">
    <w:name w:val="中等深浅底纹 2 - 着色 52"/>
    <w:basedOn w:val="a3"/>
    <w:uiPriority w:val="64"/>
    <w:qFormat/>
    <w:rPr>
      <w:rFonts w:ascii="Calibri" w:eastAsia="宋体" w:hAnsi="Calibri" w:cs="Times New Roman"/>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ffc">
    <w:name w:val="附注表格2"/>
    <w:basedOn w:val="a3"/>
    <w:qFormat/>
    <w:pPr>
      <w:jc w:val="center"/>
    </w:pPr>
    <w:rPr>
      <w:rFonts w:ascii="Times New Roman" w:eastAsia="宋体" w:hAnsi="Times New Roman" w:cs="Times New Roman"/>
      <w:szCs w:val="21"/>
    </w:rPr>
    <w:tblPr>
      <w:tblBorders>
        <w:top w:val="single" w:sz="4" w:space="0" w:color="auto"/>
        <w:bottom w:val="single" w:sz="4" w:space="0" w:color="auto"/>
        <w:insideH w:val="dotted" w:sz="4" w:space="0" w:color="auto"/>
        <w:insideV w:val="dotted" w:sz="4" w:space="0" w:color="auto"/>
      </w:tblBorders>
    </w:tblPr>
    <w:trPr>
      <w:tblHeader/>
    </w:trPr>
  </w:style>
  <w:style w:type="table" w:customStyle="1" w:styleId="760">
    <w:name w:val="网格型76"/>
    <w:basedOn w:val="a3"/>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a">
    <w:name w:val="表格主题5"/>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1">
    <w:name w:val="彩色型 12"/>
    <w:basedOn w:val="a3"/>
    <w:semiHidden/>
    <w:qFormat/>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9">
    <w:name w:val="彩色型 211"/>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1">
    <w:name w:val="彩色型 35"/>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1a">
    <w:name w:val="典雅型51"/>
    <w:basedOn w:val="a3"/>
    <w:semiHidden/>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63">
    <w:name w:val="古典型 16"/>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3">
    <w:name w:val="古典型 25"/>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2">
    <w:name w:val="古典型 35"/>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1">
    <w:name w:val="古典型 45"/>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6">
    <w:name w:val="简明型 112"/>
    <w:basedOn w:val="a3"/>
    <w:qFormat/>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4">
    <w:name w:val="简明型 25"/>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3">
    <w:name w:val="简明型 35"/>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f2">
    <w:name w:val="精巧型 12"/>
    <w:basedOn w:val="a3"/>
    <w:semiHidden/>
    <w:qFormat/>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d">
    <w:name w:val="精巧型 22"/>
    <w:basedOn w:val="a3"/>
    <w:semiHidden/>
    <w:qFormat/>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f3">
    <w:name w:val="表三维效果 12"/>
    <w:basedOn w:val="a3"/>
    <w:uiPriority w:val="99"/>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e">
    <w:name w:val="表三维效果 22"/>
    <w:basedOn w:val="a3"/>
    <w:uiPriority w:val="99"/>
    <w:semiHidden/>
    <w:qFormat/>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d">
    <w:name w:val="表三维效果 32"/>
    <w:basedOn w:val="a3"/>
    <w:uiPriority w:val="99"/>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5">
    <w:name w:val="列表型 15"/>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5">
    <w:name w:val="列表型 25"/>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4">
    <w:name w:val="列表型 35"/>
    <w:basedOn w:val="a3"/>
    <w:semiHidden/>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2">
    <w:name w:val="列表型 45"/>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6">
    <w:name w:val="列表型 5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4">
    <w:name w:val="列表型 6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1">
    <w:name w:val="列表型 75"/>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2">
    <w:name w:val="列表型 85"/>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fb">
    <w:name w:val="流行型5"/>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6">
    <w:name w:val="竖列型 15"/>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6">
    <w:name w:val="竖列型 25"/>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5">
    <w:name w:val="竖列型 35"/>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3">
    <w:name w:val="竖列型 45"/>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竖列型 55"/>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d">
    <w:name w:val="网格型 13"/>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f">
    <w:name w:val="网格型 22"/>
    <w:basedOn w:val="a3"/>
    <w:semiHidden/>
    <w:qFormat/>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e">
    <w:name w:val="网格型 32"/>
    <w:basedOn w:val="a3"/>
    <w:semiHidden/>
    <w:qFormat/>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4">
    <w:name w:val="网格型 45"/>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20">
    <w:name w:val="网格型 55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
    <w:name w:val="网格型 65"/>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5">
    <w:name w:val="网格型 72"/>
    <w:basedOn w:val="a3"/>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3">
    <w:name w:val="网格型 811"/>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7">
    <w:name w:val="网页型 15"/>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7">
    <w:name w:val="网页型 25"/>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6">
    <w:name w:val="网页型 35"/>
    <w:basedOn w:val="a3"/>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5fc">
    <w:name w:val="专业型5"/>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5">
    <w:name w:val="中等深浅底纹 1 - 着色 25"/>
    <w:basedOn w:val="a3"/>
    <w:uiPriority w:val="63"/>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
    <w:name w:val="中等深浅网格 1 - 着色 31"/>
    <w:basedOn w:val="a3"/>
    <w:uiPriority w:val="67"/>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2-15">
    <w:name w:val="中等深浅网格 2 - 着色 15"/>
    <w:basedOn w:val="a3"/>
    <w:uiPriority w:val="68"/>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25">
    <w:name w:val="彩色列表 - 着色 25"/>
    <w:basedOn w:val="a3"/>
    <w:uiPriority w:val="72"/>
    <w:qFormat/>
    <w:rPr>
      <w:rFonts w:ascii="Calibri" w:eastAsia="宋体" w:hAnsi="Calibri" w:cs="Times New Roman"/>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KWTable3">
    <w:name w:val="K&amp;W Table3"/>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table" w:customStyle="1" w:styleId="1430">
    <w:name w:val="网格型143"/>
    <w:basedOn w:val="a3"/>
    <w:qFormat/>
    <w:pPr>
      <w:spacing w:before="120" w:after="120" w:line="240" w:lineRule="atLeast"/>
    </w:pPr>
    <w:rPr>
      <w:rFonts w:ascii="Arial" w:eastAsia="宋体" w:hAnsi="Arial" w:cs="Times New Roman"/>
    </w:rPr>
    <w:tblPr/>
  </w:style>
  <w:style w:type="table" w:customStyle="1" w:styleId="2190">
    <w:name w:val="网格型219"/>
    <w:basedOn w:val="a3"/>
    <w:uiPriority w:val="59"/>
    <w:qFormat/>
    <w:pPr>
      <w:spacing w:before="120" w:after="120" w:line="240" w:lineRule="atLeast"/>
    </w:pPr>
    <w:rPr>
      <w:rFonts w:ascii="Arial" w:eastAsia="宋体" w:hAnsi="Arial" w:cs="Times New Roman"/>
    </w:rPr>
    <w:tblPr/>
  </w:style>
  <w:style w:type="table" w:customStyle="1" w:styleId="3124">
    <w:name w:val="彩色型 312"/>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2">
    <w:name w:val="典雅型141"/>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42">
    <w:name w:val="古典型 114"/>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a">
    <w:name w:val="古典型 211"/>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9">
    <w:name w:val="古典型 31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4">
    <w:name w:val="古典型 41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b">
    <w:name w:val="简明型 21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a">
    <w:name w:val="简明型 3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7">
    <w:name w:val="立体型 112"/>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25">
    <w:name w:val="立体型 312"/>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b">
    <w:name w:val="列表型 111"/>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c">
    <w:name w:val="列表型 21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b">
    <w:name w:val="列表型 311"/>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5">
    <w:name w:val="列表型 4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20">
    <w:name w:val="列表型 712"/>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4">
    <w:name w:val="列表型 81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1f8">
    <w:name w:val="流行型1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8">
    <w:name w:val="竖列型 112"/>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7">
    <w:name w:val="竖列型 212"/>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c">
    <w:name w:val="竖列型 311"/>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6">
    <w:name w:val="竖列型 41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竖列型 51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17">
    <w:name w:val="网格型 41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4">
    <w:name w:val="网格型 6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c">
    <w:name w:val="网页型 11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8">
    <w:name w:val="网页型 212"/>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d">
    <w:name w:val="网页型 311"/>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9">
    <w:name w:val="专业型1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40">
    <w:name w:val="网格型3114"/>
    <w:basedOn w:val="a3"/>
    <w:uiPriority w:val="59"/>
    <w:qFormat/>
    <w:pPr>
      <w:spacing w:before="120" w:after="120" w:line="240" w:lineRule="atLeast"/>
    </w:pPr>
    <w:rPr>
      <w:rFonts w:ascii="Arial" w:eastAsia="宋体" w:hAnsi="Arial" w:cs="Times New Roman"/>
    </w:rPr>
    <w:tblPr/>
  </w:style>
  <w:style w:type="table" w:customStyle="1" w:styleId="2218">
    <w:name w:val="彩色型 221"/>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4">
    <w:name w:val="彩色型 321"/>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16">
    <w:name w:val="典雅型231"/>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24">
    <w:name w:val="古典型 122"/>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9">
    <w:name w:val="古典型 221"/>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5">
    <w:name w:val="古典型 32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3">
    <w:name w:val="古典型 42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21">
    <w:name w:val="简明型 222"/>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6">
    <w:name w:val="简明型 32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8">
    <w:name w:val="立体型 121"/>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17">
    <w:name w:val="立体型 321"/>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9">
    <w:name w:val="列表型 121"/>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a">
    <w:name w:val="列表型 22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8">
    <w:name w:val="列表型 321"/>
    <w:basedOn w:val="a3"/>
    <w:semiHidden/>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4">
    <w:name w:val="列表型 42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13">
    <w:name w:val="列表型 721"/>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1">
    <w:name w:val="列表型 82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1fb">
    <w:name w:val="流行型2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a">
    <w:name w:val="竖列型 12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b">
    <w:name w:val="竖列型 22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1">
    <w:name w:val="竖列型 322"/>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5">
    <w:name w:val="竖列型 42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
    <w:name w:val="竖列型 52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16">
    <w:name w:val="网格型 42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1">
    <w:name w:val="网格型 62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14">
    <w:name w:val="网格型 821"/>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b">
    <w:name w:val="网页型 12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c">
    <w:name w:val="网页型 22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9">
    <w:name w:val="网页型 321"/>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fc">
    <w:name w:val="专业型2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1">
    <w:name w:val="Table Normal11"/>
    <w:uiPriority w:v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KWTable12">
    <w:name w:val="K&amp;W Table12"/>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21">
    <w:name w:val="彩色型 232"/>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4">
    <w:name w:val="彩色型 331"/>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1a">
    <w:name w:val="典雅型321"/>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15">
    <w:name w:val="古典型 131"/>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2">
    <w:name w:val="古典型 232"/>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5">
    <w:name w:val="古典型 33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3">
    <w:name w:val="古典型 43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23">
    <w:name w:val="简明型 232"/>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6">
    <w:name w:val="简明型 33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6">
    <w:name w:val="立体型 131"/>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17">
    <w:name w:val="立体型 331"/>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7">
    <w:name w:val="列表型 131"/>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7">
    <w:name w:val="列表型 23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18">
    <w:name w:val="列表型 331"/>
    <w:basedOn w:val="a3"/>
    <w:semiHidden/>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4">
    <w:name w:val="列表型 43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11">
    <w:name w:val="列表型 731"/>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1">
    <w:name w:val="列表型 83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1f4">
    <w:name w:val="流行型3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8">
    <w:name w:val="竖列型 13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8">
    <w:name w:val="竖列型 23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1">
    <w:name w:val="竖列型 332"/>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5">
    <w:name w:val="竖列型 43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
    <w:name w:val="竖列型 53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16">
    <w:name w:val="网格型 43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1">
    <w:name w:val="网格型 63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12">
    <w:name w:val="网格型 831"/>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9">
    <w:name w:val="网页型 13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9">
    <w:name w:val="网页型 23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9">
    <w:name w:val="网页型 331"/>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f5">
    <w:name w:val="专业型3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5">
    <w:name w:val="浅色列表 - 强调文字颜色 115"/>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5">
    <w:name w:val="中等深浅底纹 1 - 强调文字颜色 115"/>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30">
    <w:name w:val="网格型1133"/>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样式54"/>
    <w:basedOn w:val="a3"/>
    <w:uiPriority w:val="99"/>
    <w:qFormat/>
    <w:rPr>
      <w:rFonts w:ascii="Calibri" w:eastAsia="宋体" w:hAnsi="Calibri" w:cs="Times New Roman"/>
    </w:rPr>
    <w:tblPr/>
  </w:style>
  <w:style w:type="table" w:customStyle="1" w:styleId="21140">
    <w:name w:val="网格型21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ff2">
    <w:name w:val="表格模式4"/>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60">
    <w:name w:val="网格型416"/>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网格型1222"/>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浅色列表 - 强调文字颜色 1112"/>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
    <w:name w:val="中等深浅底纹 1 - 强调文字颜色 1112"/>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40">
    <w:name w:val="网格型22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
    <w:name w:val="网格型31113"/>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典雅型113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15">
    <w:name w:val="古典型 1111"/>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20">
    <w:name w:val="网格型11122"/>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5">
    <w:name w:val="样式511"/>
    <w:basedOn w:val="a3"/>
    <w:uiPriority w:val="99"/>
    <w:qFormat/>
    <w:rPr>
      <w:rFonts w:ascii="Calibri" w:eastAsia="宋体" w:hAnsi="Calibri" w:cs="Times New Roman"/>
    </w:rPr>
    <w:tblPr/>
  </w:style>
  <w:style w:type="table" w:customStyle="1" w:styleId="6115">
    <w:name w:val="样式611"/>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1fa">
    <w:name w:val="表格模式1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60">
    <w:name w:val="网格型516"/>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网格型1313"/>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浅色列表 - 强调文字颜色 1122"/>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1">
    <w:name w:val="中等深浅底纹 1 - 强调文字颜色 112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0">
    <w:name w:val="网格型23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网格型324"/>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典雅型122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16">
    <w:name w:val="古典型 1121"/>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0">
    <w:name w:val="网格型11213"/>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样式521"/>
    <w:basedOn w:val="a3"/>
    <w:uiPriority w:val="99"/>
    <w:qFormat/>
    <w:rPr>
      <w:rFonts w:ascii="Calibri" w:eastAsia="宋体" w:hAnsi="Calibri" w:cs="Times New Roman"/>
    </w:rPr>
    <w:tblPr/>
  </w:style>
  <w:style w:type="table" w:customStyle="1" w:styleId="21240">
    <w:name w:val="网格型212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4">
    <w:name w:val="样式621"/>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1fd">
    <w:name w:val="表格模式2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60">
    <w:name w:val="网格型616"/>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8">
    <w:name w:val="典雅型411"/>
    <w:basedOn w:val="a3"/>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13">
    <w:name w:val="古典型 141"/>
    <w:basedOn w:val="a3"/>
    <w:qFormat/>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0">
    <w:name w:val="网格型1412"/>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浅色列表 - 强调文字颜色 113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1">
    <w:name w:val="中等深浅底纹 1 - 强调文字颜色 113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30">
    <w:name w:val="网格型24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网格型334"/>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典雅型1312"/>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21">
    <w:name w:val="古典型 1132"/>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13">
    <w:name w:val="样式531"/>
    <w:basedOn w:val="a3"/>
    <w:uiPriority w:val="99"/>
    <w:qFormat/>
    <w:rPr>
      <w:rFonts w:ascii="Calibri" w:eastAsia="宋体" w:hAnsi="Calibri" w:cs="Times New Roman"/>
    </w:rPr>
    <w:tblPr/>
  </w:style>
  <w:style w:type="table" w:customStyle="1" w:styleId="21330">
    <w:name w:val="网格型213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4">
    <w:name w:val="样式631"/>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1f6">
    <w:name w:val="表格模式3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40">
    <w:name w:val="网格型71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网格型86"/>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网格型9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网格型10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网格型15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网格型16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网格型17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0">
    <w:name w:val="网格型81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网格型183"/>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网格型191"/>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网格型201"/>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网格型251"/>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网格型26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网格型271"/>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61">
    <w:name w:val="Table Normal61"/>
    <w:uiPriority w:val="2"/>
    <w:semiHidden/>
    <w:qFormat/>
    <w:pPr>
      <w:widowControl w:val="0"/>
    </w:pPr>
    <w:rPr>
      <w:rFonts w:ascii="Calibri" w:eastAsia="Times New Roman" w:hAnsi="Calibri" w:cs="Times New Roman"/>
      <w:sz w:val="22"/>
      <w:lang w:eastAsia="en-US"/>
    </w:rPr>
    <w:tblPr>
      <w:tblCellMar>
        <w:top w:w="0" w:type="dxa"/>
        <w:left w:w="0" w:type="dxa"/>
        <w:bottom w:w="0" w:type="dxa"/>
        <w:right w:w="0" w:type="dxa"/>
      </w:tblCellMar>
    </w:tblPr>
  </w:style>
  <w:style w:type="table" w:customStyle="1" w:styleId="TableNormal21">
    <w:name w:val="Table Normal21"/>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31">
    <w:name w:val="Table Normal31"/>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41">
    <w:name w:val="Table Normal41"/>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283">
    <w:name w:val="网格型28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网格型110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网格型34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0">
    <w:name w:val="网格型411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网格型5112"/>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网格型29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网格型30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网格型28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1">
    <w:name w:val="网格型28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40">
    <w:name w:val="网格型611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表格主题14"/>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40">
    <w:name w:val="网格型42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0">
    <w:name w:val="网格型52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0">
    <w:name w:val="网格型62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f0">
    <w:name w:val="表格主题2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30">
    <w:name w:val="网格型7113"/>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
    <w:name w:val="网格型31111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
    <w:name w:val="网格型411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0">
    <w:name w:val="网格型511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9">
    <w:name w:val="表格主题11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40">
    <w:name w:val="网格型43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1">
    <w:name w:val="网格型53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网格型63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f">
    <w:name w:val="表格主题3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40">
    <w:name w:val="网格型724"/>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0">
    <w:name w:val="网格型82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40">
    <w:name w:val="网格型312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4">
    <w:name w:val="网格型412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0">
    <w:name w:val="网格型512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
    <w:name w:val="网格型612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5">
    <w:name w:val="表格主题12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30">
    <w:name w:val="网格型44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1">
    <w:name w:val="网格型54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0">
    <w:name w:val="网格型64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a">
    <w:name w:val="表格主题4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3">
    <w:name w:val="网格型733"/>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网格型83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网格型313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3">
    <w:name w:val="网格型413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0">
    <w:name w:val="网格型513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网格型613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a">
    <w:name w:val="表格主题13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30">
    <w:name w:val="网格型9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0">
    <w:name w:val="网格型12112"/>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网格型2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0">
    <w:name w:val="网格型3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30">
    <w:name w:val="网格型4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0">
    <w:name w:val="网格型52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0">
    <w:name w:val="网格型621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d">
    <w:name w:val="表格主题2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30">
    <w:name w:val="网格型81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0">
    <w:name w:val="网格型111112"/>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网格型211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3">
    <w:name w:val="网格型6111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表格主题11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3">
    <w:name w:val="网格型10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20">
    <w:name w:val="网格型13112"/>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网格型23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0">
    <w:name w:val="网格型33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30">
    <w:name w:val="网格型43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0">
    <w:name w:val="网格型53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0">
    <w:name w:val="网格型631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e">
    <w:name w:val="表格主题3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30">
    <w:name w:val="网格型7213"/>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0">
    <w:name w:val="网格型8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2">
    <w:name w:val="网格型112112"/>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
    <w:name w:val="网格型21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3">
    <w:name w:val="网格型31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3">
    <w:name w:val="网格型412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0">
    <w:name w:val="网格型512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3">
    <w:name w:val="网格型61213"/>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5">
    <w:name w:val="表格主题12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3">
    <w:name w:val="grp3"/>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2a">
    <w:name w:val="网格型 112"/>
    <w:basedOn w:val="a3"/>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10">
    <w:name w:val="网格型 5141"/>
    <w:basedOn w:val="a3"/>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10">
    <w:name w:val="网格型35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0">
    <w:name w:val="网格型114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网格型210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网格型36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0">
    <w:name w:val="网格型45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1">
    <w:name w:val="网格型55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网格型65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网格型74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网格型84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
    <w:name w:val="网格型115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网格型214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1">
    <w:name w:val="网格型314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1">
    <w:name w:val="网格型414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1">
    <w:name w:val="网格型514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
    <w:name w:val="网格型614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网格型9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0">
    <w:name w:val="网格型122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网格型22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网格型32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
    <w:name w:val="网格型42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0">
    <w:name w:val="网格型62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网格型712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网格型8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
    <w:name w:val="网格型1112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网格型21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
    <w:name w:val="网格型31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网格型41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1">
    <w:name w:val="网格型611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网格型10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0">
    <w:name w:val="网格型13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网格型23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0">
    <w:name w:val="网格型33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1">
    <w:name w:val="网格型43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10">
    <w:name w:val="网格型63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网格型722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0">
    <w:name w:val="网格型82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0">
    <w:name w:val="网格型112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网格型212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1">
    <w:name w:val="网格型312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1">
    <w:name w:val="网格型412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1">
    <w:name w:val="网格型612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网格型14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
    <w:name w:val="网格型15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网格型2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
    <w:name w:val="网格型3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网格型4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1">
    <w:name w:val="网格型64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0">
    <w:name w:val="网格型73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0">
    <w:name w:val="网格型83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0">
    <w:name w:val="网格型113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网格型213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1">
    <w:name w:val="网格型313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1">
    <w:name w:val="网格型413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1">
    <w:name w:val="网格型613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网格型9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1">
    <w:name w:val="网格型12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网格型22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
    <w:name w:val="网格型32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
    <w:name w:val="网格型42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1">
    <w:name w:val="网格型62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网格型711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网格型8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
    <w:name w:val="网格型111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网格型2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1">
    <w:name w:val="网格型31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
    <w:name w:val="网格型4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
    <w:name w:val="网格型611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网格型10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
    <w:name w:val="网格型13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网格型23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
    <w:name w:val="网格型33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
    <w:name w:val="网格型43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1">
    <w:name w:val="网格型63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
    <w:name w:val="网格型721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
    <w:name w:val="网格型82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1">
    <w:name w:val="网格型112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
    <w:name w:val="网格型212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1">
    <w:name w:val="网格型312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1">
    <w:name w:val="网格型412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1">
    <w:name w:val="网格型612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网格型16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
    <w:name w:val="网格型171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网格型181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1">
    <w:name w:val="grp11"/>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1">
    <w:name w:val="中等深浅网格 2 - 着色 121"/>
    <w:basedOn w:val="a3"/>
    <w:uiPriority w:val="68"/>
    <w:semiHidden/>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2">
    <w:name w:val="中等深浅底纹 1 - 着色 222"/>
    <w:basedOn w:val="a3"/>
    <w:uiPriority w:val="63"/>
    <w:semiHidden/>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1">
    <w:name w:val="彩色列表 - 着色 221"/>
    <w:basedOn w:val="a3"/>
    <w:uiPriority w:val="72"/>
    <w:semiHidden/>
    <w:qFormat/>
    <w:rPr>
      <w:rFonts w:ascii="Calibri" w:eastAsia="宋体" w:hAnsi="Calibri" w:cs="Times New Roman"/>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1">
    <w:name w:val="中等深浅网格 1 - 着色 321"/>
    <w:basedOn w:val="a3"/>
    <w:uiPriority w:val="67"/>
    <w:semiHidden/>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1">
    <w:name w:val="中等深浅网格 1 - 着色 331"/>
    <w:basedOn w:val="a3"/>
    <w:uiPriority w:val="67"/>
    <w:semiHidden/>
    <w:qFormat/>
    <w:rPr>
      <w:rFonts w:ascii="Calibri" w:eastAsia="宋体" w:hAnsi="Calibri" w:cs="Times New Roman"/>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1">
    <w:name w:val="中等深浅网格 2 - 着色 131"/>
    <w:basedOn w:val="a3"/>
    <w:uiPriority w:val="68"/>
    <w:semiHidden/>
    <w:qFormat/>
    <w:rPr>
      <w:rFonts w:ascii="Cambria" w:eastAsia="宋体" w:hAnsi="Cambria"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2">
    <w:name w:val="中等深浅底纹 1 - 着色 232"/>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2">
    <w:name w:val="彩色列表 - 着色 232"/>
    <w:basedOn w:val="a3"/>
    <w:uiPriority w:val="72"/>
    <w:semiHidden/>
    <w:qFormat/>
    <w:rPr>
      <w:rFonts w:ascii="Calibri" w:eastAsia="宋体" w:hAnsi="Calibri" w:cs="Times New Roman"/>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1">
    <w:name w:val="网格型37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1">
    <w:name w:val="网格型116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网格型215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1">
    <w:name w:val="网格型38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网格型46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10">
    <w:name w:val="网格型56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网格型66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网格型75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0">
    <w:name w:val="网格型85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1">
    <w:name w:val="网格型117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网格型216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1">
    <w:name w:val="网格型315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1">
    <w:name w:val="网格型415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网格型515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1">
    <w:name w:val="网格型615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网格型9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网格型123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网格型22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1">
    <w:name w:val="网格型32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网格型42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1">
    <w:name w:val="网格型623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网格型713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网格型81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1">
    <w:name w:val="网格型1113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网格型211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1">
    <w:name w:val="网格型311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1">
    <w:name w:val="网格型411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1">
    <w:name w:val="网格型6113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网格型10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1">
    <w:name w:val="网格型133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网格型23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网格型33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1">
    <w:name w:val="网格型43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1">
    <w:name w:val="网格型633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1">
    <w:name w:val="网格型723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1">
    <w:name w:val="网格型82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1">
    <w:name w:val="网格型1123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网格型212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1">
    <w:name w:val="网格型312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1">
    <w:name w:val="网格型4123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31">
    <w:name w:val="网格型6123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网格型14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网格型15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网格型24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1">
    <w:name w:val="网格型34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1">
    <w:name w:val="网格型44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21">
    <w:name w:val="网格型64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网格型732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10">
    <w:name w:val="网格型83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10">
    <w:name w:val="网格型113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1">
    <w:name w:val="网格型213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1">
    <w:name w:val="网格型313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21">
    <w:name w:val="网格型413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21">
    <w:name w:val="网格型613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网格型9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
    <w:name w:val="网格型121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网格型22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网格型32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1">
    <w:name w:val="网格型42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1">
    <w:name w:val="网格型621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网格型7112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网格型81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1">
    <w:name w:val="网格型1111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
    <w:name w:val="网格型211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1">
    <w:name w:val="网格型311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21">
    <w:name w:val="网格型411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1">
    <w:name w:val="网格型6111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网格型10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1">
    <w:name w:val="网格型131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
    <w:name w:val="网格型23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1">
    <w:name w:val="网格型33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21">
    <w:name w:val="网格型43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21">
    <w:name w:val="网格型631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1">
    <w:name w:val="网格型7212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1">
    <w:name w:val="网格型82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1">
    <w:name w:val="网格型11212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1">
    <w:name w:val="网格型212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1">
    <w:name w:val="网格型312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21">
    <w:name w:val="网格型4121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21">
    <w:name w:val="网格型61212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网格型162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1">
    <w:name w:val="网格型172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网格型182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21">
    <w:name w:val="grp21"/>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342">
    <w:name w:val="中等深浅网格 1 - 着色 342"/>
    <w:basedOn w:val="a3"/>
    <w:uiPriority w:val="67"/>
    <w:semiHidden/>
    <w:qFormat/>
    <w:rPr>
      <w:rFonts w:ascii="Calibri" w:eastAsia="宋体" w:hAnsi="Calibri" w:cs="Times New Roman"/>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42">
    <w:name w:val="中等深浅网格 2 - 着色 142"/>
    <w:basedOn w:val="a3"/>
    <w:uiPriority w:val="68"/>
    <w:semiHidden/>
    <w:qFormat/>
    <w:rPr>
      <w:rFonts w:ascii="Cambria" w:eastAsia="宋体" w:hAnsi="Cambria"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41">
    <w:name w:val="中等深浅底纹 1 - 着色 241"/>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1">
    <w:name w:val="彩色列表 - 着色 241"/>
    <w:basedOn w:val="a3"/>
    <w:uiPriority w:val="72"/>
    <w:semiHidden/>
    <w:qFormat/>
    <w:rPr>
      <w:rFonts w:ascii="Calibri" w:eastAsia="宋体" w:hAnsi="Calibri" w:cs="Times New Roman"/>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91">
    <w:name w:val="网格型39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网格型401"/>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网格型47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网格型48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c">
    <w:name w:val="简明型 121"/>
    <w:basedOn w:val="a3"/>
    <w:unhideWhenUsed/>
    <w:qFormat/>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10">
    <w:name w:val="简明型 241"/>
    <w:basedOn w:val="a3"/>
    <w:unhideWhenUsed/>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10">
    <w:name w:val="简明型 341"/>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512">
    <w:name w:val="古典型 151"/>
    <w:basedOn w:val="a3"/>
    <w:unhideWhenUsed/>
    <w:qFormat/>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12">
    <w:name w:val="古典型 241"/>
    <w:basedOn w:val="a3"/>
    <w:unhideWhenUsed/>
    <w:qFormat/>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12">
    <w:name w:val="古典型 341"/>
    <w:basedOn w:val="a3"/>
    <w:unhideWhenUsed/>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10">
    <w:name w:val="古典型 441"/>
    <w:basedOn w:val="a3"/>
    <w:unhideWhenUsed/>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1d">
    <w:name w:val="彩色型 111"/>
    <w:basedOn w:val="a3"/>
    <w:unhideWhenUsed/>
    <w:qFormat/>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13">
    <w:name w:val="彩色型 241"/>
    <w:basedOn w:val="a3"/>
    <w:unhideWhenUsed/>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13">
    <w:name w:val="彩色型 341"/>
    <w:basedOn w:val="a3"/>
    <w:unhideWhenUsed/>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4">
    <w:name w:val="竖列型 141"/>
    <w:basedOn w:val="a3"/>
    <w:unhideWhenUsed/>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14">
    <w:name w:val="竖列型 241"/>
    <w:basedOn w:val="a3"/>
    <w:unhideWhenUsed/>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14">
    <w:name w:val="竖列型 341"/>
    <w:basedOn w:val="a3"/>
    <w:unhideWhenUsed/>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12">
    <w:name w:val="竖列型 441"/>
    <w:basedOn w:val="a3"/>
    <w:unhideWhenUsed/>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2">
    <w:name w:val="竖列型 541"/>
    <w:basedOn w:val="a3"/>
    <w:unhideWhenUsed/>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1d">
    <w:name w:val="网格型 121"/>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1e">
    <w:name w:val="网格型 211"/>
    <w:basedOn w:val="a3"/>
    <w:unhideWhenUsed/>
    <w:qFormat/>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1f">
    <w:name w:val="网格型 311"/>
    <w:basedOn w:val="a3"/>
    <w:unhideWhenUsed/>
    <w:qFormat/>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13">
    <w:name w:val="网格型 441"/>
    <w:basedOn w:val="a3"/>
    <w:unhideWhenUsed/>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11">
    <w:name w:val="网格型 561"/>
    <w:basedOn w:val="a3"/>
    <w:unhideWhenUsed/>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10">
    <w:name w:val="网格型 641"/>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14">
    <w:name w:val="网格型 711"/>
    <w:basedOn w:val="a3"/>
    <w:unhideWhenUsed/>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11">
    <w:name w:val="网格型 841"/>
    <w:basedOn w:val="a3"/>
    <w:unhideWhenUsed/>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15">
    <w:name w:val="列表型 141"/>
    <w:basedOn w:val="a3"/>
    <w:unhideWhenUsed/>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15">
    <w:name w:val="列表型 241"/>
    <w:basedOn w:val="a3"/>
    <w:unhideWhenUsed/>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15">
    <w:name w:val="列表型 341"/>
    <w:basedOn w:val="a3"/>
    <w:unhideWhenUsed/>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14">
    <w:name w:val="列表型 441"/>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16">
    <w:name w:val="列表型 511"/>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16">
    <w:name w:val="列表型 611"/>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11">
    <w:name w:val="列表型 741"/>
    <w:basedOn w:val="a3"/>
    <w:unhideWhenUsed/>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12">
    <w:name w:val="列表型 841"/>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1e">
    <w:name w:val="表三维效果 111"/>
    <w:basedOn w:val="a3"/>
    <w:uiPriority w:val="99"/>
    <w:unhideWhenUsed/>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1f">
    <w:name w:val="表三维效果 211"/>
    <w:basedOn w:val="a3"/>
    <w:uiPriority w:val="99"/>
    <w:unhideWhenUsed/>
    <w:qFormat/>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1f0">
    <w:name w:val="表三维效果 311"/>
    <w:basedOn w:val="a3"/>
    <w:uiPriority w:val="99"/>
    <w:unhideWhenUsed/>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41b">
    <w:name w:val="流行型41"/>
    <w:basedOn w:val="a3"/>
    <w:unhideWhenUsed/>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618">
    <w:name w:val="典雅型61"/>
    <w:basedOn w:val="a3"/>
    <w:unhideWhenUsed/>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41c">
    <w:name w:val="专业型41"/>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1f">
    <w:name w:val="精巧型 111"/>
    <w:basedOn w:val="a3"/>
    <w:unhideWhenUsed/>
    <w:qFormat/>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1f0">
    <w:name w:val="精巧型 211"/>
    <w:basedOn w:val="a3"/>
    <w:unhideWhenUsed/>
    <w:qFormat/>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16">
    <w:name w:val="网页型 141"/>
    <w:basedOn w:val="a3"/>
    <w:unhideWhenUsed/>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416">
    <w:name w:val="网页型 241"/>
    <w:basedOn w:val="a3"/>
    <w:unhideWhenUsed/>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3416">
    <w:name w:val="网页型 341"/>
    <w:basedOn w:val="a3"/>
    <w:unhideWhenUsed/>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111">
    <w:name w:val="中等深浅网格 2 - 着色 111"/>
    <w:basedOn w:val="a3"/>
    <w:uiPriority w:val="68"/>
    <w:unhideWhenUsed/>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211">
    <w:name w:val="中等深浅底纹 1 - 着色 211"/>
    <w:basedOn w:val="a3"/>
    <w:uiPriority w:val="63"/>
    <w:unhideWhenUsed/>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100" w:beforeAutospacing="1" w:afterLines="0" w:after="100" w:afterAutospacing="1"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100" w:beforeAutospacing="1" w:afterLines="0" w:after="100" w:afterAutospacing="1"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11">
    <w:name w:val="彩色列表 - 着色 211"/>
    <w:basedOn w:val="a3"/>
    <w:uiPriority w:val="72"/>
    <w:unhideWhenUsed/>
    <w:qFormat/>
    <w:rPr>
      <w:rFonts w:ascii="Calibri" w:eastAsia="宋体" w:hAnsi="Calibri" w:cs="Times New Roman"/>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10">
    <w:name w:val="浅色列表 - 着色 311"/>
    <w:basedOn w:val="a3"/>
    <w:uiPriority w:val="61"/>
    <w:unhideWhenUsed/>
    <w:qFormat/>
    <w:rPr>
      <w:rFonts w:ascii="Calibri" w:eastAsia="宋体" w:hAnsi="Calibri" w:cs="Times New Roman"/>
      <w:sz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11">
    <w:name w:val="中等深浅底纹 2 - 着色 511"/>
    <w:basedOn w:val="a3"/>
    <w:uiPriority w:val="64"/>
    <w:unhideWhenUsed/>
    <w:qFormat/>
    <w:rPr>
      <w:rFonts w:ascii="Calibri" w:eastAsia="宋体" w:hAnsi="Calibri" w:cs="Times New Roman"/>
      <w:sz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b">
    <w:name w:val="招股书格式5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417">
    <w:name w:val="典雅型24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31a">
    <w:name w:val="典雅型33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21b">
    <w:name w:val="招股书格式32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1210">
    <w:name w:val="典雅型21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2171">
    <w:name w:val="网格型2171"/>
    <w:basedOn w:val="a3"/>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0">
    <w:name w:val="网格型 5411"/>
    <w:basedOn w:val="a3"/>
    <w:qFormat/>
    <w:rPr>
      <w:rFonts w:ascii="Calibri" w:eastAsia="宋体" w:hAnsi="Calibri" w:cs="Calibri"/>
    </w:rPr>
    <w:tblPr/>
    <w:tblStylePr w:type="lastCol">
      <w:rPr>
        <w:b/>
        <w:bCs/>
      </w:rPr>
      <w:tblPr/>
      <w:tcPr>
        <w:tcBorders>
          <w:tl2br w:val="nil"/>
          <w:tr2bl w:val="nil"/>
        </w:tcBorders>
      </w:tcPr>
    </w:tblStylePr>
  </w:style>
  <w:style w:type="table" w:customStyle="1" w:styleId="112110">
    <w:name w:val="典雅型112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f0">
    <w:name w:val="预案表格111"/>
    <w:basedOn w:val="a3"/>
    <w:uiPriority w:val="99"/>
    <w:qFormat/>
    <w:rPr>
      <w:rFonts w:ascii="Calibri" w:eastAsia="宋体" w:hAnsi="Calibri" w:cs="Times New Roman"/>
    </w:rPr>
    <w:tblPr>
      <w:tblBorders>
        <w:top w:val="thinThickSmallGap" w:sz="12" w:space="0" w:color="auto"/>
        <w:bottom w:val="thickThinSmallGap" w:sz="12" w:space="0" w:color="auto"/>
        <w:insideH w:val="single" w:sz="4" w:space="0" w:color="auto"/>
        <w:insideV w:val="single" w:sz="4" w:space="0" w:color="auto"/>
      </w:tblBorders>
    </w:tblPr>
    <w:tcPr>
      <w:vAlign w:val="center"/>
    </w:tcPr>
    <w:tblStylePr w:type="firstRow">
      <w:rPr>
        <w:rFonts w:ascii="Times New Roman" w:eastAsia="宋体" w:hAnsi="Times New Roman" w:cs="Times New Roman" w:hint="default"/>
        <w:b w:val="0"/>
        <w:i w:val="0"/>
        <w:caps w:val="0"/>
        <w:smallCaps w:val="0"/>
        <w:strike w:val="0"/>
        <w:dstrike w:val="0"/>
        <w:vanish w:val="0"/>
        <w:sz w:val="21"/>
        <w:szCs w:val="21"/>
        <w:u w:val="none"/>
      </w:rPr>
      <w:tblPr/>
      <w:tcPr>
        <w:vAlign w:val="bottom"/>
      </w:tcPr>
    </w:tblStylePr>
  </w:style>
  <w:style w:type="table" w:customStyle="1" w:styleId="11fb">
    <w:name w:val="附注表格11"/>
    <w:basedOn w:val="a3"/>
    <w:qFormat/>
    <w:pPr>
      <w:jc w:val="center"/>
    </w:pPr>
    <w:rPr>
      <w:rFonts w:ascii="Times New Roman" w:eastAsia="宋体" w:hAnsi="Times New Roman" w:cs="Times New Roman"/>
      <w:szCs w:val="21"/>
    </w:rPr>
    <w:tblPr>
      <w:tblBorders>
        <w:top w:val="single" w:sz="4" w:space="0" w:color="auto"/>
        <w:bottom w:val="single" w:sz="4" w:space="0" w:color="auto"/>
        <w:insideH w:val="dotted" w:sz="4" w:space="0" w:color="auto"/>
        <w:insideV w:val="dotted" w:sz="4" w:space="0" w:color="auto"/>
      </w:tblBorders>
    </w:tblPr>
  </w:style>
  <w:style w:type="table" w:customStyle="1" w:styleId="11117">
    <w:name w:val="简明型 1111"/>
    <w:basedOn w:val="a3"/>
    <w:qFormat/>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110">
    <w:name w:val="网格型 55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style>
  <w:style w:type="table" w:customStyle="1" w:styleId="KWTable21">
    <w:name w:val="K&amp;W Table21"/>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hint="default"/>
        <w:b/>
        <w:sz w:val="20"/>
        <w:szCs w:val="20"/>
      </w:rPr>
      <w:tblPr/>
      <w:tcPr>
        <w:shd w:val="clear" w:color="auto" w:fill="E0E0E0"/>
      </w:tcPr>
    </w:tblStylePr>
  </w:style>
  <w:style w:type="table" w:customStyle="1" w:styleId="31114">
    <w:name w:val="彩色型 3111"/>
    <w:basedOn w:val="a3"/>
    <w:semiHidden/>
    <w:qFormat/>
    <w:rPr>
      <w:rFonts w:ascii="Calibri" w:eastAsia="宋体" w:hAnsi="Calibri" w:cs="Calibri"/>
    </w:rPr>
    <w:tblPr/>
    <w:tblStylePr w:type="firstCol">
      <w:tblPr/>
      <w:tcPr>
        <w:tcBorders>
          <w:left w:val="single" w:sz="36" w:space="0" w:color="000000"/>
          <w:right w:val="single" w:sz="6" w:space="0" w:color="000000"/>
          <w:tl2br w:val="nil"/>
          <w:tr2bl w:val="nil"/>
        </w:tcBorders>
        <w:shd w:val="solid" w:color="008080" w:fill="FFFFFF"/>
      </w:tcPr>
    </w:tblStylePr>
  </w:style>
  <w:style w:type="table" w:customStyle="1" w:styleId="11118">
    <w:name w:val="立体型 1111"/>
    <w:basedOn w:val="a3"/>
    <w:semiHidden/>
    <w:qFormat/>
    <w:rPr>
      <w:rFonts w:ascii="Calibri" w:eastAsia="宋体" w:hAnsi="Calibri" w:cs="Calibri"/>
    </w:rPr>
    <w:tblPr/>
    <w:tblStylePr w:type="swCell">
      <w:rPr>
        <w:color w:val="000080"/>
      </w:rPr>
      <w:tblPr/>
      <w:tcPr>
        <w:tcBorders>
          <w:top w:val="nil"/>
          <w:right w:val="nil"/>
          <w:tl2br w:val="nil"/>
          <w:tr2bl w:val="nil"/>
        </w:tcBorders>
      </w:tcPr>
    </w:tblStylePr>
  </w:style>
  <w:style w:type="table" w:customStyle="1" w:styleId="31115">
    <w:name w:val="立体型 3111"/>
    <w:basedOn w:val="a3"/>
    <w:semiHidden/>
    <w:qFormat/>
    <w:rPr>
      <w:rFonts w:ascii="Times New Roman" w:eastAsia="宋体" w:hAnsi="Times New Roman" w:cs="Times New Roman"/>
    </w:rPr>
    <w:tblPr/>
    <w:tblStylePr w:type="firstRow">
      <w:rPr>
        <w:b/>
        <w:bCs/>
      </w:rPr>
      <w:tblPr/>
      <w:tcPr>
        <w:tcBorders>
          <w:tl2br w:val="nil"/>
          <w:tr2bl w:val="nil"/>
        </w:tcBorders>
      </w:tcPr>
    </w:tblStylePr>
  </w:style>
  <w:style w:type="table" w:customStyle="1" w:styleId="71110">
    <w:name w:val="列表型 7111"/>
    <w:basedOn w:val="a3"/>
    <w:semiHidden/>
    <w:qFormat/>
    <w:rPr>
      <w:rFonts w:ascii="Calibri" w:eastAsia="宋体" w:hAnsi="Calibri" w:cs="Calibri"/>
    </w:rPr>
    <w:tbl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11119">
    <w:name w:val="竖列型 1111"/>
    <w:basedOn w:val="a3"/>
    <w:semiHidden/>
    <w:qFormat/>
    <w:rPr>
      <w:rFonts w:ascii="Calibri" w:eastAsia="宋体" w:hAnsi="Calibri" w:cs="Calibri"/>
    </w:rPr>
    <w:tblPr/>
    <w:tblStylePr w:type="swCell">
      <w:rPr>
        <w:b/>
        <w:bCs/>
      </w:rPr>
      <w:tblPr/>
      <w:tcPr>
        <w:tcBorders>
          <w:tl2br w:val="nil"/>
          <w:tr2bl w:val="nil"/>
        </w:tcBorders>
      </w:tcPr>
    </w:tblStylePr>
  </w:style>
  <w:style w:type="table" w:customStyle="1" w:styleId="21116">
    <w:name w:val="竖列型 211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style>
  <w:style w:type="table" w:customStyle="1" w:styleId="21117">
    <w:name w:val="网页型 211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12116">
    <w:name w:val="古典型 1211"/>
    <w:basedOn w:val="a3"/>
    <w:qFormat/>
    <w:rPr>
      <w:rFonts w:ascii="Calibri" w:eastAsia="宋体" w:hAnsi="Calibri" w:cs="Calibri"/>
    </w:rPr>
    <w:tblPr/>
    <w:tblStylePr w:type="neCell">
      <w:rPr>
        <w:b/>
        <w:bCs/>
        <w:i w:val="0"/>
        <w:iCs w:val="0"/>
      </w:rPr>
      <w:tblPr/>
      <w:tcPr>
        <w:tcBorders>
          <w:tl2br w:val="nil"/>
          <w:tr2bl w:val="nil"/>
        </w:tcBorders>
      </w:tcPr>
    </w:tblStylePr>
  </w:style>
  <w:style w:type="table" w:customStyle="1" w:styleId="22110">
    <w:name w:val="简明型 221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2110">
    <w:name w:val="列表型 821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10">
    <w:name w:val="竖列型 3211"/>
    <w:basedOn w:val="a3"/>
    <w:semiHidden/>
    <w:qFormat/>
    <w:rPr>
      <w:rFonts w:ascii="Calibri" w:eastAsia="宋体" w:hAnsi="Calibri" w:cs="Calibri"/>
    </w:rPr>
    <w:tblPr/>
    <w:tblStylePr w:type="neCell">
      <w:rPr>
        <w:b/>
        <w:bCs/>
      </w:rPr>
      <w:tblPr/>
      <w:tcPr>
        <w:tcBorders>
          <w:tl2br w:val="nil"/>
          <w:tr2bl w:val="nil"/>
        </w:tcBorders>
      </w:tcPr>
    </w:tblStylePr>
  </w:style>
  <w:style w:type="table" w:customStyle="1" w:styleId="62110">
    <w:name w:val="网格型 62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KWTable111">
    <w:name w:val="K&amp;W Table111"/>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cs="Arial" w:hint="default"/>
        <w:b/>
        <w:sz w:val="20"/>
        <w:szCs w:val="20"/>
      </w:rPr>
      <w:tblPr/>
      <w:tcPr>
        <w:shd w:val="clear" w:color="auto" w:fill="E0E0E0"/>
      </w:tcPr>
    </w:tblStylePr>
  </w:style>
  <w:style w:type="table" w:customStyle="1" w:styleId="23110">
    <w:name w:val="彩色型 2311"/>
    <w:basedOn w:val="a3"/>
    <w:semiHidden/>
    <w:qFormat/>
    <w:rPr>
      <w:rFonts w:ascii="Calibri" w:eastAsia="宋体" w:hAnsi="Calibri" w:cs="Calibri"/>
    </w:rPr>
    <w:tbl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style>
  <w:style w:type="table" w:customStyle="1" w:styleId="23112">
    <w:name w:val="古典型 2311"/>
    <w:basedOn w:val="a3"/>
    <w:semiHidden/>
    <w:qFormat/>
    <w:rPr>
      <w:rFonts w:ascii="Calibri" w:eastAsia="宋体" w:hAnsi="Calibri" w:cs="Calibri"/>
    </w:rPr>
    <w:tblPr/>
    <w:tblStylePr w:type="neCell">
      <w:rPr>
        <w:b/>
        <w:bCs/>
      </w:rPr>
      <w:tblPr/>
      <w:tcPr>
        <w:tcBorders>
          <w:tl2br w:val="nil"/>
          <w:tr2bl w:val="nil"/>
        </w:tcBorders>
      </w:tcPr>
    </w:tblStylePr>
    <w:tblStylePr w:type="nwCell">
      <w:tblPr/>
      <w:tcPr>
        <w:tcBorders>
          <w:tl2br w:val="nil"/>
          <w:tr2bl w:val="nil"/>
        </w:tcBorders>
        <w:shd w:val="solid" w:color="800080" w:fill="FFFFFF"/>
      </w:tcPr>
    </w:tblStylePr>
  </w:style>
  <w:style w:type="table" w:customStyle="1" w:styleId="23113">
    <w:name w:val="简明型 231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3111">
    <w:name w:val="列表型 831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10">
    <w:name w:val="竖列型 3311"/>
    <w:basedOn w:val="a3"/>
    <w:semiHidden/>
    <w:qFormat/>
    <w:rPr>
      <w:rFonts w:ascii="Calibri" w:eastAsia="宋体" w:hAnsi="Calibri" w:cs="Calibri"/>
    </w:rPr>
    <w:tblPr/>
    <w:tblStylePr w:type="neCell">
      <w:rPr>
        <w:b/>
        <w:bCs/>
      </w:rPr>
      <w:tblPr/>
      <w:tcPr>
        <w:tcBorders>
          <w:tl2br w:val="nil"/>
          <w:tr2bl w:val="nil"/>
        </w:tcBorders>
      </w:tcPr>
    </w:tblStylePr>
  </w:style>
  <w:style w:type="table" w:customStyle="1" w:styleId="63110">
    <w:name w:val="网格型 63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1141">
    <w:name w:val="浅色列表 - 强调文字颜色 114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41">
    <w:name w:val="中等深浅底纹 1 - 强调文字颜色 1141"/>
    <w:basedOn w:val="a3"/>
    <w:uiPriority w:val="63"/>
    <w:qFormat/>
    <w:rPr>
      <w:rFonts w:ascii="Calibri" w:eastAsia="宋体"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1">
    <w:name w:val="浅色列表 - 强调文字颜色 11111"/>
    <w:basedOn w:val="a3"/>
    <w:uiPriority w:val="61"/>
    <w:qFormat/>
    <w:rPr>
      <w:rFonts w:ascii="Calibri" w:eastAsia="宋体" w:hAnsi="Calibri" w:cs="Calibri"/>
    </w:rPr>
    <w:tbl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1">
    <w:name w:val="中等深浅底纹 1 - 强调文字颜色 11111"/>
    <w:basedOn w:val="a3"/>
    <w:uiPriority w:val="63"/>
    <w:qFormat/>
    <w:rPr>
      <w:rFonts w:ascii="Calibri" w:eastAsia="宋体"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1">
    <w:name w:val="浅色列表 - 强调文字颜色 11211"/>
    <w:basedOn w:val="a3"/>
    <w:uiPriority w:val="61"/>
    <w:qFormat/>
    <w:rPr>
      <w:rFonts w:ascii="Calibri" w:eastAsia="宋体" w:hAnsi="Calibri" w:cs="Calibri"/>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10">
    <w:name w:val="典雅型1311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111">
    <w:name w:val="古典型 11311"/>
    <w:basedOn w:val="a3"/>
    <w:qFormat/>
    <w:rPr>
      <w:rFonts w:ascii="Calibri" w:eastAsia="宋体" w:hAnsi="Calibri" w:cs="Calibri"/>
    </w:rPr>
    <w:tblPr/>
    <w:tblStylePr w:type="firstCol">
      <w:tblPr/>
      <w:tcPr>
        <w:tcBorders>
          <w:right w:val="single" w:sz="6" w:space="0" w:color="000000"/>
          <w:tl2br w:val="nil"/>
          <w:tr2bl w:val="nil"/>
        </w:tcBorders>
      </w:tcPr>
    </w:tblStylePr>
  </w:style>
  <w:style w:type="table" w:customStyle="1" w:styleId="1111a">
    <w:name w:val="网格型 1111"/>
    <w:basedOn w:val="a3"/>
    <w:qFormat/>
    <w:rPr>
      <w:rFonts w:ascii="Calibri" w:eastAsia="宋体" w:hAnsi="Calibri" w:cs="Calibri"/>
    </w:rPr>
    <w:tblPr/>
    <w:tblStylePr w:type="nwCell">
      <w:tblPr/>
      <w:tcPr>
        <w:tcBorders>
          <w:tl2br w:val="single" w:sz="6" w:space="0" w:color="000000"/>
          <w:tr2bl w:val="nil"/>
        </w:tcBorders>
      </w:tcPr>
    </w:tblStylePr>
  </w:style>
  <w:style w:type="table" w:customStyle="1" w:styleId="1-2211">
    <w:name w:val="中等深浅底纹 1 - 着色 2211"/>
    <w:basedOn w:val="a3"/>
    <w:uiPriority w:val="63"/>
    <w:semiHidden/>
    <w:qFormat/>
    <w:rPr>
      <w:rFonts w:ascii="Calibri" w:eastAsia="宋体" w:hAnsi="Calibri" w:cs="Calibri"/>
    </w:rPr>
    <w:tbl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311">
    <w:name w:val="中等深浅底纹 1 - 着色 2311"/>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style>
  <w:style w:type="table" w:customStyle="1" w:styleId="-2311">
    <w:name w:val="彩色列表 - 着色 2311"/>
    <w:basedOn w:val="a3"/>
    <w:uiPriority w:val="72"/>
    <w:semiHidden/>
    <w:qFormat/>
    <w:rPr>
      <w:rFonts w:ascii="Calibri" w:eastAsia="宋体" w:hAnsi="Calibri" w:cs="Calibri"/>
    </w:rPr>
    <w:tblPr/>
    <w:tblStylePr w:type="band1Horz">
      <w:tblPr/>
      <w:tcPr>
        <w:shd w:val="clear" w:color="auto" w:fill="F2DBDB"/>
      </w:tcPr>
    </w:tblStylePr>
  </w:style>
  <w:style w:type="table" w:customStyle="1" w:styleId="1-3411">
    <w:name w:val="中等深浅网格 1 - 着色 3411"/>
    <w:basedOn w:val="a3"/>
    <w:uiPriority w:val="67"/>
    <w:semiHidden/>
    <w:qFormat/>
    <w:rPr>
      <w:rFonts w:ascii="Calibri" w:eastAsia="宋体" w:hAnsi="Calibri" w:cs="Calibri"/>
    </w:rPr>
    <w:tbl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style>
  <w:style w:type="table" w:customStyle="1" w:styleId="2-1411">
    <w:name w:val="中等深浅网格 2 - 着色 1411"/>
    <w:basedOn w:val="a3"/>
    <w:uiPriority w:val="68"/>
    <w:semiHidden/>
    <w:qFormat/>
    <w:rPr>
      <w:rFonts w:ascii="Calibri" w:eastAsia="宋体" w:hAnsi="Calibri" w:cs="Calibri"/>
    </w:rPr>
    <w:tblPr/>
    <w:tblStylePr w:type="band1Horz">
      <w:tblPr/>
      <w:tcPr>
        <w:tcBorders>
          <w:insideH w:val="single" w:sz="6" w:space="0" w:color="auto"/>
          <w:insideV w:val="single" w:sz="6" w:space="0" w:color="auto"/>
        </w:tcBorders>
        <w:shd w:val="clear" w:color="auto" w:fill="A7BFDE"/>
      </w:tcPr>
    </w:tblStylePr>
  </w:style>
  <w:style w:type="character" w:customStyle="1" w:styleId="fontstyle11">
    <w:name w:val="fontstyle11"/>
    <w:qFormat/>
    <w:rPr>
      <w:rFonts w:ascii="Times New Roman" w:hAnsi="Times New Roman" w:cs="Times New Roman" w:hint="default"/>
      <w:color w:val="000000"/>
      <w:sz w:val="24"/>
      <w:szCs w:val="24"/>
    </w:rPr>
  </w:style>
  <w:style w:type="paragraph" w:customStyle="1" w:styleId="-33">
    <w:name w:val="自选标题-3"/>
    <w:basedOn w:val="a0"/>
    <w:link w:val="-3Char"/>
    <w:qFormat/>
    <w:pPr>
      <w:keepNext/>
      <w:widowControl w:val="0"/>
      <w:spacing w:beforeLines="50" w:before="163" w:afterLines="50" w:after="163" w:line="480" w:lineRule="auto"/>
      <w:outlineLvl w:val="2"/>
    </w:pPr>
    <w:rPr>
      <w:rFonts w:ascii="黑体" w:eastAsia="黑体" w:hAnsi="Times New Roman" w:cs="Times New Roman"/>
      <w:kern w:val="2"/>
      <w:sz w:val="28"/>
      <w:lang w:val="zh-CN"/>
    </w:rPr>
  </w:style>
  <w:style w:type="character" w:customStyle="1" w:styleId="-3Char">
    <w:name w:val="自选标题-3 Char"/>
    <w:link w:val="-33"/>
    <w:qFormat/>
    <w:rPr>
      <w:rFonts w:ascii="黑体" w:eastAsia="黑体" w:hAnsi="Times New Roman" w:cs="Times New Roman"/>
      <w:sz w:val="28"/>
      <w:szCs w:val="24"/>
      <w:lang w:val="zh-CN" w:eastAsia="zh-CN"/>
    </w:rPr>
  </w:style>
  <w:style w:type="table" w:customStyle="1" w:styleId="500">
    <w:name w:val="网格型50"/>
    <w:basedOn w:val="a3"/>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O">
    <w:name w:val="IPO正文"/>
    <w:basedOn w:val="a0"/>
    <w:link w:val="IPOChar"/>
    <w:uiPriority w:val="99"/>
    <w:qFormat/>
    <w:pPr>
      <w:widowControl w:val="0"/>
      <w:spacing w:beforeLines="50" w:afterLines="50" w:line="360" w:lineRule="auto"/>
      <w:ind w:firstLineChars="200" w:firstLine="200"/>
      <w:jc w:val="both"/>
    </w:pPr>
    <w:rPr>
      <w:rFonts w:ascii="Arial" w:hAnsi="Arial" w:cs="Times New Roman"/>
      <w:color w:val="000000"/>
      <w:kern w:val="2"/>
      <w:szCs w:val="22"/>
      <w:lang w:val="zh-CN"/>
    </w:rPr>
  </w:style>
  <w:style w:type="character" w:customStyle="1" w:styleId="IPOChar">
    <w:name w:val="IPO正文 Char"/>
    <w:link w:val="IPO"/>
    <w:uiPriority w:val="99"/>
    <w:qFormat/>
    <w:rPr>
      <w:rFonts w:ascii="Arial" w:eastAsia="宋体" w:hAnsi="Arial" w:cs="Times New Roman"/>
      <w:color w:val="000000"/>
      <w:sz w:val="24"/>
      <w:lang w:val="zh-CN" w:eastAsia="zh-CN"/>
    </w:rPr>
  </w:style>
  <w:style w:type="table" w:customStyle="1" w:styleId="89">
    <w:name w:val="典雅型8"/>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80">
    <w:name w:val="网格型 58"/>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e">
    <w:name w:val="定制网格型6"/>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
    <w:name w:val="奔奔团招股书格式6"/>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7d">
    <w:name w:val="招股书格式7"/>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64">
    <w:name w:val="典雅型16"/>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61">
    <w:name w:val="网格型 516"/>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00">
    <w:name w:val="网格型120"/>
    <w:basedOn w:val="a3"/>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奔奔团招股书格式15"/>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59">
    <w:name w:val="招股书格式15"/>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62">
    <w:name w:val="典雅型26"/>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40">
    <w:name w:val="网格型 524"/>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49">
    <w:name w:val="定制网格型14"/>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a">
    <w:name w:val="奔奔团招股书格式24"/>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4b">
    <w:name w:val="招股书格式24"/>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52">
    <w:name w:val="典雅型115"/>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40">
    <w:name w:val="网格型 5114"/>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00">
    <w:name w:val="网格型1110"/>
    <w:basedOn w:val="a3"/>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奔奔团招股书格式114"/>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44">
    <w:name w:val="招股书格式114"/>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4c">
    <w:name w:val="定制网格型24"/>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7">
    <w:name w:val="典雅型35"/>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30">
    <w:name w:val="网格型 53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2f0">
    <w:name w:val="定制网格型3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a">
    <w:name w:val="奔奔团招股书格式3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4a">
    <w:name w:val="招股书格式34"/>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41">
    <w:name w:val="典雅型124"/>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3">
    <w:name w:val="网格型 512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50">
    <w:name w:val="网格型125"/>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奔奔团招股书格式12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33">
    <w:name w:val="招股书格式123"/>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42">
    <w:name w:val="典雅型214"/>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30">
    <w:name w:val="网格型 521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35">
    <w:name w:val="定制网格型113"/>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4">
    <w:name w:val="奔奔团招股书格式21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35">
    <w:name w:val="招股书格式213"/>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32">
    <w:name w:val="典雅型111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3">
    <w:name w:val="网格型 5111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50">
    <w:name w:val="网格型1115"/>
    <w:basedOn w:val="a3"/>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奔奔团招股书格式1113"/>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34">
    <w:name w:val="招股书格式1113"/>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29">
    <w:name w:val="定制网格型21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网格型220"/>
    <w:basedOn w:val="a3"/>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典雅型4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30">
    <w:name w:val="网格型 543"/>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26">
    <w:name w:val="定制网格型4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奔奔团招股书格式4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28">
    <w:name w:val="招股书格式4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32">
    <w:name w:val="典雅型13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2">
    <w:name w:val="网格型 513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50">
    <w:name w:val="网格型135"/>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奔奔团招股书格式13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23">
    <w:name w:val="招股书格式13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22">
    <w:name w:val="典雅型22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2">
    <w:name w:val="网格型 522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26">
    <w:name w:val="定制网格型12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奔奔团招股书格式22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24">
    <w:name w:val="招股书格式22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32">
    <w:name w:val="典雅型1123"/>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2">
    <w:name w:val="网格型 5112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50">
    <w:name w:val="网格型1125"/>
    <w:basedOn w:val="a3"/>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奔奔团招股书格式112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23">
    <w:name w:val="招股书格式112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26">
    <w:name w:val="典雅型3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20">
    <w:name w:val="网格型 53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25">
    <w:name w:val="定制网格型22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7">
    <w:name w:val="奔奔团招股书格式3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28">
    <w:name w:val="招股书格式31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22">
    <w:name w:val="典雅型12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2">
    <w:name w:val="网格型 512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40">
    <w:name w:val="网格型1214"/>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奔奔团招股书格式12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24">
    <w:name w:val="招股书格式121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22">
    <w:name w:val="典雅型21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2">
    <w:name w:val="网格型 521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25">
    <w:name w:val="定制网格型1112"/>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3">
    <w:name w:val="奔奔团招股书格式21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24">
    <w:name w:val="招股书格式211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22">
    <w:name w:val="典雅型111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2">
    <w:name w:val="网格型 511112"/>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40">
    <w:name w:val="网格型11114"/>
    <w:basedOn w:val="a3"/>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奔奔团招股书格式11112"/>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24">
    <w:name w:val="招股书格式11112"/>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e">
    <w:name w:val="预案表格13"/>
    <w:basedOn w:val="a3"/>
    <w:uiPriority w:val="99"/>
    <w:qFormat/>
    <w:rPr>
      <w:rFonts w:ascii="Calibri" w:eastAsia="宋体" w:hAnsi="Calibri" w:cs="Times New Roman"/>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PMingLiU" w:hAnsi="Times New Roman"/>
        <w:b w:val="0"/>
        <w:i w:val="0"/>
        <w:caps w:val="0"/>
        <w:smallCaps w:val="0"/>
        <w:strike w:val="0"/>
        <w:dstrike w:val="0"/>
        <w:vanish w:val="0"/>
        <w:sz w:val="21"/>
        <w:vertAlign w:val="baseline"/>
      </w:rPr>
    </w:tblStylePr>
  </w:style>
  <w:style w:type="table" w:customStyle="1" w:styleId="3170">
    <w:name w:val="网格型317"/>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网格型410"/>
    <w:basedOn w:val="a3"/>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网格型58"/>
    <w:basedOn w:val="a3"/>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a3"/>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网格型68"/>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彩色型 26"/>
    <w:basedOn w:val="a3"/>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4a">
    <w:name w:val="简明型 14"/>
    <w:basedOn w:val="a3"/>
    <w:qFormat/>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61">
    <w:name w:val="网格型 86"/>
    <w:basedOn w:val="a3"/>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3fff6">
    <w:name w:val="附注表格3"/>
    <w:basedOn w:val="a3"/>
    <w:qFormat/>
    <w:pPr>
      <w:jc w:val="center"/>
    </w:pPr>
    <w:rPr>
      <w:rFonts w:ascii="Times New Roman" w:eastAsia="宋体" w:hAnsi="Times New Roman" w:cs="Times New Roman"/>
      <w:szCs w:val="21"/>
    </w:rPr>
    <w:tblPr>
      <w:tblBorders>
        <w:top w:val="single" w:sz="4" w:space="0" w:color="auto"/>
        <w:bottom w:val="single" w:sz="4" w:space="0" w:color="auto"/>
        <w:insideH w:val="dotted" w:sz="4" w:space="0" w:color="auto"/>
        <w:insideV w:val="dotted" w:sz="4" w:space="0" w:color="auto"/>
      </w:tblBorders>
    </w:tblPr>
    <w:trPr>
      <w:tblHeader/>
    </w:trPr>
  </w:style>
  <w:style w:type="table" w:customStyle="1" w:styleId="770">
    <w:name w:val="网格型77"/>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表格主题6"/>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f">
    <w:name w:val="彩色型 13"/>
    <w:basedOn w:val="a3"/>
    <w:qFormat/>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2a">
    <w:name w:val="彩色型 212"/>
    <w:basedOn w:val="a3"/>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62">
    <w:name w:val="彩色型 36"/>
    <w:basedOn w:val="a3"/>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27">
    <w:name w:val="典雅型52"/>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74">
    <w:name w:val="古典型 17"/>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64">
    <w:name w:val="古典型 26"/>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63">
    <w:name w:val="古典型 36"/>
    <w:basedOn w:val="a3"/>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62">
    <w:name w:val="古典型 46"/>
    <w:basedOn w:val="a3"/>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36">
    <w:name w:val="简明型 113"/>
    <w:basedOn w:val="a3"/>
    <w:qFormat/>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65">
    <w:name w:val="简明型 26"/>
    <w:basedOn w:val="a3"/>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64">
    <w:name w:val="简明型 36"/>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f0">
    <w:name w:val="精巧型 13"/>
    <w:basedOn w:val="a3"/>
    <w:qFormat/>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d">
    <w:name w:val="精巧型 23"/>
    <w:basedOn w:val="a3"/>
    <w:qFormat/>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3f1">
    <w:name w:val="表三维效果 13"/>
    <w:basedOn w:val="a3"/>
    <w:uiPriority w:val="99"/>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3e">
    <w:name w:val="表三维效果 23"/>
    <w:basedOn w:val="a3"/>
    <w:uiPriority w:val="99"/>
    <w:semiHidden/>
    <w:qFormat/>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3b">
    <w:name w:val="表三维效果 33"/>
    <w:basedOn w:val="a3"/>
    <w:uiPriority w:val="99"/>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65">
    <w:name w:val="列表型 16"/>
    <w:basedOn w:val="a3"/>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66">
    <w:name w:val="列表型 26"/>
    <w:basedOn w:val="a3"/>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65">
    <w:name w:val="列表型 36"/>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63">
    <w:name w:val="列表型 46"/>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35">
    <w:name w:val="列表型 53"/>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35">
    <w:name w:val="列表型 63"/>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61">
    <w:name w:val="列表型 76"/>
    <w:basedOn w:val="a3"/>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62">
    <w:name w:val="列表型 86"/>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6f1">
    <w:name w:val="流行型6"/>
    <w:basedOn w:val="a3"/>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66">
    <w:name w:val="竖列型 16"/>
    <w:basedOn w:val="a3"/>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67">
    <w:name w:val="竖列型 26"/>
    <w:basedOn w:val="a3"/>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66">
    <w:name w:val="竖列型 36"/>
    <w:basedOn w:val="a3"/>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64">
    <w:name w:val="竖列型 46"/>
    <w:basedOn w:val="a3"/>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2">
    <w:name w:val="竖列型 56"/>
    <w:basedOn w:val="a3"/>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4b">
    <w:name w:val="网格型 14"/>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3f">
    <w:name w:val="网格型 23"/>
    <w:basedOn w:val="a3"/>
    <w:qFormat/>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c">
    <w:name w:val="网格型 33"/>
    <w:basedOn w:val="a3"/>
    <w:qFormat/>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65">
    <w:name w:val="网格型 46"/>
    <w:basedOn w:val="a3"/>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3">
    <w:name w:val="网格型 553"/>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62">
    <w:name w:val="网格型 66"/>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34">
    <w:name w:val="网格型 73"/>
    <w:basedOn w:val="a3"/>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22">
    <w:name w:val="网格型 812"/>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67">
    <w:name w:val="网页型 16"/>
    <w:basedOn w:val="a3"/>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68">
    <w:name w:val="网页型 26"/>
    <w:basedOn w:val="a3"/>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67">
    <w:name w:val="网页型 36"/>
    <w:basedOn w:val="a3"/>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6f2">
    <w:name w:val="专业型6"/>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26">
    <w:name w:val="彩色列表 - 着色 26"/>
    <w:basedOn w:val="a3"/>
    <w:uiPriority w:val="63"/>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6">
    <w:name w:val="中等深浅底纹 1 - 着色 26"/>
    <w:basedOn w:val="a3"/>
    <w:uiPriority w:val="68"/>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35">
    <w:name w:val="中等深浅网格 1 - 着色 35"/>
    <w:basedOn w:val="a3"/>
    <w:uiPriority w:val="72"/>
    <w:qFormat/>
    <w:rPr>
      <w:rFonts w:ascii="Calibri" w:eastAsia="宋体" w:hAnsi="Calibri" w:cs="Times New Roman"/>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KWTable4">
    <w:name w:val="K&amp;W Table4"/>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table" w:customStyle="1" w:styleId="1440">
    <w:name w:val="网格型144"/>
    <w:basedOn w:val="a3"/>
    <w:uiPriority w:val="59"/>
    <w:qFormat/>
    <w:pPr>
      <w:spacing w:before="120" w:after="120" w:line="240" w:lineRule="atLeast"/>
    </w:pPr>
    <w:rPr>
      <w:rFonts w:ascii="Arial" w:eastAsia="宋体" w:hAnsi="Arial" w:cs="Times New Roman"/>
    </w:rPr>
    <w:tblPr/>
  </w:style>
  <w:style w:type="table" w:customStyle="1" w:styleId="21100">
    <w:name w:val="网格型2110"/>
    <w:basedOn w:val="a3"/>
    <w:qFormat/>
    <w:pPr>
      <w:spacing w:before="120" w:after="120" w:line="240" w:lineRule="atLeast"/>
    </w:pPr>
    <w:rPr>
      <w:rFonts w:ascii="Arial" w:eastAsia="宋体" w:hAnsi="Arial" w:cs="Times New Roman"/>
    </w:rPr>
    <w:tblPr/>
  </w:style>
  <w:style w:type="table" w:customStyle="1" w:styleId="3134">
    <w:name w:val="彩色型 313"/>
    <w:basedOn w:val="a3"/>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22">
    <w:name w:val="典雅型142"/>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53">
    <w:name w:val="古典型 115"/>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2b">
    <w:name w:val="古典型 212"/>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29">
    <w:name w:val="古典型 312"/>
    <w:basedOn w:val="a3"/>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25">
    <w:name w:val="古典型 412"/>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2c">
    <w:name w:val="简明型 212"/>
    <w:basedOn w:val="a3"/>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2a">
    <w:name w:val="简明型 31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37">
    <w:name w:val="立体型 113"/>
    <w:basedOn w:val="a3"/>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35">
    <w:name w:val="立体型 313"/>
    <w:basedOn w:val="a3"/>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2b">
    <w:name w:val="列表型 112"/>
    <w:basedOn w:val="a3"/>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2d">
    <w:name w:val="列表型 212"/>
    <w:basedOn w:val="a3"/>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2b">
    <w:name w:val="列表型 312"/>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26">
    <w:name w:val="列表型 41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30">
    <w:name w:val="列表型 713"/>
    <w:basedOn w:val="a3"/>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23">
    <w:name w:val="列表型 812"/>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2f4">
    <w:name w:val="流行型12"/>
    <w:basedOn w:val="a3"/>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38">
    <w:name w:val="竖列型 113"/>
    <w:basedOn w:val="a3"/>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36">
    <w:name w:val="竖列型 213"/>
    <w:basedOn w:val="a3"/>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2c">
    <w:name w:val="竖列型 312"/>
    <w:basedOn w:val="a3"/>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27">
    <w:name w:val="竖列型 412"/>
    <w:basedOn w:val="a3"/>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4">
    <w:name w:val="竖列型 512"/>
    <w:basedOn w:val="a3"/>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28">
    <w:name w:val="网格型 412"/>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25">
    <w:name w:val="网格型 61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c">
    <w:name w:val="网页型 112"/>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37">
    <w:name w:val="网页型 213"/>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2d">
    <w:name w:val="网页型 312"/>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2f5">
    <w:name w:val="专业型12"/>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50">
    <w:name w:val="网格型3115"/>
    <w:basedOn w:val="a3"/>
    <w:qFormat/>
    <w:pPr>
      <w:spacing w:before="120" w:after="120" w:line="240" w:lineRule="atLeast"/>
    </w:pPr>
    <w:rPr>
      <w:rFonts w:ascii="Arial" w:eastAsia="宋体" w:hAnsi="Arial" w:cs="Times New Roman"/>
    </w:rPr>
    <w:tblPr/>
  </w:style>
  <w:style w:type="table" w:customStyle="1" w:styleId="2226">
    <w:name w:val="彩色型 222"/>
    <w:basedOn w:val="a3"/>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22">
    <w:name w:val="彩色型 322"/>
    <w:basedOn w:val="a3"/>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24">
    <w:name w:val="典雅型232"/>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34">
    <w:name w:val="古典型 123"/>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27">
    <w:name w:val="古典型 222"/>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23">
    <w:name w:val="古典型 322"/>
    <w:basedOn w:val="a3"/>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22">
    <w:name w:val="古典型 422"/>
    <w:basedOn w:val="a3"/>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32">
    <w:name w:val="简明型 223"/>
    <w:basedOn w:val="a3"/>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24">
    <w:name w:val="简明型 322"/>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27">
    <w:name w:val="立体型 122"/>
    <w:basedOn w:val="a3"/>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25">
    <w:name w:val="立体型 322"/>
    <w:basedOn w:val="a3"/>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28">
    <w:name w:val="列表型 122"/>
    <w:basedOn w:val="a3"/>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28">
    <w:name w:val="列表型 222"/>
    <w:basedOn w:val="a3"/>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26">
    <w:name w:val="列表型 322"/>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23">
    <w:name w:val="列表型 422"/>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20">
    <w:name w:val="列表型 722"/>
    <w:basedOn w:val="a3"/>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30">
    <w:name w:val="列表型 823"/>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2f1">
    <w:name w:val="流行型22"/>
    <w:basedOn w:val="a3"/>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29">
    <w:name w:val="竖列型 122"/>
    <w:basedOn w:val="a3"/>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29">
    <w:name w:val="竖列型 222"/>
    <w:basedOn w:val="a3"/>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32">
    <w:name w:val="竖列型 323"/>
    <w:basedOn w:val="a3"/>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24">
    <w:name w:val="竖列型 422"/>
    <w:basedOn w:val="a3"/>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竖列型 522"/>
    <w:basedOn w:val="a3"/>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25">
    <w:name w:val="网格型 422"/>
    <w:basedOn w:val="a3"/>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30">
    <w:name w:val="网格型 623"/>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22">
    <w:name w:val="网格型 822"/>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2a">
    <w:name w:val="网页型 122"/>
    <w:basedOn w:val="a3"/>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2a">
    <w:name w:val="网页型 222"/>
    <w:basedOn w:val="a3"/>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27">
    <w:name w:val="网页型 322"/>
    <w:basedOn w:val="a3"/>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f2">
    <w:name w:val="专业型22"/>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2">
    <w:name w:val="Table Normal12"/>
    <w:uiPriority w:v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KWTable13">
    <w:name w:val="K&amp;W Table13"/>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32">
    <w:name w:val="彩色型 233"/>
    <w:basedOn w:val="a3"/>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22">
    <w:name w:val="彩色型 332"/>
    <w:basedOn w:val="a3"/>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28">
    <w:name w:val="典雅型322"/>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24">
    <w:name w:val="古典型 132"/>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33">
    <w:name w:val="古典型 233"/>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23">
    <w:name w:val="古典型 332"/>
    <w:basedOn w:val="a3"/>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22">
    <w:name w:val="古典型 432"/>
    <w:basedOn w:val="a3"/>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34">
    <w:name w:val="简明型 233"/>
    <w:basedOn w:val="a3"/>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24">
    <w:name w:val="简明型 332"/>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25">
    <w:name w:val="立体型 132"/>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25">
    <w:name w:val="立体型 332"/>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26">
    <w:name w:val="列表型 132"/>
    <w:basedOn w:val="a3"/>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25">
    <w:name w:val="列表型 232"/>
    <w:basedOn w:val="a3"/>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26">
    <w:name w:val="列表型 332"/>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23">
    <w:name w:val="列表型 432"/>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20">
    <w:name w:val="列表型 732"/>
    <w:basedOn w:val="a3"/>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30">
    <w:name w:val="列表型 833"/>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2f1">
    <w:name w:val="流行型32"/>
    <w:basedOn w:val="a3"/>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27">
    <w:name w:val="竖列型 132"/>
    <w:basedOn w:val="a3"/>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26">
    <w:name w:val="竖列型 232"/>
    <w:basedOn w:val="a3"/>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32">
    <w:name w:val="竖列型 333"/>
    <w:basedOn w:val="a3"/>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24">
    <w:name w:val="竖列型 432"/>
    <w:basedOn w:val="a3"/>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2">
    <w:name w:val="竖列型 532"/>
    <w:basedOn w:val="a3"/>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25">
    <w:name w:val="网格型 432"/>
    <w:basedOn w:val="a3"/>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30">
    <w:name w:val="网格型 633"/>
    <w:basedOn w:val="a3"/>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22">
    <w:name w:val="网格型 832"/>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28">
    <w:name w:val="网页型 132"/>
    <w:basedOn w:val="a3"/>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27">
    <w:name w:val="网页型 232"/>
    <w:basedOn w:val="a3"/>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27">
    <w:name w:val="网页型 332"/>
    <w:basedOn w:val="a3"/>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f2">
    <w:name w:val="专业型32"/>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6">
    <w:name w:val="浅色列表 - 强调文字颜色 116"/>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6">
    <w:name w:val="中等深浅底纹 1 - 强调文字颜色 116"/>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40">
    <w:name w:val="网格型1134"/>
    <w:basedOn w:val="a3"/>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4">
    <w:name w:val="样式55"/>
    <w:basedOn w:val="a3"/>
    <w:uiPriority w:val="99"/>
    <w:qFormat/>
    <w:rPr>
      <w:rFonts w:ascii="Calibri" w:eastAsia="宋体" w:hAnsi="Calibri" w:cs="Times New Roman"/>
    </w:rPr>
    <w:tblPr/>
  </w:style>
  <w:style w:type="table" w:customStyle="1" w:styleId="21150">
    <w:name w:val="网格型2115"/>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d">
    <w:name w:val="表格模式5"/>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70">
    <w:name w:val="网格型417"/>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网格型1223"/>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浅色列表 - 强调文字颜色 1113"/>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3">
    <w:name w:val="中等深浅底纹 1 - 强调文字颜色 1113"/>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50">
    <w:name w:val="网格型225"/>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40">
    <w:name w:val="网格型31114"/>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典雅型1132"/>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26">
    <w:name w:val="古典型 1112"/>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30">
    <w:name w:val="网格型11123"/>
    <w:basedOn w:val="a3"/>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5">
    <w:name w:val="样式512"/>
    <w:basedOn w:val="a3"/>
    <w:uiPriority w:val="99"/>
    <w:qFormat/>
    <w:rPr>
      <w:rFonts w:ascii="Calibri" w:eastAsia="宋体" w:hAnsi="Calibri" w:cs="Times New Roman"/>
    </w:rPr>
    <w:tblPr/>
  </w:style>
  <w:style w:type="table" w:customStyle="1" w:styleId="6126">
    <w:name w:val="样式612"/>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2f6">
    <w:name w:val="表格模式12"/>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70">
    <w:name w:val="网格型517"/>
    <w:basedOn w:val="a3"/>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网格型1314"/>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浅色列表 - 强调文字颜色 1123"/>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2">
    <w:name w:val="中等深浅底纹 1 - 强调文字颜色 1122"/>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50">
    <w:name w:val="网格型235"/>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网格型325"/>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典雅型1222"/>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24">
    <w:name w:val="古典型 1122"/>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40">
    <w:name w:val="网格型11214"/>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4">
    <w:name w:val="样式522"/>
    <w:basedOn w:val="a3"/>
    <w:uiPriority w:val="99"/>
    <w:qFormat/>
    <w:rPr>
      <w:rFonts w:ascii="Calibri" w:eastAsia="宋体" w:hAnsi="Calibri" w:cs="Times New Roman"/>
    </w:rPr>
    <w:tblPr/>
  </w:style>
  <w:style w:type="table" w:customStyle="1" w:styleId="21250">
    <w:name w:val="网格型2125"/>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2">
    <w:name w:val="样式622"/>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2f3">
    <w:name w:val="表格模式22"/>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70">
    <w:name w:val="网格型617"/>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9">
    <w:name w:val="典雅型412"/>
    <w:basedOn w:val="a3"/>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23">
    <w:name w:val="古典型 142"/>
    <w:basedOn w:val="a3"/>
    <w:qFormat/>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30">
    <w:name w:val="网格型1413"/>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浅色列表 - 强调文字颜色 1132"/>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2">
    <w:name w:val="中等深浅底纹 1 - 强调文字颜色 1132"/>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40">
    <w:name w:val="网格型244"/>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网格型335"/>
    <w:basedOn w:val="a3"/>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典雅型1313"/>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31">
    <w:name w:val="古典型 1133"/>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23">
    <w:name w:val="样式532"/>
    <w:basedOn w:val="a3"/>
    <w:uiPriority w:val="99"/>
    <w:qFormat/>
    <w:rPr>
      <w:rFonts w:ascii="Calibri" w:eastAsia="宋体" w:hAnsi="Calibri" w:cs="Times New Roman"/>
    </w:rPr>
    <w:tblPr/>
  </w:style>
  <w:style w:type="table" w:customStyle="1" w:styleId="21340">
    <w:name w:val="网格型2134"/>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2">
    <w:name w:val="样式632"/>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2f3">
    <w:name w:val="表格模式32"/>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50">
    <w:name w:val="网格型715"/>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网格型87"/>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网格型95"/>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网格型105"/>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网格型154"/>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网格型16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网格型174"/>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
    <w:name w:val="网格型815"/>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网格型184"/>
    <w:basedOn w:val="a3"/>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网格型192"/>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网格型202"/>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网格型252"/>
    <w:basedOn w:val="a3"/>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网格型262"/>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网格型272"/>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62">
    <w:name w:val="Table Normal62"/>
    <w:uiPriority w:val="2"/>
    <w:semiHidden/>
    <w:qFormat/>
    <w:pPr>
      <w:widowControl w:val="0"/>
    </w:pPr>
    <w:rPr>
      <w:rFonts w:ascii="Calibri" w:eastAsia="Times New Roman" w:hAnsi="Calibri" w:cs="Times New Roman"/>
      <w:sz w:val="22"/>
      <w:lang w:eastAsia="en-US"/>
    </w:rPr>
    <w:tblPr>
      <w:tblCellMar>
        <w:top w:w="0" w:type="dxa"/>
        <w:left w:w="0" w:type="dxa"/>
        <w:bottom w:w="0" w:type="dxa"/>
        <w:right w:w="0" w:type="dxa"/>
      </w:tblCellMar>
    </w:tblPr>
  </w:style>
  <w:style w:type="table" w:customStyle="1" w:styleId="TableNormal22">
    <w:name w:val="Table Normal22"/>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32">
    <w:name w:val="Table Normal32"/>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42">
    <w:name w:val="Table Normal42"/>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284">
    <w:name w:val="网格型284"/>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网格型1102"/>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0">
    <w:name w:val="网格型344"/>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网格型4115"/>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网格型5113"/>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网格型292"/>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网格型302"/>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网格型281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2">
    <w:name w:val="网格型2822"/>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50">
    <w:name w:val="网格型6115"/>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a">
    <w:name w:val="表格主题15"/>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50">
    <w:name w:val="网格型425"/>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31">
    <w:name w:val="网格型523"/>
    <w:basedOn w:val="a3"/>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网格型625"/>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f0">
    <w:name w:val="表格主题23"/>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40">
    <w:name w:val="网格型7114"/>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3">
    <w:name w:val="网格型311113"/>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网格型411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20">
    <w:name w:val="网格型5111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9">
    <w:name w:val="表格主题113"/>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50">
    <w:name w:val="网格型435"/>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1">
    <w:name w:val="网格型533"/>
    <w:basedOn w:val="a3"/>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50">
    <w:name w:val="网格型635"/>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d">
    <w:name w:val="表格主题33"/>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50">
    <w:name w:val="网格型725"/>
    <w:basedOn w:val="a3"/>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5">
    <w:name w:val="网格型825"/>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50">
    <w:name w:val="网格型3125"/>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50">
    <w:name w:val="网格型4125"/>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30">
    <w:name w:val="网格型5123"/>
    <w:basedOn w:val="a3"/>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50">
    <w:name w:val="网格型6125"/>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5">
    <w:name w:val="表格主题123"/>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40">
    <w:name w:val="网格型444"/>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21">
    <w:name w:val="网格型542"/>
    <w:basedOn w:val="a3"/>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4">
    <w:name w:val="网格型64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表格主题4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40">
    <w:name w:val="网格型734"/>
    <w:basedOn w:val="a3"/>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网格型83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40">
    <w:name w:val="网格型3134"/>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4">
    <w:name w:val="网格型4134"/>
    <w:basedOn w:val="a3"/>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20">
    <w:name w:val="网格型5132"/>
    <w:basedOn w:val="a3"/>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4">
    <w:name w:val="网格型613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9">
    <w:name w:val="表格主题13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4">
    <w:name w:val="网格型9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30">
    <w:name w:val="网格型1211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网格型22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40">
    <w:name w:val="网格型32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40">
    <w:name w:val="网格型42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20">
    <w:name w:val="网格型521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40">
    <w:name w:val="网格型621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e">
    <w:name w:val="表格主题21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40">
    <w:name w:val="网格型81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30">
    <w:name w:val="网格型11111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0">
    <w:name w:val="网格型211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4">
    <w:name w:val="网格型6111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7">
    <w:name w:val="表格主题111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4">
    <w:name w:val="网格型10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3">
    <w:name w:val="网格型1311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40">
    <w:name w:val="网格型2314"/>
    <w:basedOn w:val="a3"/>
    <w:uiPriority w:val="3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0">
    <w:name w:val="网格型33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40">
    <w:name w:val="网格型43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21">
    <w:name w:val="网格型531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40">
    <w:name w:val="网格型631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e">
    <w:name w:val="表格主题31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4">
    <w:name w:val="网格型7214"/>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40">
    <w:name w:val="网格型82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3">
    <w:name w:val="网格型112113"/>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4">
    <w:name w:val="网格型212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4">
    <w:name w:val="网格型312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4">
    <w:name w:val="网格型41214"/>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20">
    <w:name w:val="网格型5121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4">
    <w:name w:val="网格型61214"/>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5">
    <w:name w:val="表格主题1212"/>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4">
    <w:name w:val="grp4"/>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3a">
    <w:name w:val="网格型 113"/>
    <w:basedOn w:val="a3"/>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2">
    <w:name w:val="网格型 5142"/>
    <w:basedOn w:val="a3"/>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20">
    <w:name w:val="网格型352"/>
    <w:basedOn w:val="a3"/>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0">
    <w:name w:val="网格型1142"/>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网格型2102"/>
    <w:basedOn w:val="a3"/>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20">
    <w:name w:val="网格型362"/>
    <w:basedOn w:val="a3"/>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0">
    <w:name w:val="网格型452"/>
    <w:basedOn w:val="a3"/>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21">
    <w:name w:val="网格型552"/>
    <w:basedOn w:val="a3"/>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网格型65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网格型74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0">
    <w:name w:val="网格型8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20">
    <w:name w:val="网格型1152"/>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网格型21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2">
    <w:name w:val="网格型31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2">
    <w:name w:val="网格型414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20">
    <w:name w:val="网格型514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2">
    <w:name w:val="网格型614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网格型9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2">
    <w:name w:val="网格型122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0">
    <w:name w:val="网格型2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20">
    <w:name w:val="网格型3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0">
    <w:name w:val="网格型4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20">
    <w:name w:val="网格型62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网格型712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20">
    <w:name w:val="网格型8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2">
    <w:name w:val="网格型1112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0">
    <w:name w:val="网格型21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2">
    <w:name w:val="网格型31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
    <w:name w:val="网格型41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2">
    <w:name w:val="网格型611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
    <w:name w:val="网格型10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20">
    <w:name w:val="网格型13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0">
    <w:name w:val="网格型2322"/>
    <w:basedOn w:val="a3"/>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0">
    <w:name w:val="网格型33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20">
    <w:name w:val="网格型43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20">
    <w:name w:val="网格型63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2">
    <w:name w:val="网格型722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20">
    <w:name w:val="网格型8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20">
    <w:name w:val="网格型112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2">
    <w:name w:val="网格型21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2">
    <w:name w:val="网格型31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2">
    <w:name w:val="网格型412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2">
    <w:name w:val="网格型612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20">
    <w:name w:val="网格型1512"/>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网格型2412"/>
    <w:basedOn w:val="a3"/>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20">
    <w:name w:val="网格型34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20">
    <w:name w:val="网格型44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2">
    <w:name w:val="网格型64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网格型731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0">
    <w:name w:val="网格型83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20">
    <w:name w:val="网格型113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2">
    <w:name w:val="网格型213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2">
    <w:name w:val="网格型313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2">
    <w:name w:val="网格型413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2">
    <w:name w:val="网格型613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网格型9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2">
    <w:name w:val="网格型1211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网格型2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2">
    <w:name w:val="网格型3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2">
    <w:name w:val="网格型4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2">
    <w:name w:val="网格型621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
    <w:name w:val="网格型7111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2">
    <w:name w:val="网格型81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2">
    <w:name w:val="网格型11111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网格型211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2">
    <w:name w:val="网格型3111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2">
    <w:name w:val="网格型411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2">
    <w:name w:val="网格型6111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网格型10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2">
    <w:name w:val="网格型1311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0">
    <w:name w:val="网格型23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2">
    <w:name w:val="网格型33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2">
    <w:name w:val="网格型43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2">
    <w:name w:val="网格型631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2">
    <w:name w:val="网格型7211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2">
    <w:name w:val="网格型8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2">
    <w:name w:val="网格型112111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2">
    <w:name w:val="网格型21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2">
    <w:name w:val="网格型31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2">
    <w:name w:val="网格型4121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2">
    <w:name w:val="网格型61211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网格型161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2">
    <w:name w:val="网格型1712"/>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网格型1812"/>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2">
    <w:name w:val="grp12"/>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2">
    <w:name w:val="中等深浅网格 2 - 着色 122"/>
    <w:basedOn w:val="a3"/>
    <w:uiPriority w:val="68"/>
    <w:semiHidden/>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3">
    <w:name w:val="中等深浅底纹 1 - 着色 223"/>
    <w:basedOn w:val="a3"/>
    <w:uiPriority w:val="63"/>
    <w:semiHidden/>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2">
    <w:name w:val="彩色列表 - 着色 222"/>
    <w:basedOn w:val="a3"/>
    <w:uiPriority w:val="72"/>
    <w:semiHidden/>
    <w:qFormat/>
    <w:rPr>
      <w:rFonts w:ascii="Calibri" w:eastAsia="宋体" w:hAnsi="Calibri" w:cs="Times New Roman"/>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2">
    <w:name w:val="中等深浅网格 1 - 着色 322"/>
    <w:basedOn w:val="a3"/>
    <w:uiPriority w:val="67"/>
    <w:semiHidden/>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2">
    <w:name w:val="中等深浅网格 1 - 着色 332"/>
    <w:basedOn w:val="a3"/>
    <w:uiPriority w:val="67"/>
    <w:semiHidden/>
    <w:qFormat/>
    <w:rPr>
      <w:rFonts w:ascii="Calibri" w:eastAsia="宋体" w:hAnsi="Calibri" w:cs="Times New Roman"/>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2">
    <w:name w:val="中等深浅网格 2 - 着色 132"/>
    <w:basedOn w:val="a3"/>
    <w:uiPriority w:val="68"/>
    <w:semiHidden/>
    <w:qFormat/>
    <w:rPr>
      <w:rFonts w:ascii="Cambria" w:eastAsia="宋体" w:hAnsi="Cambria"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3">
    <w:name w:val="中等深浅底纹 1 - 着色 233"/>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3">
    <w:name w:val="彩色列表 - 着色 233"/>
    <w:basedOn w:val="a3"/>
    <w:uiPriority w:val="72"/>
    <w:semiHidden/>
    <w:qFormat/>
    <w:rPr>
      <w:rFonts w:ascii="Calibri" w:eastAsia="宋体" w:hAnsi="Calibri" w:cs="Times New Roman"/>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2">
    <w:name w:val="网格型372"/>
    <w:basedOn w:val="a3"/>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2">
    <w:name w:val="网格型1162"/>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网格型215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2">
    <w:name w:val="网格型38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20">
    <w:name w:val="网格型46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20">
    <w:name w:val="网格型56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0">
    <w:name w:val="网格型66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网格型75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0">
    <w:name w:val="网格型85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72">
    <w:name w:val="网格型117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网格型216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网格型315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2">
    <w:name w:val="网格型415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2">
    <w:name w:val="网格型5152"/>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2">
    <w:name w:val="网格型615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网格型9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网格型123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0">
    <w:name w:val="网格型2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20">
    <w:name w:val="网格型3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网格型4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32">
    <w:name w:val="网格型623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网格型713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2">
    <w:name w:val="网格型81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20">
    <w:name w:val="网格型11132"/>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2">
    <w:name w:val="网格型211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32">
    <w:name w:val="网格型311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2">
    <w:name w:val="网格型411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32">
    <w:name w:val="网格型6113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网格型10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20">
    <w:name w:val="网格型133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20">
    <w:name w:val="网格型2332"/>
    <w:basedOn w:val="a3"/>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0">
    <w:name w:val="网格型33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2">
    <w:name w:val="网格型43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2">
    <w:name w:val="网格型633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2">
    <w:name w:val="网格型723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2">
    <w:name w:val="网格型8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20">
    <w:name w:val="网格型1123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2">
    <w:name w:val="网格型21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2">
    <w:name w:val="网格型31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32">
    <w:name w:val="网格型4123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32">
    <w:name w:val="网格型6123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网格型14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2">
    <w:name w:val="网格型1522"/>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2">
    <w:name w:val="网格型2422"/>
    <w:basedOn w:val="a3"/>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22">
    <w:name w:val="网格型34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2">
    <w:name w:val="网格型44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22">
    <w:name w:val="网格型64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2">
    <w:name w:val="网格型732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20">
    <w:name w:val="网格型83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220">
    <w:name w:val="网格型113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2">
    <w:name w:val="网格型213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22">
    <w:name w:val="网格型313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22">
    <w:name w:val="网格型413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22">
    <w:name w:val="网格型613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2">
    <w:name w:val="网格型9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20">
    <w:name w:val="网格型121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网格型2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2">
    <w:name w:val="网格型3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2">
    <w:name w:val="网格型4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22">
    <w:name w:val="网格型621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网格型7112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2">
    <w:name w:val="网格型81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220">
    <w:name w:val="网格型1111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2">
    <w:name w:val="网格型211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22">
    <w:name w:val="网格型311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22">
    <w:name w:val="网格型411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22">
    <w:name w:val="网格型6111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2">
    <w:name w:val="网格型10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22">
    <w:name w:val="网格型131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2">
    <w:name w:val="网格型23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22">
    <w:name w:val="网格型33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22">
    <w:name w:val="网格型43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22">
    <w:name w:val="网格型631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2">
    <w:name w:val="网格型72122"/>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2">
    <w:name w:val="网格型8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22">
    <w:name w:val="网格型112122"/>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22">
    <w:name w:val="网格型21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2">
    <w:name w:val="网格型31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22">
    <w:name w:val="网格型4121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22">
    <w:name w:val="网格型612122"/>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网格型1622"/>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2">
    <w:name w:val="网格型1722"/>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网格型1822"/>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22">
    <w:name w:val="grp22"/>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343">
    <w:name w:val="中等深浅网格 1 - 着色 343"/>
    <w:basedOn w:val="a3"/>
    <w:uiPriority w:val="67"/>
    <w:semiHidden/>
    <w:qFormat/>
    <w:rPr>
      <w:rFonts w:ascii="Calibri" w:eastAsia="宋体" w:hAnsi="Calibri" w:cs="Times New Roman"/>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43">
    <w:name w:val="中等深浅网格 2 - 着色 143"/>
    <w:basedOn w:val="a3"/>
    <w:uiPriority w:val="68"/>
    <w:semiHidden/>
    <w:qFormat/>
    <w:rPr>
      <w:rFonts w:ascii="Cambria" w:eastAsia="宋体" w:hAnsi="Cambria"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42">
    <w:name w:val="中等深浅底纹 1 - 着色 242"/>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42">
    <w:name w:val="彩色列表 - 着色 242"/>
    <w:basedOn w:val="a3"/>
    <w:uiPriority w:val="72"/>
    <w:semiHidden/>
    <w:qFormat/>
    <w:rPr>
      <w:rFonts w:ascii="Calibri" w:eastAsia="宋体" w:hAnsi="Calibri" w:cs="Times New Roman"/>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92">
    <w:name w:val="网格型392"/>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网格型402"/>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网格型472"/>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网格型482"/>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彩色列表 - 着色 1 字符"/>
    <w:uiPriority w:val="1"/>
    <w:qFormat/>
    <w:locked/>
    <w:rPr>
      <w:rFonts w:ascii="等线" w:eastAsia="等线" w:hAnsi="等线"/>
      <w:kern w:val="2"/>
      <w:sz w:val="21"/>
      <w:szCs w:val="21"/>
    </w:rPr>
  </w:style>
  <w:style w:type="table" w:customStyle="1" w:styleId="122b">
    <w:name w:val="简明型 122"/>
    <w:basedOn w:val="a3"/>
    <w:unhideWhenUsed/>
    <w:qFormat/>
    <w:pPr>
      <w:widowControl w:val="0"/>
      <w:jc w:val="both"/>
    </w:pPr>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420">
    <w:name w:val="简明型 242"/>
    <w:basedOn w:val="a3"/>
    <w:unhideWhenUsed/>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420">
    <w:name w:val="简明型 342"/>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il"/>
          <w:tr2bl w:val="nil"/>
        </w:tcBorders>
        <w:shd w:val="solid" w:color="000000" w:fill="FFFFFF"/>
      </w:tcPr>
    </w:tblStylePr>
  </w:style>
  <w:style w:type="table" w:customStyle="1" w:styleId="1523">
    <w:name w:val="古典型 152"/>
    <w:basedOn w:val="a3"/>
    <w:unhideWhenUsed/>
    <w:qFormat/>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423">
    <w:name w:val="古典型 242"/>
    <w:basedOn w:val="a3"/>
    <w:unhideWhenUsed/>
    <w:qFormat/>
    <w:rPr>
      <w:rFonts w:ascii="Times New Roman" w:eastAsia="宋体" w:hAnsi="Times New Roman"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423">
    <w:name w:val="古典型 342"/>
    <w:basedOn w:val="a3"/>
    <w:unhideWhenUsed/>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420">
    <w:name w:val="古典型 442"/>
    <w:basedOn w:val="a3"/>
    <w:unhideWhenUsed/>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d">
    <w:name w:val="彩色型 112"/>
    <w:basedOn w:val="a3"/>
    <w:unhideWhenUsed/>
    <w:qFormat/>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424">
    <w:name w:val="彩色型 242"/>
    <w:basedOn w:val="a3"/>
    <w:unhideWhenUsed/>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424">
    <w:name w:val="彩色型 342"/>
    <w:basedOn w:val="a3"/>
    <w:unhideWhenUsed/>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24">
    <w:name w:val="竖列型 142"/>
    <w:basedOn w:val="a3"/>
    <w:unhideWhenUsed/>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425">
    <w:name w:val="竖列型 242"/>
    <w:basedOn w:val="a3"/>
    <w:unhideWhenUsed/>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425">
    <w:name w:val="竖列型 342"/>
    <w:basedOn w:val="a3"/>
    <w:unhideWhenUsed/>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423">
    <w:name w:val="竖列型 442"/>
    <w:basedOn w:val="a3"/>
    <w:unhideWhenUsed/>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2">
    <w:name w:val="竖列型 542"/>
    <w:basedOn w:val="a3"/>
    <w:unhideWhenUsed/>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22c">
    <w:name w:val="网格型 122"/>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12f">
    <w:name w:val="网格型 212"/>
    <w:basedOn w:val="a3"/>
    <w:unhideWhenUsed/>
    <w:qFormat/>
    <w:rPr>
      <w:rFonts w:ascii="Times New Roman" w:eastAsia="宋体" w:hAnsi="Times New Roman" w:cs="Times New Roman"/>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12f">
    <w:name w:val="网格型 312"/>
    <w:basedOn w:val="a3"/>
    <w:unhideWhenUsed/>
    <w:qFormat/>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424">
    <w:name w:val="网格型 442"/>
    <w:basedOn w:val="a3"/>
    <w:unhideWhenUsed/>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621">
    <w:name w:val="网格型 562"/>
    <w:basedOn w:val="a3"/>
    <w:unhideWhenUsed/>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420">
    <w:name w:val="网格型 642"/>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123">
    <w:name w:val="网格型 712"/>
    <w:basedOn w:val="a3"/>
    <w:unhideWhenUsed/>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421">
    <w:name w:val="网格型 842"/>
    <w:basedOn w:val="a3"/>
    <w:unhideWhenUsed/>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425">
    <w:name w:val="列表型 142"/>
    <w:basedOn w:val="a3"/>
    <w:unhideWhenUsed/>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426">
    <w:name w:val="列表型 242"/>
    <w:basedOn w:val="a3"/>
    <w:unhideWhenUsed/>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426">
    <w:name w:val="列表型 342"/>
    <w:basedOn w:val="a3"/>
    <w:unhideWhenUsed/>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425">
    <w:name w:val="列表型 442"/>
    <w:basedOn w:val="a3"/>
    <w:unhideWhenUsed/>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126">
    <w:name w:val="列表型 512"/>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127">
    <w:name w:val="列表型 612"/>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420">
    <w:name w:val="列表型 742"/>
    <w:basedOn w:val="a3"/>
    <w:unhideWhenUsed/>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422">
    <w:name w:val="列表型 842"/>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112e">
    <w:name w:val="表三维效果 112"/>
    <w:basedOn w:val="a3"/>
    <w:uiPriority w:val="99"/>
    <w:unhideWhenUsed/>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12f0">
    <w:name w:val="表三维效果 212"/>
    <w:basedOn w:val="a3"/>
    <w:uiPriority w:val="99"/>
    <w:unhideWhenUsed/>
    <w:qFormat/>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12f0">
    <w:name w:val="表三维效果 312"/>
    <w:basedOn w:val="a3"/>
    <w:uiPriority w:val="99"/>
    <w:unhideWhenUsed/>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42a">
    <w:name w:val="流行型42"/>
    <w:basedOn w:val="a3"/>
    <w:unhideWhenUsed/>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626">
    <w:name w:val="典雅型62"/>
    <w:basedOn w:val="a3"/>
    <w:unhideWhenUsed/>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42b">
    <w:name w:val="专业型42"/>
    <w:basedOn w:val="a3"/>
    <w:unhideWhenUsed/>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il"/>
          <w:tr2bl w:val="nil"/>
        </w:tcBorders>
        <w:shd w:val="solid" w:color="000000" w:fill="FFFFFF"/>
      </w:tcPr>
    </w:tblStylePr>
  </w:style>
  <w:style w:type="table" w:customStyle="1" w:styleId="112f">
    <w:name w:val="精巧型 112"/>
    <w:basedOn w:val="a3"/>
    <w:unhideWhenUsed/>
    <w:qFormat/>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f1">
    <w:name w:val="精巧型 212"/>
    <w:basedOn w:val="a3"/>
    <w:unhideWhenUsed/>
    <w:qFormat/>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426">
    <w:name w:val="网页型 142"/>
    <w:basedOn w:val="a3"/>
    <w:unhideWhenUsed/>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427">
    <w:name w:val="网页型 242"/>
    <w:basedOn w:val="a3"/>
    <w:unhideWhenUsed/>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3427">
    <w:name w:val="网页型 342"/>
    <w:basedOn w:val="a3"/>
    <w:unhideWhenUsed/>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il"/>
          <w:tr2bl w:val="nil"/>
        </w:tcBorders>
      </w:tcPr>
    </w:tblStylePr>
  </w:style>
  <w:style w:type="table" w:customStyle="1" w:styleId="2-112">
    <w:name w:val="中等深浅网格 2 - 着色 112"/>
    <w:basedOn w:val="a3"/>
    <w:uiPriority w:val="68"/>
    <w:unhideWhenUsed/>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1-212">
    <w:name w:val="中等深浅底纹 1 - 着色 212"/>
    <w:basedOn w:val="a3"/>
    <w:uiPriority w:val="63"/>
    <w:unhideWhenUsed/>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100" w:beforeAutospacing="1" w:afterLines="0" w:after="100" w:afterAutospacing="1"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100" w:beforeAutospacing="1" w:afterLines="0" w:after="100" w:afterAutospacing="1"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12">
    <w:name w:val="彩色列表 - 着色 212"/>
    <w:basedOn w:val="a3"/>
    <w:uiPriority w:val="72"/>
    <w:unhideWhenUsed/>
    <w:qFormat/>
    <w:rPr>
      <w:rFonts w:ascii="Calibri" w:eastAsia="宋体" w:hAnsi="Calibri" w:cs="Times New Roman"/>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3120">
    <w:name w:val="浅色列表 - 着色 312"/>
    <w:basedOn w:val="a3"/>
    <w:uiPriority w:val="61"/>
    <w:unhideWhenUsed/>
    <w:qFormat/>
    <w:rPr>
      <w:rFonts w:ascii="Calibri" w:eastAsia="宋体" w:hAnsi="Calibri" w:cs="Times New Roman"/>
      <w:sz w:val="22"/>
    </w:rPr>
    <w:tblPr>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12">
    <w:name w:val="中等深浅底纹 2 - 着色 512"/>
    <w:basedOn w:val="a3"/>
    <w:uiPriority w:val="64"/>
    <w:unhideWhenUsed/>
    <w:qFormat/>
    <w:rPr>
      <w:rFonts w:ascii="Calibri" w:eastAsia="宋体" w:hAnsi="Calibri" w:cs="Times New Roman"/>
      <w:sz w:val="22"/>
    </w:rPr>
    <w:tblPr>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8">
    <w:name w:val="招股书格式5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428">
    <w:name w:val="典雅型24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328">
    <w:name w:val="典雅型33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3229">
    <w:name w:val="招股书格式322"/>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cPr>
      <w:vAlign w:val="center"/>
    </w:tcPr>
  </w:style>
  <w:style w:type="table" w:customStyle="1" w:styleId="21220">
    <w:name w:val="典雅型212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2172">
    <w:name w:val="网格型2172"/>
    <w:basedOn w:val="a3"/>
    <w:uiPriority w:val="39"/>
    <w:qFormat/>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20">
    <w:name w:val="网格型 5412"/>
    <w:basedOn w:val="a3"/>
    <w:qFormat/>
    <w:rPr>
      <w:rFonts w:ascii="Calibri" w:eastAsia="宋体" w:hAnsi="Calibri" w:cs="Calibri"/>
    </w:rPr>
    <w:tblPr/>
    <w:tblStylePr w:type="lastCol">
      <w:rPr>
        <w:b/>
        <w:bCs/>
      </w:rPr>
      <w:tblPr/>
      <w:tcPr>
        <w:tcBorders>
          <w:tl2br w:val="nil"/>
          <w:tr2bl w:val="nil"/>
        </w:tcBorders>
      </w:tcPr>
    </w:tblStylePr>
  </w:style>
  <w:style w:type="table" w:customStyle="1" w:styleId="112120">
    <w:name w:val="典雅型11212"/>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f0">
    <w:name w:val="预案表格112"/>
    <w:basedOn w:val="a3"/>
    <w:uiPriority w:val="99"/>
    <w:qFormat/>
    <w:rPr>
      <w:rFonts w:ascii="Calibri" w:eastAsia="宋体" w:hAnsi="Calibri" w:cs="Times New Roman"/>
    </w:rPr>
    <w:tblPr>
      <w:tblBorders>
        <w:top w:val="thinThickSmallGap" w:sz="12" w:space="0" w:color="auto"/>
        <w:bottom w:val="thickThinSmallGap" w:sz="12" w:space="0" w:color="auto"/>
        <w:insideH w:val="single" w:sz="4" w:space="0" w:color="auto"/>
        <w:insideV w:val="single" w:sz="4" w:space="0" w:color="auto"/>
      </w:tblBorders>
    </w:tblPr>
    <w:tcPr>
      <w:vAlign w:val="center"/>
    </w:tcPr>
    <w:tblStylePr w:type="firstRow">
      <w:rPr>
        <w:rFonts w:ascii="Times New Roman" w:eastAsia="PMingLiU" w:hAnsi="Times New Roman" w:cs="Times New Roman" w:hint="default"/>
        <w:b w:val="0"/>
        <w:i w:val="0"/>
        <w:caps w:val="0"/>
        <w:smallCaps w:val="0"/>
        <w:strike w:val="0"/>
        <w:dstrike w:val="0"/>
        <w:vanish w:val="0"/>
        <w:sz w:val="21"/>
        <w:szCs w:val="21"/>
        <w:u w:val="none"/>
      </w:rPr>
      <w:tblPr/>
      <w:tcPr>
        <w:vAlign w:val="bottom"/>
      </w:tcPr>
    </w:tblStylePr>
  </w:style>
  <w:style w:type="table" w:customStyle="1" w:styleId="12f7">
    <w:name w:val="附注表格12"/>
    <w:basedOn w:val="a3"/>
    <w:qFormat/>
    <w:pPr>
      <w:jc w:val="center"/>
    </w:pPr>
    <w:rPr>
      <w:rFonts w:ascii="Times New Roman" w:eastAsia="宋体" w:hAnsi="Times New Roman" w:cs="Times New Roman"/>
      <w:szCs w:val="21"/>
    </w:rPr>
    <w:tblPr>
      <w:tblBorders>
        <w:top w:val="single" w:sz="4" w:space="0" w:color="auto"/>
        <w:bottom w:val="single" w:sz="4" w:space="0" w:color="auto"/>
        <w:insideH w:val="dotted" w:sz="4" w:space="0" w:color="auto"/>
        <w:insideV w:val="dotted" w:sz="4" w:space="0" w:color="auto"/>
      </w:tblBorders>
    </w:tblPr>
  </w:style>
  <w:style w:type="table" w:customStyle="1" w:styleId="11128">
    <w:name w:val="简明型 1112"/>
    <w:basedOn w:val="a3"/>
    <w:qFormat/>
    <w:rPr>
      <w:rFonts w:ascii="Times New Roman" w:eastAsia="宋体" w:hAnsi="Times New Roman" w:cs="Times New Roman"/>
    </w:rPr>
    <w:tblPr>
      <w:tblBorders>
        <w:top w:val="single" w:sz="12" w:space="0" w:color="008000"/>
        <w:bottom w:val="single" w:sz="12" w:space="0" w:color="008000"/>
      </w:tblBorders>
    </w:tbl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5512">
    <w:name w:val="网格型 551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style>
  <w:style w:type="table" w:customStyle="1" w:styleId="KWTable22">
    <w:name w:val="K&amp;W Table22"/>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hint="default"/>
        <w:b/>
        <w:sz w:val="20"/>
        <w:szCs w:val="20"/>
      </w:rPr>
      <w:tblPr/>
      <w:tcPr>
        <w:shd w:val="clear" w:color="auto" w:fill="E0E0E0"/>
      </w:tcPr>
    </w:tblStylePr>
  </w:style>
  <w:style w:type="table" w:customStyle="1" w:styleId="31120">
    <w:name w:val="彩色型 3112"/>
    <w:basedOn w:val="a3"/>
    <w:semiHidden/>
    <w:qFormat/>
    <w:rPr>
      <w:rFonts w:ascii="Calibri" w:eastAsia="宋体" w:hAnsi="Calibri" w:cs="Calibri"/>
    </w:rPr>
    <w:tblPr/>
    <w:tblStylePr w:type="firstCol">
      <w:tblPr/>
      <w:tcPr>
        <w:tcBorders>
          <w:left w:val="single" w:sz="36" w:space="0" w:color="000000"/>
          <w:right w:val="single" w:sz="6" w:space="0" w:color="000000"/>
          <w:tl2br w:val="nil"/>
          <w:tr2bl w:val="nil"/>
        </w:tcBorders>
        <w:shd w:val="solid" w:color="008080" w:fill="FFFFFF"/>
      </w:tcPr>
    </w:tblStylePr>
  </w:style>
  <w:style w:type="table" w:customStyle="1" w:styleId="11129">
    <w:name w:val="立体型 1112"/>
    <w:basedOn w:val="a3"/>
    <w:semiHidden/>
    <w:qFormat/>
    <w:rPr>
      <w:rFonts w:ascii="Calibri" w:eastAsia="宋体" w:hAnsi="Calibri" w:cs="Calibri"/>
    </w:rPr>
    <w:tblPr/>
    <w:tblStylePr w:type="swCell">
      <w:rPr>
        <w:color w:val="000080"/>
      </w:rPr>
      <w:tblPr/>
      <w:tcPr>
        <w:tcBorders>
          <w:top w:val="nil"/>
          <w:right w:val="nil"/>
          <w:tl2br w:val="nil"/>
          <w:tr2bl w:val="nil"/>
        </w:tcBorders>
      </w:tcPr>
    </w:tblStylePr>
  </w:style>
  <w:style w:type="table" w:customStyle="1" w:styleId="31123">
    <w:name w:val="立体型 3112"/>
    <w:basedOn w:val="a3"/>
    <w:semiHidden/>
    <w:qFormat/>
    <w:rPr>
      <w:rFonts w:ascii="Times New Roman" w:eastAsia="宋体" w:hAnsi="Times New Roman" w:cs="Times New Roman"/>
    </w:rPr>
    <w:tblPr/>
    <w:tblStylePr w:type="firstRow">
      <w:rPr>
        <w:b/>
        <w:bCs/>
      </w:rPr>
      <w:tblPr/>
      <w:tcPr>
        <w:tcBorders>
          <w:tl2br w:val="nil"/>
          <w:tr2bl w:val="nil"/>
        </w:tcBorders>
      </w:tcPr>
    </w:tblStylePr>
  </w:style>
  <w:style w:type="table" w:customStyle="1" w:styleId="71120">
    <w:name w:val="列表型 7112"/>
    <w:basedOn w:val="a3"/>
    <w:semiHidden/>
    <w:qFormat/>
    <w:rPr>
      <w:rFonts w:ascii="Calibri" w:eastAsia="宋体" w:hAnsi="Calibri" w:cs="Calibri"/>
    </w:rPr>
    <w:tbl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1112a">
    <w:name w:val="竖列型 1112"/>
    <w:basedOn w:val="a3"/>
    <w:semiHidden/>
    <w:qFormat/>
    <w:rPr>
      <w:rFonts w:ascii="Calibri" w:eastAsia="宋体" w:hAnsi="Calibri" w:cs="Calibri"/>
    </w:rPr>
    <w:tblPr/>
    <w:tblStylePr w:type="swCell">
      <w:rPr>
        <w:b/>
        <w:bCs/>
      </w:rPr>
      <w:tblPr/>
      <w:tcPr>
        <w:tcBorders>
          <w:tl2br w:val="nil"/>
          <w:tr2bl w:val="nil"/>
        </w:tcBorders>
      </w:tcPr>
    </w:tblStylePr>
  </w:style>
  <w:style w:type="table" w:customStyle="1" w:styleId="21125">
    <w:name w:val="竖列型 2112"/>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style>
  <w:style w:type="table" w:customStyle="1" w:styleId="21126">
    <w:name w:val="网页型 2112"/>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il"/>
          <w:tr2bl w:val="nil"/>
        </w:tcBorders>
      </w:tcPr>
    </w:tblStylePr>
  </w:style>
  <w:style w:type="table" w:customStyle="1" w:styleId="12126">
    <w:name w:val="古典型 1212"/>
    <w:basedOn w:val="a3"/>
    <w:qFormat/>
    <w:rPr>
      <w:rFonts w:ascii="Calibri" w:eastAsia="宋体" w:hAnsi="Calibri" w:cs="Calibri"/>
    </w:rPr>
    <w:tblPr/>
    <w:tblStylePr w:type="neCell">
      <w:rPr>
        <w:b/>
        <w:bCs/>
        <w:i w:val="0"/>
        <w:iCs w:val="0"/>
      </w:rPr>
      <w:tblPr/>
      <w:tcPr>
        <w:tcBorders>
          <w:tl2br w:val="nil"/>
          <w:tr2bl w:val="nil"/>
        </w:tcBorders>
      </w:tcPr>
    </w:tblStylePr>
  </w:style>
  <w:style w:type="table" w:customStyle="1" w:styleId="22120">
    <w:name w:val="简明型 2212"/>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2120">
    <w:name w:val="列表型 821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20">
    <w:name w:val="竖列型 3212"/>
    <w:basedOn w:val="a3"/>
    <w:semiHidden/>
    <w:qFormat/>
    <w:rPr>
      <w:rFonts w:ascii="Calibri" w:eastAsia="宋体" w:hAnsi="Calibri" w:cs="Calibri"/>
    </w:rPr>
    <w:tblPr/>
    <w:tblStylePr w:type="neCell">
      <w:rPr>
        <w:b/>
        <w:bCs/>
      </w:rPr>
      <w:tblPr/>
      <w:tcPr>
        <w:tcBorders>
          <w:tl2br w:val="nil"/>
          <w:tr2bl w:val="nil"/>
        </w:tcBorders>
      </w:tcPr>
    </w:tblStylePr>
  </w:style>
  <w:style w:type="table" w:customStyle="1" w:styleId="62120">
    <w:name w:val="网格型 621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KWTable112">
    <w:name w:val="K&amp;W Table112"/>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cs="Arial" w:hint="default"/>
        <w:b/>
        <w:sz w:val="20"/>
        <w:szCs w:val="20"/>
      </w:rPr>
      <w:tblPr/>
      <w:tcPr>
        <w:shd w:val="clear" w:color="auto" w:fill="E0E0E0"/>
      </w:tcPr>
    </w:tblStylePr>
  </w:style>
  <w:style w:type="table" w:customStyle="1" w:styleId="23120">
    <w:name w:val="彩色型 2312"/>
    <w:basedOn w:val="a3"/>
    <w:semiHidden/>
    <w:qFormat/>
    <w:rPr>
      <w:rFonts w:ascii="Calibri" w:eastAsia="宋体" w:hAnsi="Calibri" w:cs="Calibri"/>
    </w:rPr>
    <w:tbl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style>
  <w:style w:type="table" w:customStyle="1" w:styleId="23123">
    <w:name w:val="古典型 2312"/>
    <w:basedOn w:val="a3"/>
    <w:semiHidden/>
    <w:qFormat/>
    <w:rPr>
      <w:rFonts w:ascii="Calibri" w:eastAsia="宋体" w:hAnsi="Calibri" w:cs="Calibri"/>
    </w:rPr>
    <w:tblPr/>
    <w:tblStylePr w:type="neCell">
      <w:rPr>
        <w:b/>
        <w:bCs/>
      </w:rPr>
      <w:tblPr/>
      <w:tcPr>
        <w:tcBorders>
          <w:tl2br w:val="nil"/>
          <w:tr2bl w:val="nil"/>
        </w:tcBorders>
      </w:tcPr>
    </w:tblStylePr>
    <w:tblStylePr w:type="nwCell">
      <w:tblPr/>
      <w:tcPr>
        <w:tcBorders>
          <w:tl2br w:val="nil"/>
          <w:tr2bl w:val="nil"/>
        </w:tcBorders>
        <w:shd w:val="solid" w:color="800080" w:fill="FFFFFF"/>
      </w:tcPr>
    </w:tblStylePr>
  </w:style>
  <w:style w:type="table" w:customStyle="1" w:styleId="23124">
    <w:name w:val="简明型 2312"/>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style>
  <w:style w:type="table" w:customStyle="1" w:styleId="83121">
    <w:name w:val="列表型 8312"/>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3120">
    <w:name w:val="竖列型 3312"/>
    <w:basedOn w:val="a3"/>
    <w:semiHidden/>
    <w:qFormat/>
    <w:rPr>
      <w:rFonts w:ascii="Calibri" w:eastAsia="宋体" w:hAnsi="Calibri" w:cs="Calibri"/>
    </w:rPr>
    <w:tblPr/>
    <w:tblStylePr w:type="neCell">
      <w:rPr>
        <w:b/>
        <w:bCs/>
      </w:rPr>
      <w:tblPr/>
      <w:tcPr>
        <w:tcBorders>
          <w:tl2br w:val="nil"/>
          <w:tr2bl w:val="nil"/>
        </w:tcBorders>
      </w:tcPr>
    </w:tblStylePr>
  </w:style>
  <w:style w:type="table" w:customStyle="1" w:styleId="63120">
    <w:name w:val="网格型 6312"/>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style>
  <w:style w:type="table" w:customStyle="1" w:styleId="-1142">
    <w:name w:val="浅色列表 - 强调文字颜色 1142"/>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42">
    <w:name w:val="中等深浅底纹 1 - 强调文字颜色 1142"/>
    <w:basedOn w:val="a3"/>
    <w:uiPriority w:val="63"/>
    <w:qFormat/>
    <w:rPr>
      <w:rFonts w:ascii="Calibri" w:eastAsia="宋体"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12">
    <w:name w:val="浅色列表 - 强调文字颜色 11112"/>
    <w:basedOn w:val="a3"/>
    <w:uiPriority w:val="61"/>
    <w:qFormat/>
    <w:rPr>
      <w:rFonts w:ascii="Calibri" w:eastAsia="宋体" w:hAnsi="Calibri" w:cs="Calibri"/>
    </w:rPr>
    <w:tbl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style>
  <w:style w:type="table" w:customStyle="1" w:styleId="1-11112">
    <w:name w:val="中等深浅底纹 1 - 强调文字颜色 11112"/>
    <w:basedOn w:val="a3"/>
    <w:uiPriority w:val="63"/>
    <w:qFormat/>
    <w:rPr>
      <w:rFonts w:ascii="Calibri" w:eastAsia="宋体" w:hAnsi="Calibri" w:cs="Calibri"/>
    </w:rPr>
    <w:tbl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212">
    <w:name w:val="浅色列表 - 强调文字颜色 11212"/>
    <w:basedOn w:val="a3"/>
    <w:uiPriority w:val="61"/>
    <w:qFormat/>
    <w:rPr>
      <w:rFonts w:ascii="Calibri" w:eastAsia="宋体" w:hAnsi="Calibri" w:cs="Calibri"/>
    </w:rPr>
    <w:tbl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31121">
    <w:name w:val="典雅型13112"/>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121">
    <w:name w:val="古典型 11312"/>
    <w:basedOn w:val="a3"/>
    <w:qFormat/>
    <w:rPr>
      <w:rFonts w:ascii="Calibri" w:eastAsia="宋体" w:hAnsi="Calibri" w:cs="Calibri"/>
    </w:rPr>
    <w:tblPr/>
    <w:tblStylePr w:type="firstCol">
      <w:tblPr/>
      <w:tcPr>
        <w:tcBorders>
          <w:right w:val="single" w:sz="6" w:space="0" w:color="000000"/>
          <w:tl2br w:val="nil"/>
          <w:tr2bl w:val="nil"/>
        </w:tcBorders>
      </w:tcPr>
    </w:tblStylePr>
  </w:style>
  <w:style w:type="table" w:customStyle="1" w:styleId="1112b">
    <w:name w:val="网格型 1112"/>
    <w:basedOn w:val="a3"/>
    <w:qFormat/>
    <w:rPr>
      <w:rFonts w:ascii="Calibri" w:eastAsia="宋体" w:hAnsi="Calibri" w:cs="Calibri"/>
    </w:rPr>
    <w:tblPr/>
    <w:tblStylePr w:type="nwCell">
      <w:tblPr/>
      <w:tcPr>
        <w:tcBorders>
          <w:tl2br w:val="single" w:sz="6" w:space="0" w:color="000000"/>
          <w:tr2bl w:val="nil"/>
        </w:tcBorders>
      </w:tcPr>
    </w:tblStylePr>
  </w:style>
  <w:style w:type="table" w:customStyle="1" w:styleId="1-2212">
    <w:name w:val="中等深浅底纹 1 - 着色 2212"/>
    <w:basedOn w:val="a3"/>
    <w:uiPriority w:val="63"/>
    <w:semiHidden/>
    <w:qFormat/>
    <w:rPr>
      <w:rFonts w:ascii="Calibri" w:eastAsia="宋体" w:hAnsi="Calibri" w:cs="Calibri"/>
    </w:rPr>
    <w:tbl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2312">
    <w:name w:val="中等深浅底纹 1 - 着色 2312"/>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100" w:beforeAutospacing="1" w:afterLines="0" w:after="100" w:afterAutospacing="1"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100" w:beforeAutospacing="1" w:afterLines="0" w:after="100" w:afterAutospacing="1"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style>
  <w:style w:type="table" w:customStyle="1" w:styleId="-2312">
    <w:name w:val="彩色列表 - 着色 2312"/>
    <w:basedOn w:val="a3"/>
    <w:uiPriority w:val="72"/>
    <w:semiHidden/>
    <w:qFormat/>
    <w:rPr>
      <w:rFonts w:ascii="Calibri" w:eastAsia="宋体" w:hAnsi="Calibri" w:cs="Calibri"/>
    </w:rPr>
    <w:tblPr/>
    <w:tblStylePr w:type="band1Horz">
      <w:tblPr/>
      <w:tcPr>
        <w:shd w:val="clear" w:color="auto" w:fill="F2DBDB"/>
      </w:tcPr>
    </w:tblStylePr>
  </w:style>
  <w:style w:type="table" w:customStyle="1" w:styleId="1-3412">
    <w:name w:val="中等深浅网格 1 - 着色 3412"/>
    <w:basedOn w:val="a3"/>
    <w:uiPriority w:val="67"/>
    <w:semiHidden/>
    <w:qFormat/>
    <w:rPr>
      <w:rFonts w:ascii="Calibri" w:eastAsia="宋体" w:hAnsi="Calibri" w:cs="Calibri"/>
    </w:rPr>
    <w:tbl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style>
  <w:style w:type="table" w:customStyle="1" w:styleId="2-1412">
    <w:name w:val="中等深浅网格 2 - 着色 1412"/>
    <w:basedOn w:val="a3"/>
    <w:uiPriority w:val="68"/>
    <w:semiHidden/>
    <w:qFormat/>
    <w:rPr>
      <w:rFonts w:ascii="Calibri" w:eastAsia="宋体" w:hAnsi="Calibri" w:cs="Calibri"/>
    </w:rPr>
    <w:tblPr/>
    <w:tblStylePr w:type="band1Horz">
      <w:tblPr/>
      <w:tcPr>
        <w:tcBorders>
          <w:insideH w:val="single" w:sz="6" w:space="0" w:color="auto"/>
          <w:insideV w:val="single" w:sz="6" w:space="0" w:color="auto"/>
        </w:tcBorders>
        <w:shd w:val="clear" w:color="auto" w:fill="A7BFDE"/>
      </w:tcPr>
    </w:tblStylePr>
  </w:style>
  <w:style w:type="table" w:customStyle="1" w:styleId="716">
    <w:name w:val="典雅型7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710">
    <w:name w:val="网格型 57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51c">
    <w:name w:val="定制网格型51"/>
    <w:basedOn w:val="a3"/>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d">
    <w:name w:val="奔奔团招股书格式5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619">
    <w:name w:val="招股书格式6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513">
    <w:name w:val="典雅型15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511">
    <w:name w:val="网格型 515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81">
    <w:name w:val="网格型118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7">
    <w:name w:val="奔奔团招股书格式14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418">
    <w:name w:val="招股书格式14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511">
    <w:name w:val="典雅型25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310">
    <w:name w:val="网格型 523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1b">
    <w:name w:val="定制网格型13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a">
    <w:name w:val="奔奔团招股书格式23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31b">
    <w:name w:val="招股书格式23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411">
    <w:name w:val="典雅型114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31">
    <w:name w:val="网格型 5113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91">
    <w:name w:val="网格型119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奔奔团招股书格式113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314">
    <w:name w:val="招股书格式113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31c">
    <w:name w:val="定制网格型23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7">
    <w:name w:val="典雅型34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210">
    <w:name w:val="网格型 53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11f1">
    <w:name w:val="定制网格型3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c">
    <w:name w:val="奔奔团招股书格式3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31b">
    <w:name w:val="招股书格式33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311">
    <w:name w:val="典雅型123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21">
    <w:name w:val="网格型 512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410">
    <w:name w:val="网格型124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3">
    <w:name w:val="奔奔团招股书格式12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214">
    <w:name w:val="招股书格式122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310">
    <w:name w:val="典雅型213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21">
    <w:name w:val="网格型 521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17">
    <w:name w:val="定制网格型112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5">
    <w:name w:val="奔奔团招股书格式21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216">
    <w:name w:val="招股书格式212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210">
    <w:name w:val="典雅型111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21">
    <w:name w:val="网格型 5111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41">
    <w:name w:val="网格型1114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奔奔团招股书格式1112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214">
    <w:name w:val="招股书格式1112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18">
    <w:name w:val="定制网格型21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网格型2181"/>
    <w:basedOn w:val="a3"/>
    <w:uiPriority w:val="39"/>
    <w:qFormat/>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7">
    <w:name w:val="典雅型4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4210">
    <w:name w:val="网格型 542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119">
    <w:name w:val="定制网格型4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a">
    <w:name w:val="奔奔团招股书格式4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411b">
    <w:name w:val="招股书格式41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3211">
    <w:name w:val="典雅型13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311">
    <w:name w:val="网格型 513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341">
    <w:name w:val="网格型134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4">
    <w:name w:val="奔奔团招股书格式13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3115">
    <w:name w:val="招股书格式13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2113">
    <w:name w:val="典雅型22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211">
    <w:name w:val="网格型 522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17">
    <w:name w:val="定制网格型12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4">
    <w:name w:val="奔奔团招股书格式22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2115">
    <w:name w:val="招股书格式221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2211">
    <w:name w:val="典雅型1122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211">
    <w:name w:val="网格型 5112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241">
    <w:name w:val="网格型1124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4">
    <w:name w:val="奔奔团招股书格式112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2115">
    <w:name w:val="招股书格式112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31116">
    <w:name w:val="典雅型3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3111">
    <w:name w:val="网格型 53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22116">
    <w:name w:val="定制网格型22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7">
    <w:name w:val="奔奔团招股书格式3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31118">
    <w:name w:val="招股书格式311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110">
    <w:name w:val="典雅型12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2111">
    <w:name w:val="网格型 512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2131">
    <w:name w:val="网格型1213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3">
    <w:name w:val="奔奔团招股书格式12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21114">
    <w:name w:val="招股书格式121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211110">
    <w:name w:val="典雅型21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21111">
    <w:name w:val="网格型 521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15">
    <w:name w:val="定制网格型11111"/>
    <w:basedOn w:val="a3"/>
    <w:uiPriority w:val="5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3">
    <w:name w:val="奔奔团招股书格式21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211114">
    <w:name w:val="招股书格式21111"/>
    <w:basedOn w:val="affff"/>
    <w:uiPriority w:val="99"/>
    <w:qFormat/>
    <w:pPr>
      <w:jc w:val="both"/>
    </w:pPr>
    <w:rPr>
      <w:rFonts w:ascii="Calibri" w:eastAsia="宋体"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111110">
    <w:name w:val="典雅型111111"/>
    <w:basedOn w:val="a3"/>
    <w:qFormat/>
    <w:pPr>
      <w:widowControl w:val="0"/>
      <w:jc w:val="both"/>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111111">
    <w:name w:val="网格型 5111111"/>
    <w:basedOn w:val="a3"/>
    <w:qFormat/>
    <w:pPr>
      <w:widowControl w:val="0"/>
      <w:jc w:val="both"/>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31">
    <w:name w:val="网格型111131"/>
    <w:basedOn w:val="a3"/>
    <w:uiPriority w:val="39"/>
    <w:qFormat/>
    <w:pPr>
      <w:widowControl w:val="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3">
    <w:name w:val="奔奔团招股书格式111111"/>
    <w:basedOn w:val="a3"/>
    <w:qFormat/>
    <w:rPr>
      <w:rFonts w:ascii="Times New Roman" w:hAnsi="Times New Roman" w:cs="Times New Roman"/>
    </w:rPr>
    <w:tblPr>
      <w:tblBorders>
        <w:top w:val="thinThickSmallGap" w:sz="24" w:space="0" w:color="auto"/>
        <w:bottom w:val="thickThinSmallGap" w:sz="24" w:space="0" w:color="auto"/>
        <w:insideH w:val="single" w:sz="4" w:space="0" w:color="auto"/>
        <w:insideV w:val="single" w:sz="4" w:space="0" w:color="auto"/>
      </w:tblBorders>
    </w:tblPr>
  </w:style>
  <w:style w:type="table" w:customStyle="1" w:styleId="1111114">
    <w:name w:val="招股书格式111111"/>
    <w:basedOn w:val="affff"/>
    <w:uiPriority w:val="99"/>
    <w:qFormat/>
    <w:pPr>
      <w:jc w:val="both"/>
    </w:pPr>
    <w:rPr>
      <w:rFonts w:ascii="Calibri" w:hAnsi="Calibri" w:cs="Times New Roman"/>
    </w:rPr>
    <w:tblPr>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Pr>
    <w:trPr>
      <w:tblHeader/>
    </w:trPr>
    <w:tcPr>
      <w:vAlign w:val="center"/>
    </w:tcPr>
  </w:style>
  <w:style w:type="table" w:customStyle="1" w:styleId="121e">
    <w:name w:val="预案表格121"/>
    <w:basedOn w:val="a3"/>
    <w:uiPriority w:val="99"/>
    <w:qFormat/>
    <w:rPr>
      <w:rFonts w:ascii="Calibri" w:eastAsia="宋体" w:hAnsi="Calibri" w:cs="Times New Roman"/>
    </w:rPr>
    <w:tblPr>
      <w:jc w:val="center"/>
      <w:tblBorders>
        <w:top w:val="thinThickSmallGap" w:sz="12" w:space="0" w:color="auto"/>
        <w:bottom w:val="thickThinSmallGap" w:sz="12" w:space="0" w:color="auto"/>
        <w:insideH w:val="single" w:sz="4" w:space="0" w:color="auto"/>
        <w:insideV w:val="single" w:sz="4" w:space="0" w:color="auto"/>
      </w:tblBorders>
    </w:tblPr>
    <w:trPr>
      <w:jc w:val="center"/>
    </w:trPr>
    <w:tcPr>
      <w:vAlign w:val="center"/>
    </w:tcPr>
    <w:tblStylePr w:type="firstRow">
      <w:rPr>
        <w:rFonts w:ascii="Times New Roman" w:eastAsia="PMingLiU" w:hAnsi="Times New Roman"/>
        <w:b w:val="0"/>
        <w:i w:val="0"/>
        <w:caps w:val="0"/>
        <w:smallCaps w:val="0"/>
        <w:strike w:val="0"/>
        <w:dstrike w:val="0"/>
        <w:vanish w:val="0"/>
        <w:sz w:val="21"/>
        <w:vertAlign w:val="baseline"/>
      </w:rPr>
    </w:tblStylePr>
  </w:style>
  <w:style w:type="table" w:customStyle="1" w:styleId="3101">
    <w:name w:val="网格型310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网格型49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
    <w:name w:val="网格型57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网格型316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网格型671"/>
    <w:basedOn w:val="a3"/>
    <w:uiPriority w:val="59"/>
    <w:qFormat/>
    <w:rPr>
      <w:rFonts w:ascii="Times New Roman" w:eastAsia="宋体"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彩色型 251"/>
    <w:basedOn w:val="a3"/>
    <w:qFormat/>
    <w:pPr>
      <w:widowControl w:val="0"/>
      <w:jc w:val="both"/>
    </w:pPr>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131c">
    <w:name w:val="简明型 131"/>
    <w:basedOn w:val="a3"/>
    <w:qFormat/>
    <w:pPr>
      <w:widowControl w:val="0"/>
      <w:jc w:val="both"/>
    </w:pPr>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8511">
    <w:name w:val="网格型 851"/>
    <w:basedOn w:val="a3"/>
    <w:qFormat/>
    <w:pPr>
      <w:widowControl w:val="0"/>
      <w:jc w:val="both"/>
    </w:pPr>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321">
    <w:name w:val="浅色列表 - 着色 321"/>
    <w:basedOn w:val="a3"/>
    <w:uiPriority w:val="61"/>
    <w:qFormat/>
    <w:rPr>
      <w:rFonts w:ascii="Calibri" w:eastAsia="宋体" w:hAnsi="Calibri" w:cs="Times New Roman"/>
      <w:sz w:val="22"/>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521">
    <w:name w:val="中等深浅底纹 2 - 着色 521"/>
    <w:basedOn w:val="a3"/>
    <w:uiPriority w:val="64"/>
    <w:qFormat/>
    <w:rPr>
      <w:rFonts w:ascii="Calibri" w:eastAsia="宋体" w:hAnsi="Calibri" w:cs="Times New Roman"/>
      <w:sz w:val="22"/>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e">
    <w:name w:val="附注表格21"/>
    <w:basedOn w:val="a3"/>
    <w:qFormat/>
    <w:pPr>
      <w:jc w:val="center"/>
    </w:pPr>
    <w:rPr>
      <w:rFonts w:ascii="Times New Roman" w:eastAsia="宋体" w:hAnsi="Times New Roman" w:cs="Times New Roman"/>
      <w:szCs w:val="21"/>
    </w:rPr>
    <w:tblPr>
      <w:tblBorders>
        <w:top w:val="single" w:sz="4" w:space="0" w:color="auto"/>
        <w:bottom w:val="single" w:sz="4" w:space="0" w:color="auto"/>
        <w:insideH w:val="dotted" w:sz="4" w:space="0" w:color="auto"/>
        <w:insideV w:val="dotted" w:sz="4" w:space="0" w:color="auto"/>
      </w:tblBorders>
    </w:tblPr>
    <w:trPr>
      <w:tblHeader/>
    </w:trPr>
  </w:style>
  <w:style w:type="table" w:customStyle="1" w:styleId="7610">
    <w:name w:val="网格型761"/>
    <w:basedOn w:val="a3"/>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e">
    <w:name w:val="表格主题51"/>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f">
    <w:name w:val="彩色型 121"/>
    <w:basedOn w:val="a3"/>
    <w:qFormat/>
    <w:rPr>
      <w:rFonts w:ascii="Times New Roman" w:eastAsia="宋体"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customStyle="1" w:styleId="21119">
    <w:name w:val="彩色型 2111"/>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511">
    <w:name w:val="彩色型 351"/>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5117">
    <w:name w:val="典雅型511"/>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610">
    <w:name w:val="古典型 161"/>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513">
    <w:name w:val="古典型 251"/>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512">
    <w:name w:val="古典型 35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511">
    <w:name w:val="古典型 45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11218">
    <w:name w:val="简明型 1121"/>
    <w:basedOn w:val="a3"/>
    <w:qFormat/>
    <w:rPr>
      <w:rFonts w:ascii="Times New Roman" w:eastAsia="宋体"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customStyle="1" w:styleId="2514">
    <w:name w:val="简明型 25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513">
    <w:name w:val="简明型 35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f0">
    <w:name w:val="精巧型 121"/>
    <w:basedOn w:val="a3"/>
    <w:qFormat/>
    <w:rPr>
      <w:rFonts w:ascii="Times New Roman" w:eastAsia="宋体" w:hAnsi="Times New Roman" w:cs="Times New Roman"/>
    </w:rPr>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d">
    <w:name w:val="精巧型 221"/>
    <w:basedOn w:val="a3"/>
    <w:qFormat/>
    <w:rPr>
      <w:rFonts w:ascii="Times New Roman" w:eastAsia="宋体"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121f1">
    <w:name w:val="表三维效果 121"/>
    <w:basedOn w:val="a3"/>
    <w:uiPriority w:val="99"/>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221e">
    <w:name w:val="表三维效果 221"/>
    <w:basedOn w:val="a3"/>
    <w:uiPriority w:val="99"/>
    <w:semiHidden/>
    <w:qFormat/>
    <w:rPr>
      <w:rFonts w:ascii="Times New Roman" w:eastAsia="宋体" w:hAnsi="Times New Roman" w:cs="Times New Roman"/>
    </w:rP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321d">
    <w:name w:val="表三维效果 321"/>
    <w:basedOn w:val="a3"/>
    <w:uiPriority w:val="99"/>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514">
    <w:name w:val="列表型 151"/>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515">
    <w:name w:val="列表型 25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514">
    <w:name w:val="列表型 351"/>
    <w:basedOn w:val="a3"/>
    <w:semiHidden/>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512">
    <w:name w:val="列表型 45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5215">
    <w:name w:val="列表型 521"/>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customStyle="1" w:styleId="6215">
    <w:name w:val="列表型 621"/>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customStyle="1" w:styleId="7511">
    <w:name w:val="列表型 751"/>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512">
    <w:name w:val="列表型 85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customStyle="1" w:styleId="51f">
    <w:name w:val="流行型5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515">
    <w:name w:val="竖列型 15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516">
    <w:name w:val="竖列型 25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515">
    <w:name w:val="竖列型 351"/>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513">
    <w:name w:val="竖列型 45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3">
    <w:name w:val="竖列型 55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131d">
    <w:name w:val="网格型 131"/>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221f">
    <w:name w:val="网格型 221"/>
    <w:basedOn w:val="a3"/>
    <w:qFormat/>
    <w:rPr>
      <w:rFonts w:ascii="Times New Roman" w:eastAsia="宋体"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customStyle="1" w:styleId="321e">
    <w:name w:val="网格型 321"/>
    <w:basedOn w:val="a3"/>
    <w:qFormat/>
    <w:rPr>
      <w:rFonts w:ascii="Times New Roman" w:eastAsia="宋体"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4514">
    <w:name w:val="网格型 45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55210">
    <w:name w:val="网格型 552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6511">
    <w:name w:val="网格型 65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7215">
    <w:name w:val="网格型 72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customStyle="1" w:styleId="81110">
    <w:name w:val="网格型 8111"/>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516">
    <w:name w:val="网页型 15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517">
    <w:name w:val="网页型 25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516">
    <w:name w:val="网页型 351"/>
    <w:basedOn w:val="a3"/>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51f0">
    <w:name w:val="专业型5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251">
    <w:name w:val="中等深浅底纹 1 - 着色 251"/>
    <w:basedOn w:val="a3"/>
    <w:uiPriority w:val="63"/>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1-311">
    <w:name w:val="中等深浅网格 1 - 着色 311"/>
    <w:basedOn w:val="a3"/>
    <w:uiPriority w:val="67"/>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2-151">
    <w:name w:val="中等深浅网格 2 - 着色 151"/>
    <w:basedOn w:val="a3"/>
    <w:uiPriority w:val="68"/>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FFF"/>
      </w:tcPr>
    </w:tblStylePr>
  </w:style>
  <w:style w:type="table" w:customStyle="1" w:styleId="-251">
    <w:name w:val="彩色列表 - 着色 251"/>
    <w:basedOn w:val="a3"/>
    <w:uiPriority w:val="72"/>
    <w:qFormat/>
    <w:rPr>
      <w:rFonts w:ascii="Calibri" w:eastAsia="宋体" w:hAnsi="Calibri" w:cs="Times New Roman"/>
      <w:color w:val="000000"/>
    </w:rP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KWTable31">
    <w:name w:val="K&amp;W Table31"/>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Symbol" w:hAnsi="Symbol"/>
        <w:b/>
        <w:sz w:val="20"/>
      </w:rPr>
      <w:tblPr/>
      <w:tcPr>
        <w:shd w:val="clear" w:color="auto" w:fill="E0E0E0"/>
      </w:tcPr>
    </w:tblStylePr>
  </w:style>
  <w:style w:type="table" w:customStyle="1" w:styleId="1431">
    <w:name w:val="网格型1431"/>
    <w:basedOn w:val="a3"/>
    <w:uiPriority w:val="59"/>
    <w:qFormat/>
    <w:pPr>
      <w:spacing w:before="120" w:after="120" w:line="240" w:lineRule="atLeast"/>
    </w:pPr>
    <w:rPr>
      <w:rFonts w:ascii="Arial" w:eastAsia="宋体" w:hAnsi="Arial" w:cs="Times New Roman"/>
    </w:rPr>
    <w:tblPr/>
  </w:style>
  <w:style w:type="table" w:customStyle="1" w:styleId="2191">
    <w:name w:val="网格型2191"/>
    <w:basedOn w:val="a3"/>
    <w:uiPriority w:val="59"/>
    <w:qFormat/>
    <w:pPr>
      <w:spacing w:before="120" w:after="120" w:line="240" w:lineRule="atLeast"/>
    </w:pPr>
    <w:rPr>
      <w:rFonts w:ascii="Arial" w:eastAsia="宋体" w:hAnsi="Arial" w:cs="Times New Roman"/>
    </w:rPr>
    <w:tblPr/>
  </w:style>
  <w:style w:type="table" w:customStyle="1" w:styleId="31210">
    <w:name w:val="彩色型 3121"/>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14110">
    <w:name w:val="典雅型1411"/>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412">
    <w:name w:val="古典型 1141"/>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111a">
    <w:name w:val="古典型 2111"/>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1119">
    <w:name w:val="古典型 311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1110">
    <w:name w:val="古典型 411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111b">
    <w:name w:val="简明型 211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111a">
    <w:name w:val="简明型 31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1219">
    <w:name w:val="立体型 1121"/>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1215">
    <w:name w:val="立体型 3121"/>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111b">
    <w:name w:val="列表型 1111"/>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111c">
    <w:name w:val="列表型 211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111b">
    <w:name w:val="列表型 3111"/>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1115">
    <w:name w:val="列表型 41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1210">
    <w:name w:val="列表型 7121"/>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1113">
    <w:name w:val="列表型 811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111f1">
    <w:name w:val="流行型11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121a">
    <w:name w:val="竖列型 112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1217">
    <w:name w:val="竖列型 212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111c">
    <w:name w:val="竖列型 3111"/>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1116">
    <w:name w:val="竖列型 411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4">
    <w:name w:val="竖列型 511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1117">
    <w:name w:val="网格型 411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1110">
    <w:name w:val="网格型 61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1111c">
    <w:name w:val="网页型 111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218">
    <w:name w:val="网页型 212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1d">
    <w:name w:val="网页型 3111"/>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1f2">
    <w:name w:val="专业型111"/>
    <w:basedOn w:val="a3"/>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31141">
    <w:name w:val="网格型31141"/>
    <w:basedOn w:val="a3"/>
    <w:uiPriority w:val="59"/>
    <w:qFormat/>
    <w:pPr>
      <w:spacing w:before="120" w:after="120" w:line="240" w:lineRule="atLeast"/>
    </w:pPr>
    <w:rPr>
      <w:rFonts w:ascii="Arial" w:eastAsia="宋体" w:hAnsi="Arial" w:cs="Times New Roman"/>
    </w:rPr>
    <w:tblPr/>
  </w:style>
  <w:style w:type="table" w:customStyle="1" w:styleId="22117">
    <w:name w:val="彩色型 2211"/>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2113">
    <w:name w:val="彩色型 3211"/>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23114">
    <w:name w:val="典雅型2311"/>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2215">
    <w:name w:val="古典型 1221"/>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2118">
    <w:name w:val="古典型 2211"/>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2114">
    <w:name w:val="古典型 321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2110">
    <w:name w:val="古典型 421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2211">
    <w:name w:val="简明型 222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2115">
    <w:name w:val="简明型 32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2118">
    <w:name w:val="立体型 1211"/>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2116">
    <w:name w:val="立体型 3211"/>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2119">
    <w:name w:val="列表型 1211"/>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2119">
    <w:name w:val="列表型 221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2117">
    <w:name w:val="列表型 3211"/>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2113">
    <w:name w:val="列表型 42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2110">
    <w:name w:val="列表型 7211"/>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2211">
    <w:name w:val="列表型 822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211f1">
    <w:name w:val="流行型21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211a">
    <w:name w:val="竖列型 121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211a">
    <w:name w:val="竖列型 221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2211">
    <w:name w:val="竖列型 3221"/>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2114">
    <w:name w:val="竖列型 421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3">
    <w:name w:val="竖列型 521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2115">
    <w:name w:val="网格型 421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2211">
    <w:name w:val="网格型 622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2113">
    <w:name w:val="网格型 8211"/>
    <w:basedOn w:val="a3"/>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211b">
    <w:name w:val="网页型 121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211b">
    <w:name w:val="网页型 221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2118">
    <w:name w:val="网页型 3211"/>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11f2">
    <w:name w:val="专业型21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TableNormal111">
    <w:name w:val="Table Normal111"/>
    <w:uiPriority w:v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KWTable121">
    <w:name w:val="K&amp;W Table121"/>
    <w:basedOn w:val="affff"/>
    <w:qFormat/>
    <w:pPr>
      <w:spacing w:before="60" w:after="60"/>
      <w:contextualSpacing/>
    </w:pPr>
    <w:rPr>
      <w:rFonts w:ascii="Arial" w:eastAsia="楷体_GB2312" w:hAnsi="Arial"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Arial" w:hAnsi="Arial"/>
        <w:b/>
        <w:sz w:val="20"/>
      </w:rPr>
      <w:tblPr/>
      <w:tcPr>
        <w:shd w:val="clear" w:color="auto" w:fill="E0E0E0"/>
      </w:tcPr>
    </w:tblStylePr>
  </w:style>
  <w:style w:type="table" w:customStyle="1" w:styleId="23211">
    <w:name w:val="彩色型 2321"/>
    <w:basedOn w:val="a3"/>
    <w:semiHidden/>
    <w:qFormat/>
    <w:rPr>
      <w:rFonts w:ascii="Times New Roman" w:eastAsia="宋体"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customStyle="1" w:styleId="33113">
    <w:name w:val="彩色型 3311"/>
    <w:basedOn w:val="a3"/>
    <w:semiHidden/>
    <w:qFormat/>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customStyle="1" w:styleId="32119">
    <w:name w:val="典雅型3211"/>
    <w:basedOn w:val="a3"/>
    <w:qFormat/>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3116">
    <w:name w:val="古典型 1311"/>
    <w:basedOn w:val="a3"/>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23212">
    <w:name w:val="古典型 2321"/>
    <w:basedOn w:val="a3"/>
    <w:semiHidden/>
    <w:qFormat/>
    <w:rPr>
      <w:rFonts w:ascii="Times New Roman" w:eastAsia="宋体"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customStyle="1" w:styleId="33114">
    <w:name w:val="古典型 3311"/>
    <w:basedOn w:val="a3"/>
    <w:semiHidden/>
    <w:qFormat/>
    <w:rPr>
      <w:rFonts w:ascii="Times New Roman" w:eastAsia="宋体"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customStyle="1" w:styleId="43110">
    <w:name w:val="古典型 4311"/>
    <w:basedOn w:val="a3"/>
    <w:semiHidden/>
    <w:qFormat/>
    <w:rPr>
      <w:rFonts w:ascii="Times New Roman" w:eastAsia="宋体"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customStyle="1" w:styleId="23213">
    <w:name w:val="简明型 2321"/>
    <w:basedOn w:val="a3"/>
    <w:semiHidden/>
    <w:qFormat/>
    <w:rPr>
      <w:rFonts w:ascii="Times New Roman" w:eastAsia="宋体" w:hAnsi="Times New Roman" w:cs="Times New Roman"/>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customStyle="1" w:styleId="33115">
    <w:name w:val="简明型 33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customStyle="1" w:styleId="13117">
    <w:name w:val="立体型 1311"/>
    <w:basedOn w:val="a3"/>
    <w:semiHidden/>
    <w:qFormat/>
    <w:rPr>
      <w:rFonts w:ascii="Times New Roman" w:eastAsia="宋体" w:hAnsi="Times New Roman" w:cs="Times New Roman"/>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customStyle="1" w:styleId="33116">
    <w:name w:val="立体型 3311"/>
    <w:basedOn w:val="a3"/>
    <w:semiHidden/>
    <w:qFormat/>
    <w:rPr>
      <w:rFonts w:ascii="Times New Roman" w:eastAsia="宋体" w:hAnsi="Times New Roman" w:cs="Times New Roman"/>
    </w:rPr>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customStyle="1" w:styleId="13118">
    <w:name w:val="列表型 1311"/>
    <w:basedOn w:val="a3"/>
    <w:semiHidden/>
    <w:qFormat/>
    <w:rPr>
      <w:rFonts w:ascii="Times New Roman" w:eastAsia="宋体" w:hAnsi="Times New Roman" w:cs="Times New Roman"/>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23115">
    <w:name w:val="列表型 2311"/>
    <w:basedOn w:val="a3"/>
    <w:semiHidden/>
    <w:qFormat/>
    <w:rPr>
      <w:rFonts w:ascii="Times New Roman" w:eastAsia="宋体" w:hAnsi="Times New Roman" w:cs="Times New Roman"/>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customStyle="1" w:styleId="33117">
    <w:name w:val="列表型 3311"/>
    <w:basedOn w:val="a3"/>
    <w:qFormat/>
    <w:rPr>
      <w:rFonts w:ascii="Times New Roman" w:eastAsia="宋体"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customStyle="1" w:styleId="43113">
    <w:name w:val="列表型 431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customStyle="1" w:styleId="73111">
    <w:name w:val="列表型 7311"/>
    <w:basedOn w:val="a3"/>
    <w:semiHidden/>
    <w:qFormat/>
    <w:rPr>
      <w:rFonts w:ascii="Times New Roman" w:eastAsia="宋体" w:hAnsi="Times New Roman" w:cs="Times New Roma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customStyle="1" w:styleId="83211">
    <w:name w:val="列表型 832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style>
  <w:style w:type="table" w:customStyle="1" w:styleId="311f2">
    <w:name w:val="流行型311"/>
    <w:basedOn w:val="a3"/>
    <w:semiHidden/>
    <w:qFormat/>
    <w:rPr>
      <w:rFonts w:ascii="Times New Roman" w:eastAsia="宋体" w:hAnsi="Times New Roman" w:cs="Times New Roman"/>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customStyle="1" w:styleId="13119">
    <w:name w:val="竖列型 1311"/>
    <w:basedOn w:val="a3"/>
    <w:semiHidden/>
    <w:qFormat/>
    <w:rPr>
      <w:rFonts w:ascii="Times New Roman" w:eastAsia="宋体" w:hAnsi="Times New Roman" w:cs="Times New Roman"/>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23116">
    <w:name w:val="竖列型 2311"/>
    <w:basedOn w:val="a3"/>
    <w:semiHidden/>
    <w:qFormat/>
    <w:rPr>
      <w:rFonts w:ascii="Times New Roman" w:eastAsia="宋体" w:hAnsi="Times New Roman" w:cs="Times New Roman"/>
      <w:b/>
      <w:bC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customStyle="1" w:styleId="33211">
    <w:name w:val="竖列型 3321"/>
    <w:basedOn w:val="a3"/>
    <w:semiHidden/>
    <w:qFormat/>
    <w:rPr>
      <w:rFonts w:ascii="Times New Roman" w:eastAsia="宋体" w:hAnsi="Times New Roman" w:cs="Times New Roman"/>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customStyle="1" w:styleId="43114">
    <w:name w:val="竖列型 4311"/>
    <w:basedOn w:val="a3"/>
    <w:semiHidden/>
    <w:qFormat/>
    <w:rPr>
      <w:rFonts w:ascii="Times New Roman" w:eastAsia="宋体" w:hAnsi="Times New Roman" w:cs="Times New Roman"/>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2">
    <w:name w:val="竖列型 5311"/>
    <w:basedOn w:val="a3"/>
    <w:semiHidden/>
    <w:qFormat/>
    <w:rPr>
      <w:rFonts w:ascii="Times New Roman" w:eastAsia="宋体" w:hAnsi="Times New Roman" w:cs="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43115">
    <w:name w:val="网格型 4311"/>
    <w:basedOn w:val="a3"/>
    <w:semiHidden/>
    <w:qFormat/>
    <w:rPr>
      <w:rFonts w:ascii="Times New Roman" w:eastAsia="宋体"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customStyle="1" w:styleId="63211">
    <w:name w:val="网格型 6321"/>
    <w:basedOn w:val="a3"/>
    <w:semiHidden/>
    <w:qFormat/>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83112">
    <w:name w:val="网格型 8311"/>
    <w:basedOn w:val="a3"/>
    <w:semiHidden/>
    <w:qFormat/>
    <w:rPr>
      <w:rFonts w:ascii="Times New Roman" w:eastAsia="宋体"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customStyle="1" w:styleId="1311a">
    <w:name w:val="网页型 1311"/>
    <w:basedOn w:val="a3"/>
    <w:semiHidden/>
    <w:qFormat/>
    <w:rPr>
      <w:rFonts w:ascii="Times New Roman" w:eastAsia="宋体"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23117">
    <w:name w:val="网页型 2311"/>
    <w:basedOn w:val="a3"/>
    <w:semiHidden/>
    <w:qFormat/>
    <w:rPr>
      <w:rFonts w:ascii="Times New Roman" w:eastAsia="宋体"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3118">
    <w:name w:val="网页型 3311"/>
    <w:basedOn w:val="a3"/>
    <w:semiHidden/>
    <w:qFormat/>
    <w:rPr>
      <w:rFonts w:ascii="Times New Roman" w:eastAsia="宋体"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311f3">
    <w:name w:val="专业型311"/>
    <w:basedOn w:val="a3"/>
    <w:semiHidden/>
    <w:qFormat/>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customStyle="1" w:styleId="-1151">
    <w:name w:val="浅色列表 - 强调文字颜色 115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51">
    <w:name w:val="中等深浅底纹 1 - 强调文字颜色 115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3310">
    <w:name w:val="网格型11331"/>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3">
    <w:name w:val="样式541"/>
    <w:basedOn w:val="a3"/>
    <w:uiPriority w:val="99"/>
    <w:qFormat/>
    <w:rPr>
      <w:rFonts w:ascii="Calibri" w:eastAsia="宋体" w:hAnsi="Calibri" w:cs="Times New Roman"/>
    </w:rPr>
    <w:tblPr/>
  </w:style>
  <w:style w:type="table" w:customStyle="1" w:styleId="21141">
    <w:name w:val="网格型2114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d">
    <w:name w:val="表格模式4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4161">
    <w:name w:val="网格型416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0">
    <w:name w:val="网格型12221"/>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浅色列表 - 强调文字颜色 1112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121">
    <w:name w:val="中等深浅底纹 1 - 强调文字颜色 1112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241">
    <w:name w:val="网格型224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31">
    <w:name w:val="网格型311131"/>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典雅型1131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1116">
    <w:name w:val="古典型 11111"/>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1221">
    <w:name w:val="网格型111221"/>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5">
    <w:name w:val="样式5111"/>
    <w:basedOn w:val="a3"/>
    <w:uiPriority w:val="99"/>
    <w:qFormat/>
    <w:rPr>
      <w:rFonts w:ascii="Calibri" w:eastAsia="宋体" w:hAnsi="Calibri" w:cs="Times New Roman"/>
    </w:rPr>
    <w:tblPr/>
  </w:style>
  <w:style w:type="table" w:customStyle="1" w:styleId="61115">
    <w:name w:val="样式6111"/>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111f3">
    <w:name w:val="表格模式11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51610">
    <w:name w:val="网格型516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0">
    <w:name w:val="网格型13131"/>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浅色列表 - 强调文字颜色 1122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211">
    <w:name w:val="中等深浅底纹 1 - 强调文字颜色 1121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341">
    <w:name w:val="网格型234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网格型3241"/>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典雅型1221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2116">
    <w:name w:val="古典型 11211"/>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12131">
    <w:name w:val="网格型112131"/>
    <w:basedOn w:val="a3"/>
    <w:uiPriority w:val="59"/>
    <w:qFormat/>
    <w:pPr>
      <w:widowControl w:val="0"/>
      <w:spacing w:beforeLines="50" w:line="360" w:lineRule="auto"/>
      <w:ind w:firstLine="482"/>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4">
    <w:name w:val="样式5211"/>
    <w:basedOn w:val="a3"/>
    <w:uiPriority w:val="99"/>
    <w:qFormat/>
    <w:rPr>
      <w:rFonts w:ascii="Calibri" w:eastAsia="宋体" w:hAnsi="Calibri" w:cs="Times New Roman"/>
    </w:rPr>
    <w:tblPr/>
  </w:style>
  <w:style w:type="table" w:customStyle="1" w:styleId="21241">
    <w:name w:val="网格型2124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3">
    <w:name w:val="样式6211"/>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211f3">
    <w:name w:val="表格模式21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6161">
    <w:name w:val="网格型6161"/>
    <w:basedOn w:val="a3"/>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8">
    <w:name w:val="典雅型4111"/>
    <w:basedOn w:val="a3"/>
    <w:qFormat/>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4113">
    <w:name w:val="古典型 1411"/>
    <w:basedOn w:val="a3"/>
    <w:qFormat/>
    <w:pPr>
      <w:widowControl w:val="0"/>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14121">
    <w:name w:val="网格型14121"/>
    <w:basedOn w:val="a3"/>
    <w:uiPriority w:val="59"/>
    <w:qFormat/>
    <w:pPr>
      <w:widowControl w:val="0"/>
      <w:jc w:val="both"/>
    </w:pPr>
    <w:rPr>
      <w:rFonts w:ascii="Times New Roman" w:eastAsia="宋体"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浅色列表 - 强调文字颜色 11311"/>
    <w:basedOn w:val="a3"/>
    <w:uiPriority w:val="61"/>
    <w:qFormat/>
    <w:rPr>
      <w:rFonts w:ascii="Calibri" w:eastAsia="宋体" w:hAnsi="Calibri" w:cs="Times New Roman"/>
    </w:rPr>
    <w:tblPr>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311">
    <w:name w:val="中等深浅底纹 1 - 强调文字颜色 11311"/>
    <w:basedOn w:val="a3"/>
    <w:uiPriority w:val="63"/>
    <w:qFormat/>
    <w:rPr>
      <w:rFonts w:ascii="Calibri" w:eastAsia="宋体" w:hAnsi="Calibri" w:cs="Times New Roma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2431">
    <w:name w:val="网格型2431"/>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网格型3341"/>
    <w:basedOn w:val="a3"/>
    <w:uiPriority w:val="59"/>
    <w:qFormat/>
    <w:pPr>
      <w:widowControl w:val="0"/>
      <w:spacing w:beforeLines="50" w:line="360" w:lineRule="auto"/>
      <w:ind w:firstLine="482"/>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典雅型13121"/>
    <w:basedOn w:val="a3"/>
    <w:qFormat/>
    <w:pPr>
      <w:widowControl w:val="0"/>
      <w:spacing w:beforeLines="50" w:line="360" w:lineRule="auto"/>
      <w:ind w:firstLine="482"/>
      <w:jc w:val="both"/>
    </w:pPr>
    <w:rPr>
      <w:rFonts w:ascii="Times New Roman" w:eastAsia="宋体"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customStyle="1" w:styleId="113211">
    <w:name w:val="古典型 11321"/>
    <w:basedOn w:val="a3"/>
    <w:qFormat/>
    <w:pPr>
      <w:widowControl w:val="0"/>
      <w:spacing w:beforeLines="50" w:line="360" w:lineRule="auto"/>
      <w:ind w:firstLine="482"/>
      <w:jc w:val="both"/>
    </w:pPr>
    <w:rPr>
      <w:rFonts w:ascii="Times New Roman" w:eastAsia="宋体" w:hAnsi="Times New Roman" w:cs="Times New Roman"/>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53113">
    <w:name w:val="样式5311"/>
    <w:basedOn w:val="a3"/>
    <w:uiPriority w:val="99"/>
    <w:qFormat/>
    <w:rPr>
      <w:rFonts w:ascii="Calibri" w:eastAsia="宋体" w:hAnsi="Calibri" w:cs="Times New Roman"/>
    </w:rPr>
    <w:tblPr/>
  </w:style>
  <w:style w:type="table" w:customStyle="1" w:styleId="21331">
    <w:name w:val="网格型213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3">
    <w:name w:val="样式6311"/>
    <w:basedOn w:val="a3"/>
    <w:uiPriority w:val="99"/>
    <w:qFormat/>
    <w:rPr>
      <w:rFonts w:ascii="Calibri" w:eastAsia="宋体" w:hAnsi="Calibri"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style>
  <w:style w:type="table" w:customStyle="1" w:styleId="311f4">
    <w:name w:val="表格模式311"/>
    <w:basedOn w:val="a3"/>
    <w:uiPriority w:val="99"/>
    <w:qFormat/>
    <w:rPr>
      <w:rFonts w:ascii="Times New Roman" w:eastAsia="宋体" w:hAnsi="Times New Roman" w:cs="Times New Roman"/>
    </w:rPr>
    <w:tblP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Pr>
    <w:tcPr>
      <w:vAlign w:val="center"/>
    </w:tcPr>
  </w:style>
  <w:style w:type="table" w:customStyle="1" w:styleId="7141">
    <w:name w:val="网格型714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0">
    <w:name w:val="网格型86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网格型94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网格型104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网格型1531"/>
    <w:basedOn w:val="a3"/>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网格型163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网格型173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
    <w:name w:val="网格型814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网格型1831"/>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网格型1911"/>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网格型2011"/>
    <w:basedOn w:val="a3"/>
    <w:uiPriority w:val="59"/>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网格型2511"/>
    <w:basedOn w:val="a3"/>
    <w:qFormat/>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网格型26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网格型2711"/>
    <w:basedOn w:val="a3"/>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611">
    <w:name w:val="Table Normal611"/>
    <w:uiPriority w:val="2"/>
    <w:semiHidden/>
    <w:qFormat/>
    <w:pPr>
      <w:widowControl w:val="0"/>
    </w:pPr>
    <w:rPr>
      <w:rFonts w:ascii="Calibri" w:eastAsia="Times New Roman" w:hAnsi="Calibri" w:cs="Times New Roman"/>
      <w:sz w:val="22"/>
      <w:lang w:eastAsia="en-US"/>
    </w:rPr>
    <w:tblPr>
      <w:tblCellMar>
        <w:top w:w="0" w:type="dxa"/>
        <w:left w:w="0" w:type="dxa"/>
        <w:bottom w:w="0" w:type="dxa"/>
        <w:right w:w="0" w:type="dxa"/>
      </w:tblCellMar>
    </w:tblPr>
  </w:style>
  <w:style w:type="table" w:customStyle="1" w:styleId="TableNormal211">
    <w:name w:val="Table Normal211"/>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311">
    <w:name w:val="Table Normal311"/>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TableNormal411">
    <w:name w:val="Table Normal411"/>
    <w:uiPriority w:val="2"/>
    <w:semiHidden/>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table" w:customStyle="1" w:styleId="2831">
    <w:name w:val="网格型283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网格型110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网格型343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
    <w:name w:val="网格型4114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0">
    <w:name w:val="网格型5112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网格型29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网格型301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网格型281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11">
    <w:name w:val="网格型2821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41">
    <w:name w:val="网格型6114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9">
    <w:name w:val="表格主题14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241">
    <w:name w:val="网格型424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10">
    <w:name w:val="网格型522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1">
    <w:name w:val="网格型624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f0">
    <w:name w:val="表格主题22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1131">
    <w:name w:val="网格型71131"/>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21">
    <w:name w:val="网格型311112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1">
    <w:name w:val="网格型411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110">
    <w:name w:val="网格型5111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b">
    <w:name w:val="表格主题112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341">
    <w:name w:val="网格型434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211">
    <w:name w:val="网格型532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1">
    <w:name w:val="网格型634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f">
    <w:name w:val="表格主题32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41">
    <w:name w:val="网格型7241"/>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1">
    <w:name w:val="网格型824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41">
    <w:name w:val="网格型3124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41">
    <w:name w:val="网格型4124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210">
    <w:name w:val="网格型5122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41">
    <w:name w:val="网格型6124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6">
    <w:name w:val="表格主题122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4431">
    <w:name w:val="网格型44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111">
    <w:name w:val="网格型54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1">
    <w:name w:val="网格型643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c">
    <w:name w:val="表格主题4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331">
    <w:name w:val="网格型7331"/>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1">
    <w:name w:val="网格型83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1">
    <w:name w:val="网格型313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31">
    <w:name w:val="网格型413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110">
    <w:name w:val="网格型513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1">
    <w:name w:val="网格型6133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b">
    <w:name w:val="表格主题13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9131">
    <w:name w:val="网格型9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21">
    <w:name w:val="网格型12112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网格型22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1">
    <w:name w:val="网格型32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31">
    <w:name w:val="网格型42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110">
    <w:name w:val="网格型521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1">
    <w:name w:val="网格型6213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d">
    <w:name w:val="表格主题21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81131">
    <w:name w:val="网格型81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21">
    <w:name w:val="网格型111112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1">
    <w:name w:val="网格型211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31">
    <w:name w:val="网格型61113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7">
    <w:name w:val="表格主题111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10131">
    <w:name w:val="网格型10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210">
    <w:name w:val="网格型13112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1">
    <w:name w:val="网格型23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31">
    <w:name w:val="网格型33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31">
    <w:name w:val="网格型43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1110">
    <w:name w:val="网格型531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31">
    <w:name w:val="网格型6313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e">
    <w:name w:val="表格主题31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72131">
    <w:name w:val="网格型72131"/>
    <w:basedOn w:val="a3"/>
    <w:uiPriority w:val="59"/>
    <w:qFormat/>
    <w:rPr>
      <w:rFonts w:ascii="Calibri" w:eastAsia="宋体" w:hAnsi="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1">
    <w:name w:val="网格型82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21">
    <w:name w:val="网格型1121121"/>
    <w:basedOn w:val="a3"/>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31">
    <w:name w:val="网格型212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31">
    <w:name w:val="网格型312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31">
    <w:name w:val="网格型412131"/>
    <w:basedOn w:val="a3"/>
    <w:uiPriority w:val="59"/>
    <w:qFormat/>
    <w:rPr>
      <w:rFonts w:ascii="Calibri" w:eastAsia="宋体"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110">
    <w:name w:val="网格型5121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31">
    <w:name w:val="网格型612131"/>
    <w:basedOn w:val="a3"/>
    <w:uiPriority w:val="59"/>
    <w:qFormat/>
    <w:rPr>
      <w:rFonts w:ascii="Calibri" w:eastAsia="宋体" w:hAnsi="Calibri"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5">
    <w:name w:val="表格主题12111"/>
    <w:basedOn w:val="a3"/>
    <w:qFormat/>
    <w:pPr>
      <w:widowControl w:val="0"/>
      <w:jc w:val="center"/>
    </w:pPr>
    <w:rPr>
      <w:rFonts w:ascii="Times New Roman" w:eastAsia="宋体" w:hAnsi="Times New Roman" w:cs="Times New Roman"/>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style>
  <w:style w:type="table" w:customStyle="1" w:styleId="grp31">
    <w:name w:val="grp31"/>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1121c">
    <w:name w:val="网格型 1121"/>
    <w:basedOn w:val="a3"/>
    <w:qFormat/>
    <w:pPr>
      <w:widowControl w:val="0"/>
      <w:jc w:val="both"/>
    </w:pPr>
    <w:rPr>
      <w:rFonts w:ascii="Times New Roman" w:eastAsia="宋体"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customStyle="1" w:styleId="514110">
    <w:name w:val="网格型 51411"/>
    <w:basedOn w:val="a3"/>
    <w:qFormat/>
    <w:pPr>
      <w:widowControl w:val="0"/>
      <w:jc w:val="both"/>
    </w:pPr>
    <w:rPr>
      <w:rFonts w:ascii="Times New Roman" w:eastAsia="宋体"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customStyle="1" w:styleId="35110">
    <w:name w:val="网格型35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110">
    <w:name w:val="网格型114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网格型210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1">
    <w:name w:val="网格型36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0">
    <w:name w:val="网格型45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111">
    <w:name w:val="网格型55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0">
    <w:name w:val="网格型65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0">
    <w:name w:val="网格型74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10">
    <w:name w:val="网格型8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11">
    <w:name w:val="网格型115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1">
    <w:name w:val="网格型21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11">
    <w:name w:val="网格型31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411">
    <w:name w:val="网格型414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111">
    <w:name w:val="网格型51411"/>
    <w:basedOn w:val="a3"/>
    <w:uiPriority w:val="59"/>
    <w:qFormat/>
    <w:rPr>
      <w:rFonts w:ascii="Cambria" w:eastAsia="宋体" w:hAnsi="Cambria"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1">
    <w:name w:val="网格型614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网格型9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1110">
    <w:name w:val="网格型122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0">
    <w:name w:val="网格型2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10">
    <w:name w:val="网格型3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1">
    <w:name w:val="网格型4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110">
    <w:name w:val="网格型622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网格型712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网格型81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111">
    <w:name w:val="网格型1112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网格型211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211">
    <w:name w:val="网格型311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1">
    <w:name w:val="网格型411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211">
    <w:name w:val="网格型6112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网格型10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110">
    <w:name w:val="网格型132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0">
    <w:name w:val="网格型23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10">
    <w:name w:val="网格型33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11">
    <w:name w:val="网格型43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2110">
    <w:name w:val="网格型632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网格型722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0">
    <w:name w:val="网格型8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2110">
    <w:name w:val="网格型1122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1">
    <w:name w:val="网格型21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211">
    <w:name w:val="网格型31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211">
    <w:name w:val="网格型4122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211">
    <w:name w:val="网格型6122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网格型14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1">
    <w:name w:val="网格型15111"/>
    <w:basedOn w:val="a3"/>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
    <w:name w:val="网格型24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11">
    <w:name w:val="网格型34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
    <w:name w:val="网格型44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111">
    <w:name w:val="网格型64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10">
    <w:name w:val="网格型731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10">
    <w:name w:val="网格型83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110">
    <w:name w:val="网格型113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1">
    <w:name w:val="网格型213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111">
    <w:name w:val="网格型313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111">
    <w:name w:val="网格型413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3111">
    <w:name w:val="网格型613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
    <w:name w:val="网格型9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111">
    <w:name w:val="网格型121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网格型2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11">
    <w:name w:val="网格型3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1">
    <w:name w:val="网格型4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1111">
    <w:name w:val="网格型621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网格型7111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1">
    <w:name w:val="网格型8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111">
    <w:name w:val="网格型1111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网格型21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1111">
    <w:name w:val="网格型311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1">
    <w:name w:val="网格型411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1111">
    <w:name w:val="网格型6111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1">
    <w:name w:val="网格型10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1111">
    <w:name w:val="网格型131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1">
    <w:name w:val="网格型23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11">
    <w:name w:val="网格型33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1">
    <w:name w:val="网格型43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1111">
    <w:name w:val="网格型631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11">
    <w:name w:val="网格型721111"/>
    <w:basedOn w:val="a3"/>
    <w:uiPriority w:val="59"/>
    <w:qFormat/>
    <w:rPr>
      <w:rFonts w:ascii="Times New Roman" w:eastAsia="宋体" w:hAnsi="Times New Roman"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11">
    <w:name w:val="网格型8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111">
    <w:name w:val="网格型112111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网格型21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111">
    <w:name w:val="网格型31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1111">
    <w:name w:val="网格型4121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1111">
    <w:name w:val="网格型6121111"/>
    <w:basedOn w:val="a3"/>
    <w:uiPriority w:val="59"/>
    <w:qFormat/>
    <w:rPr>
      <w:rFonts w:ascii="Times New Roman" w:eastAsia="宋体" w:hAnsi="Times New Roman"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网格型161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1">
    <w:name w:val="网格型1711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网格型18111"/>
    <w:basedOn w:val="a3"/>
    <w:uiPriority w:val="59"/>
    <w:qFormat/>
    <w:rPr>
      <w:rFonts w:ascii="Cambria" w:eastAsia="宋体" w:hAnsi="Cambria"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p111">
    <w:name w:val="grp111"/>
    <w:basedOn w:val="affff"/>
    <w:qFormat/>
    <w:pPr>
      <w:widowControl w:val="0"/>
      <w:jc w:val="both"/>
    </w:pPr>
    <w:rPr>
      <w:rFonts w:ascii="Times New Roman" w:eastAsia="宋体" w:hAnsi="Times New Roman" w:cs="Times New Roman"/>
    </w:rPr>
    <w:tblPr>
      <w:tblBorders>
        <w:top w:val="thinThickSmallGap" w:sz="24" w:space="0" w:color="003366"/>
        <w:left w:val="none" w:sz="0" w:space="0" w:color="auto"/>
        <w:bottom w:val="none" w:sz="0" w:space="0" w:color="auto"/>
        <w:right w:val="none" w:sz="0" w:space="0" w:color="auto"/>
        <w:insideH w:val="none" w:sz="0" w:space="0" w:color="auto"/>
        <w:insideV w:val="none" w:sz="0" w:space="0" w:color="auto"/>
      </w:tblBorders>
    </w:tblPr>
  </w:style>
  <w:style w:type="table" w:customStyle="1" w:styleId="2-1211">
    <w:name w:val="中等深浅网格 2 - 着色 1211"/>
    <w:basedOn w:val="a3"/>
    <w:uiPriority w:val="68"/>
    <w:semiHidden/>
    <w:qFormat/>
    <w:rPr>
      <w:rFonts w:ascii="Calibri Light" w:eastAsia="宋体" w:hAnsi="Calibri Light" w:cs="Times New Roman"/>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auto"/>
          <w:insideV w:val="single" w:sz="6" w:space="0" w:color="auto"/>
        </w:tcBorders>
        <w:shd w:val="clear" w:color="auto" w:fill="ADCCEA"/>
      </w:tcPr>
    </w:tblStylePr>
    <w:tblStylePr w:type="nwCell">
      <w:tblPr/>
      <w:tcPr>
        <w:shd w:val="clear" w:color="auto" w:fill="FFF7C6"/>
      </w:tcPr>
    </w:tblStylePr>
  </w:style>
  <w:style w:type="table" w:customStyle="1" w:styleId="1-2221">
    <w:name w:val="中等深浅底纹 1 - 着色 2221"/>
    <w:basedOn w:val="a3"/>
    <w:uiPriority w:val="63"/>
    <w:semiHidden/>
    <w:qFormat/>
    <w:rPr>
      <w:rFonts w:ascii="Calibri" w:eastAsia="宋体" w:hAnsi="Calibri" w:cs="Times New Roman"/>
    </w:rPr>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Lines="0" w:beforeAutospacing="0" w:afterLines="0" w:afterAutospacing="0" w:line="240" w:lineRule="auto"/>
      </w:pPr>
      <w:rPr>
        <w:b/>
        <w:bCs/>
        <w:color w:val="FFF7C6"/>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Lines="0" w:beforeAutospacing="0" w:afterLines="0" w:afterAutospacing="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2211">
    <w:name w:val="彩色列表 - 着色 2211"/>
    <w:basedOn w:val="a3"/>
    <w:uiPriority w:val="72"/>
    <w:semiHidden/>
    <w:qFormat/>
    <w:rPr>
      <w:rFonts w:ascii="Calibri" w:eastAsia="宋体" w:hAnsi="Calibri" w:cs="Times New Roman"/>
      <w:color w:val="000000"/>
    </w:rPr>
    <w:tblPr/>
    <w:tcPr>
      <w:shd w:val="clear" w:color="auto" w:fill="FDF2EA"/>
    </w:tcPr>
    <w:tblStylePr w:type="firstRow">
      <w:rPr>
        <w:b/>
        <w:bCs/>
        <w:color w:val="FFF7C6"/>
      </w:rPr>
      <w:tblPr/>
      <w:tcPr>
        <w:tcBorders>
          <w:bottom w:val="single" w:sz="12" w:space="0" w:color="FFF7C6"/>
        </w:tcBorders>
        <w:shd w:val="clear" w:color="auto" w:fill="D25F12"/>
      </w:tcPr>
    </w:tblStylePr>
    <w:tblStylePr w:type="lastRow">
      <w:rPr>
        <w:b/>
        <w:bCs/>
        <w:color w:val="D25F12"/>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1-3211">
    <w:name w:val="中等深浅网格 1 - 着色 3211"/>
    <w:basedOn w:val="a3"/>
    <w:uiPriority w:val="67"/>
    <w:semiHidden/>
    <w:qFormat/>
    <w:rPr>
      <w:rFonts w:ascii="Calibri" w:eastAsia="宋体" w:hAnsi="Calibri" w:cs="Times New Roman"/>
    </w:rPr>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1-3311">
    <w:name w:val="中等深浅网格 1 - 着色 3311"/>
    <w:basedOn w:val="a3"/>
    <w:uiPriority w:val="67"/>
    <w:semiHidden/>
    <w:qFormat/>
    <w:rPr>
      <w:rFonts w:ascii="Calibri" w:eastAsia="宋体" w:hAnsi="Calibri" w:cs="Times New Roman"/>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2-1311">
    <w:name w:val="中等深浅网格 2 - 着色 1311"/>
    <w:basedOn w:val="a3"/>
    <w:uiPriority w:val="68"/>
    <w:semiHidden/>
    <w:qFormat/>
    <w:rPr>
      <w:rFonts w:ascii="Cambria" w:eastAsia="宋体" w:hAnsi="Cambria" w:cs="Times New Roma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7C6"/>
      </w:tcPr>
    </w:tblStylePr>
    <w:tblStylePr w:type="firstCol">
      <w:rPr>
        <w:b/>
        <w:bCs/>
        <w:color w:val="000000"/>
      </w:rPr>
      <w:tblPr/>
      <w:tcPr>
        <w:tcBorders>
          <w:top w:val="nil"/>
          <w:left w:val="nil"/>
          <w:bottom w:val="nil"/>
          <w:right w:val="nil"/>
          <w:insideH w:val="nil"/>
          <w:insideV w:val="nil"/>
        </w:tcBorders>
        <w:shd w:val="clear" w:color="auto" w:fill="FFF7C6"/>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7C6"/>
      </w:tcPr>
    </w:tblStylePr>
  </w:style>
  <w:style w:type="table" w:customStyle="1" w:styleId="1-2321">
    <w:name w:val="中等深浅底纹 1 - 着色 2321"/>
    <w:basedOn w:val="a3"/>
    <w:uiPriority w:val="63"/>
    <w:semiHidden/>
    <w:qFormat/>
    <w:rPr>
      <w:rFonts w:ascii="Calibri" w:eastAsia="宋体" w:hAnsi="Calibri" w:cs="Times New Roman"/>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Autospacing="0" w:afterLines="0" w:afterAutospacing="0" w:line="240" w:lineRule="auto"/>
      </w:pPr>
      <w:rPr>
        <w:b/>
        <w:bCs/>
        <w:color w:val="FFF7C6"/>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Autospacing="0" w:afterLines="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321">
    <w:name w:val="彩色列表 - 着色 2321"/>
    <w:basedOn w:val="a3"/>
    <w:uiPriority w:val="72"/>
    <w:semiHidden/>
    <w:qFormat/>
    <w:rPr>
      <w:rFonts w:ascii="Calibri" w:eastAsia="宋体" w:hAnsi="Calibri" w:cs="Times New Roman"/>
      <w:color w:val="000000"/>
    </w:rPr>
    <w:tblPr/>
    <w:tcPr>
      <w:shd w:val="clear" w:color="auto" w:fill="F8EDED"/>
    </w:tcPr>
    <w:tblStylePr w:type="firstRow">
      <w:rPr>
        <w:b/>
        <w:bCs/>
        <w:color w:val="FFF7C6"/>
      </w:rPr>
      <w:tblPr/>
      <w:tcPr>
        <w:tcBorders>
          <w:bottom w:val="single" w:sz="12" w:space="0" w:color="FFF7C6"/>
        </w:tcBorders>
        <w:shd w:val="clear" w:color="auto" w:fill="9E3A38"/>
      </w:tcPr>
    </w:tblStylePr>
    <w:tblStylePr w:type="lastRow">
      <w:rPr>
        <w:b/>
        <w:bCs/>
        <w:color w:val="9E3A38"/>
      </w:rPr>
      <w:tblPr/>
      <w:tcPr>
        <w:tcBorders>
          <w:top w:val="single" w:sz="12" w:space="0" w:color="000000"/>
        </w:tcBorders>
        <w:shd w:val="clear" w:color="auto" w:fill="FFF7C6"/>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711">
    <w:name w:val="网格型3711"/>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611">
    <w:name w:val="网格型11611"/>
    <w:basedOn w:val="a3"/>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00">
    <w:name w:val="TOC 标题10"/>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13f2">
    <w:name w:val="未处理的提及13"/>
    <w:basedOn w:val="a2"/>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39"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21" Type="http://schemas.openxmlformats.org/officeDocument/2006/relationships/image" Target="media/image11.emf"/><Relationship Id="rId34"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2"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7" Type="http://schemas.openxmlformats.org/officeDocument/2006/relationships/image" Target="media/image24.wmf"/><Relationship Id="rId50" Type="http://schemas.openxmlformats.org/officeDocument/2006/relationships/oleObject" Target="embeddings/oleObject3.bin"/><Relationship Id="rId55" Type="http://schemas.openxmlformats.org/officeDocument/2006/relationships/image" Target="media/image28.w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38" Type="http://schemas.openxmlformats.org/officeDocument/2006/relationships/image" Target="media/image22.wmf"/><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1"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54"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37" Type="http://schemas.openxmlformats.org/officeDocument/2006/relationships/image" Target="media/image21.wmf"/><Relationship Id="rId40"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0.wmf"/><Relationship Id="rId49" Type="http://schemas.openxmlformats.org/officeDocument/2006/relationships/image" Target="media/image25.w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4"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52"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35" Type="http://schemas.openxmlformats.org/officeDocument/2006/relationships/image" Target="media/image19.wmf"/><Relationship Id="rId43" Type="http://schemas.openxmlformats.org/officeDocument/2006/relationships/hyperlink" Target="file:///E:\2020&#24180;\3.3&#21271;&#27915;&#22825;&#38738;-&#20140;&#22478;&#32929;&#20221;\01&#25253;&#21578;\&#21271;&#27915;&#22825;&#38738;630&#22522;&#20934;&#26085;8.6\2&#25910;&#30410;&#27861;-&#21271;&#27915;&#22825;&#38738;-630&#22522;&#20934;&#26085;-&#21152;&#35745;&#25187;&#38500;.xlsx" TargetMode="External"/><Relationship Id="rId48" Type="http://schemas.openxmlformats.org/officeDocument/2006/relationships/oleObject" Target="embeddings/oleObject2.bin"/><Relationship Id="rId56" Type="http://schemas.openxmlformats.org/officeDocument/2006/relationships/oleObject" Target="embeddings/oleObject6.bin"/><Relationship Id="rId8" Type="http://schemas.openxmlformats.org/officeDocument/2006/relationships/endnotes" Target="endnotes.xml"/><Relationship Id="rId51" Type="http://schemas.openxmlformats.org/officeDocument/2006/relationships/image" Target="media/image26.wmf"/><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6FB6E5-F655-438E-8AE9-A22F7519D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18540</Words>
  <Characters>105684</Characters>
  <Application>Microsoft Office Word</Application>
  <DocSecurity>0</DocSecurity>
  <Lines>880</Lines>
  <Paragraphs>247</Paragraphs>
  <ScaleCrop>false</ScaleCrop>
  <Company/>
  <LinksUpToDate>false</LinksUpToDate>
  <CharactersWithSpaces>123977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邱 一粟</dc:creator>
  <cp:lastModifiedBy>施 海鹏</cp:lastModifiedBy>
  <cp:revision>45</cp:revision>
  <dcterms:created xsi:type="dcterms:W3CDTF">2021-04-05T15:12:00Z</dcterms:created>
  <dcterms:modified xsi:type="dcterms:W3CDTF">2021-04-20T06:11:00Z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92F4D30D18454B42B78F427F9EB64458</vt:lpwstr>
  </property>
</Properties>
</file>