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13D63" w14:textId="27595925" w:rsidR="00EA2592" w:rsidRPr="003701C9" w:rsidRDefault="0013117B" w:rsidP="003701C9">
      <w:pPr>
        <w:spacing w:line="360" w:lineRule="auto"/>
        <w:jc w:val="center"/>
        <w:rPr>
          <w:rFonts w:ascii="黑体" w:eastAsia="黑体" w:hAnsi="黑体" w:cs="Times New Roman"/>
          <w:b/>
          <w:sz w:val="30"/>
          <w:szCs w:val="30"/>
        </w:rPr>
      </w:pPr>
      <w:bookmarkStart w:id="0" w:name="_Hlk59033363"/>
      <w:r w:rsidRPr="003701C9">
        <w:rPr>
          <w:rFonts w:ascii="黑体" w:eastAsia="黑体" w:hAnsi="黑体" w:cs="Times New Roman" w:hint="eastAsia"/>
          <w:b/>
          <w:sz w:val="30"/>
          <w:szCs w:val="30"/>
        </w:rPr>
        <w:t>中</w:t>
      </w:r>
      <w:proofErr w:type="gramStart"/>
      <w:r w:rsidRPr="003701C9">
        <w:rPr>
          <w:rFonts w:ascii="黑体" w:eastAsia="黑体" w:hAnsi="黑体" w:cs="Times New Roman" w:hint="eastAsia"/>
          <w:b/>
          <w:sz w:val="30"/>
          <w:szCs w:val="30"/>
        </w:rPr>
        <w:t>信建投证券</w:t>
      </w:r>
      <w:proofErr w:type="gramEnd"/>
      <w:r w:rsidRPr="003701C9">
        <w:rPr>
          <w:rFonts w:ascii="黑体" w:eastAsia="黑体" w:hAnsi="黑体" w:cs="Times New Roman" w:hint="eastAsia"/>
          <w:b/>
          <w:sz w:val="30"/>
          <w:szCs w:val="30"/>
        </w:rPr>
        <w:t>股份有限公司关于公司股票价格波动是否达到《关于规范上市公司信息披露及相关各方行为的通知》</w:t>
      </w:r>
      <w:r w:rsidRPr="003701C9">
        <w:rPr>
          <w:rFonts w:ascii="黑体" w:eastAsia="黑体" w:hAnsi="黑体" w:cs="Times New Roman"/>
          <w:b/>
          <w:sz w:val="30"/>
          <w:szCs w:val="30"/>
        </w:rPr>
        <w:t>第五条相关标准的</w:t>
      </w:r>
      <w:r w:rsidRPr="003701C9">
        <w:rPr>
          <w:rFonts w:ascii="黑体" w:eastAsia="黑体" w:hAnsi="黑体" w:cs="Times New Roman" w:hint="eastAsia"/>
          <w:b/>
          <w:sz w:val="30"/>
          <w:szCs w:val="30"/>
        </w:rPr>
        <w:t>核查意见</w:t>
      </w:r>
    </w:p>
    <w:p w14:paraId="68B6E853" w14:textId="77777777" w:rsidR="00FF700C" w:rsidRDefault="00FF700C" w:rsidP="0013117B">
      <w:pPr>
        <w:jc w:val="center"/>
        <w:rPr>
          <w:rFonts w:ascii="Times New Roman" w:eastAsia="宋体" w:hAnsi="Times New Roman" w:cs="Times New Roman"/>
          <w:b/>
          <w:bCs/>
          <w:color w:val="000000"/>
          <w:sz w:val="28"/>
          <w:szCs w:val="24"/>
          <w:lang w:val="en-GB"/>
        </w:rPr>
      </w:pPr>
    </w:p>
    <w:bookmarkEnd w:id="0"/>
    <w:p w14:paraId="6CA47088" w14:textId="713C753B" w:rsidR="0013117B" w:rsidRPr="00FF700C" w:rsidRDefault="0013117B" w:rsidP="00FF700C">
      <w:pPr>
        <w:spacing w:afterLines="50" w:after="156" w:line="360" w:lineRule="auto"/>
        <w:ind w:firstLineChars="200" w:firstLine="482"/>
        <w:outlineLvl w:val="1"/>
        <w:rPr>
          <w:rFonts w:ascii="Times New Roman" w:eastAsia="宋体" w:hAnsi="Times New Roman" w:cs="Times New Roman"/>
          <w:b/>
          <w:color w:val="000000"/>
          <w:sz w:val="24"/>
        </w:rPr>
      </w:pPr>
      <w:r w:rsidRPr="00FF700C">
        <w:rPr>
          <w:rFonts w:ascii="Times New Roman" w:eastAsia="宋体" w:hAnsi="Times New Roman" w:cs="Times New Roman" w:hint="eastAsia"/>
          <w:b/>
          <w:color w:val="000000"/>
          <w:sz w:val="24"/>
        </w:rPr>
        <w:t>一、上市公司股票价格波动情况</w:t>
      </w:r>
    </w:p>
    <w:p w14:paraId="6A221B64" w14:textId="2125A41C" w:rsidR="0013117B" w:rsidRPr="00FF700C" w:rsidRDefault="0013117B" w:rsidP="00FF700C">
      <w:pPr>
        <w:pStyle w:val="a3"/>
        <w:spacing w:beforeLines="0" w:before="0" w:afterLines="50" w:after="156"/>
        <w:ind w:firstLine="480"/>
        <w:rPr>
          <w:bCs/>
          <w:lang w:val="en-GB"/>
        </w:rPr>
      </w:pPr>
      <w:r w:rsidRPr="00FF700C">
        <w:rPr>
          <w:rFonts w:hint="eastAsia"/>
          <w:bCs/>
          <w:lang w:val="en-GB"/>
        </w:rPr>
        <w:t>因筹划资产重组事项，经</w:t>
      </w:r>
      <w:r w:rsidR="003B5090" w:rsidRPr="007575DC">
        <w:rPr>
          <w:rFonts w:hint="eastAsia"/>
        </w:rPr>
        <w:t>北京京城机电股份有限公司（以下简称“上市公司”）</w:t>
      </w:r>
      <w:r w:rsidRPr="00FF700C">
        <w:rPr>
          <w:rFonts w:hint="eastAsia"/>
          <w:bCs/>
          <w:lang w:val="en-GB"/>
        </w:rPr>
        <w:t>申请，上市公司股票</w:t>
      </w:r>
      <w:r w:rsidRPr="00FF700C">
        <w:rPr>
          <w:bCs/>
          <w:lang w:val="en-GB"/>
        </w:rPr>
        <w:t>自</w:t>
      </w:r>
      <w:r w:rsidRPr="00FF700C">
        <w:rPr>
          <w:rFonts w:hint="eastAsia"/>
          <w:bCs/>
          <w:lang w:val="en-GB"/>
        </w:rPr>
        <w:t>2</w:t>
      </w:r>
      <w:r w:rsidRPr="00FF700C">
        <w:rPr>
          <w:bCs/>
          <w:lang w:val="en-GB"/>
        </w:rPr>
        <w:t>020</w:t>
      </w:r>
      <w:r w:rsidRPr="00FF700C">
        <w:rPr>
          <w:rFonts w:hint="eastAsia"/>
          <w:bCs/>
          <w:lang w:val="en-GB"/>
        </w:rPr>
        <w:t>年</w:t>
      </w:r>
      <w:r w:rsidRPr="00FF700C">
        <w:rPr>
          <w:rFonts w:hint="eastAsia"/>
          <w:bCs/>
          <w:lang w:val="en-GB"/>
        </w:rPr>
        <w:t>8</w:t>
      </w:r>
      <w:r w:rsidRPr="00FF700C">
        <w:rPr>
          <w:rFonts w:hint="eastAsia"/>
          <w:bCs/>
          <w:lang w:val="en-GB"/>
        </w:rPr>
        <w:t>月</w:t>
      </w:r>
      <w:r w:rsidRPr="00FF700C">
        <w:rPr>
          <w:rFonts w:hint="eastAsia"/>
          <w:bCs/>
          <w:lang w:val="en-GB"/>
        </w:rPr>
        <w:t>4</w:t>
      </w:r>
      <w:r w:rsidRPr="00FF700C">
        <w:rPr>
          <w:rFonts w:hint="eastAsia"/>
          <w:bCs/>
          <w:lang w:val="en-GB"/>
        </w:rPr>
        <w:t>日</w:t>
      </w:r>
      <w:r w:rsidRPr="00FF700C">
        <w:rPr>
          <w:bCs/>
          <w:lang w:val="en-GB"/>
        </w:rPr>
        <w:t>开市起开始停牌</w:t>
      </w:r>
      <w:r w:rsidRPr="00FF700C">
        <w:rPr>
          <w:rFonts w:hint="eastAsia"/>
          <w:bCs/>
          <w:lang w:val="en-GB"/>
        </w:rPr>
        <w:t>。根据</w:t>
      </w:r>
      <w:r w:rsidR="00421235" w:rsidRPr="00421235">
        <w:rPr>
          <w:rFonts w:hint="eastAsia"/>
          <w:bCs/>
          <w:lang w:val="en-GB"/>
        </w:rPr>
        <w:t>《关于规范上市公司信息披露及相关各方行为的通知》</w:t>
      </w:r>
      <w:r w:rsidRPr="00FF700C">
        <w:rPr>
          <w:bCs/>
          <w:lang w:val="en-GB"/>
        </w:rPr>
        <w:t>第五条规定，</w:t>
      </w:r>
      <w:r w:rsidRPr="00FF700C">
        <w:rPr>
          <w:rFonts w:hint="eastAsia"/>
          <w:bCs/>
          <w:lang w:val="en-GB"/>
        </w:rPr>
        <w:t>“</w:t>
      </w:r>
      <w:r w:rsidRPr="00FF700C">
        <w:rPr>
          <w:bCs/>
          <w:lang w:val="en-GB"/>
        </w:rPr>
        <w:t>剔除大盘因素和同行业板块因素影响，上市公司股价在股价敏感重大信息公布前</w:t>
      </w:r>
      <w:r w:rsidRPr="00FF700C">
        <w:rPr>
          <w:bCs/>
          <w:lang w:val="en-GB"/>
        </w:rPr>
        <w:t>20</w:t>
      </w:r>
      <w:r w:rsidRPr="00FF700C">
        <w:rPr>
          <w:bCs/>
          <w:lang w:val="en-GB"/>
        </w:rPr>
        <w:t>个交易日内累计涨跌幅超过</w:t>
      </w:r>
      <w:r w:rsidRPr="00FF700C">
        <w:rPr>
          <w:bCs/>
          <w:lang w:val="en-GB"/>
        </w:rPr>
        <w:t>20%</w:t>
      </w:r>
      <w:r w:rsidRPr="00FF700C">
        <w:rPr>
          <w:bCs/>
          <w:lang w:val="en-GB"/>
        </w:rPr>
        <w:t>的，上市公司在向中国证监会提起行政许可申请时，应充分举证相关</w:t>
      </w:r>
      <w:bookmarkStart w:id="1" w:name="_Hlk503370311"/>
      <w:r w:rsidRPr="00FF700C">
        <w:rPr>
          <w:bCs/>
          <w:lang w:val="en-GB"/>
        </w:rPr>
        <w:t>内幕信息知情人</w:t>
      </w:r>
      <w:bookmarkEnd w:id="1"/>
      <w:r w:rsidRPr="00FF700C">
        <w:rPr>
          <w:bCs/>
          <w:lang w:val="en-GB"/>
        </w:rPr>
        <w:t>及直系亲属等不存在内幕交易行为。</w:t>
      </w:r>
      <w:r w:rsidRPr="00FF700C">
        <w:rPr>
          <w:rFonts w:hint="eastAsia"/>
          <w:bCs/>
          <w:lang w:val="en-GB"/>
        </w:rPr>
        <w:t>”</w:t>
      </w:r>
      <w:r w:rsidRPr="00FF700C">
        <w:rPr>
          <w:bCs/>
          <w:lang w:val="en-GB"/>
        </w:rPr>
        <w:t>上市公司</w:t>
      </w:r>
      <w:r w:rsidRPr="00FF700C">
        <w:rPr>
          <w:rFonts w:hint="eastAsia"/>
          <w:bCs/>
          <w:lang w:val="en-GB"/>
        </w:rPr>
        <w:t>股票停牌前</w:t>
      </w:r>
      <w:r w:rsidRPr="00FF700C">
        <w:rPr>
          <w:rFonts w:hint="eastAsia"/>
          <w:bCs/>
          <w:lang w:val="en-GB"/>
        </w:rPr>
        <w:t>2</w:t>
      </w:r>
      <w:r w:rsidRPr="00FF700C">
        <w:rPr>
          <w:bCs/>
          <w:lang w:val="en-GB"/>
        </w:rPr>
        <w:t>0</w:t>
      </w:r>
      <w:r w:rsidRPr="00FF700C">
        <w:rPr>
          <w:rFonts w:hint="eastAsia"/>
          <w:bCs/>
          <w:lang w:val="en-GB"/>
        </w:rPr>
        <w:t>个交易日内累计涨跌幅不构成异常波动情况，具体计算过程如下：</w:t>
      </w: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693"/>
        <w:gridCol w:w="2693"/>
        <w:gridCol w:w="935"/>
      </w:tblGrid>
      <w:tr w:rsidR="0013117B" w:rsidRPr="009A5729" w14:paraId="016E37AE" w14:textId="77777777" w:rsidTr="006E46E5">
        <w:trPr>
          <w:trHeight w:val="397"/>
          <w:tblHeader/>
        </w:trPr>
        <w:tc>
          <w:tcPr>
            <w:tcW w:w="1195" w:type="pct"/>
            <w:shd w:val="clear" w:color="auto" w:fill="auto"/>
            <w:vAlign w:val="center"/>
          </w:tcPr>
          <w:p w14:paraId="57D28BEA" w14:textId="77777777" w:rsidR="0013117B" w:rsidRPr="009A5729" w:rsidRDefault="0013117B" w:rsidP="006E46E5">
            <w:pPr>
              <w:jc w:val="center"/>
              <w:rPr>
                <w:rFonts w:ascii="Times New Roman" w:eastAsia="宋体" w:hAnsi="Times New Roman"/>
                <w:b/>
              </w:rPr>
            </w:pPr>
            <w:r w:rsidRPr="009A5729">
              <w:rPr>
                <w:rFonts w:ascii="Times New Roman" w:eastAsia="宋体" w:hAnsi="Times New Roman" w:hint="eastAsia"/>
                <w:b/>
              </w:rPr>
              <w:t>项目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434E6AE5" w14:textId="77777777" w:rsidR="0013117B" w:rsidRPr="009A5729" w:rsidRDefault="0013117B" w:rsidP="006E46E5">
            <w:pPr>
              <w:jc w:val="center"/>
              <w:rPr>
                <w:rFonts w:ascii="Times New Roman" w:eastAsia="宋体" w:hAnsi="Times New Roman"/>
                <w:b/>
              </w:rPr>
            </w:pPr>
            <w:r w:rsidRPr="009A5729">
              <w:rPr>
                <w:rFonts w:ascii="Times New Roman" w:eastAsia="宋体" w:hAnsi="Times New Roman" w:hint="eastAsia"/>
                <w:b/>
              </w:rPr>
              <w:t>2</w:t>
            </w:r>
            <w:r w:rsidRPr="009A5729">
              <w:rPr>
                <w:rFonts w:ascii="Times New Roman" w:eastAsia="宋体" w:hAnsi="Times New Roman"/>
                <w:b/>
              </w:rPr>
              <w:t>020</w:t>
            </w:r>
            <w:r w:rsidRPr="009A5729">
              <w:rPr>
                <w:rFonts w:ascii="Times New Roman" w:eastAsia="宋体" w:hAnsi="Times New Roman"/>
                <w:b/>
              </w:rPr>
              <w:t>年</w:t>
            </w:r>
            <w:r>
              <w:rPr>
                <w:rFonts w:ascii="Times New Roman" w:eastAsia="宋体" w:hAnsi="Times New Roman" w:hint="eastAsia"/>
                <w:b/>
              </w:rPr>
              <w:t>7</w:t>
            </w:r>
            <w:r w:rsidRPr="009A5729">
              <w:rPr>
                <w:rFonts w:ascii="Times New Roman" w:eastAsia="宋体" w:hAnsi="Times New Roman"/>
                <w:b/>
              </w:rPr>
              <w:t>月</w:t>
            </w:r>
            <w:r>
              <w:rPr>
                <w:rFonts w:ascii="Times New Roman" w:eastAsia="宋体" w:hAnsi="Times New Roman" w:hint="eastAsia"/>
                <w:b/>
              </w:rPr>
              <w:t>6</w:t>
            </w:r>
            <w:r w:rsidRPr="009A5729">
              <w:rPr>
                <w:rFonts w:ascii="Times New Roman" w:eastAsia="宋体" w:hAnsi="Times New Roman"/>
                <w:b/>
              </w:rPr>
              <w:t>日（</w:t>
            </w:r>
            <w:r w:rsidRPr="009A5729">
              <w:rPr>
                <w:rFonts w:ascii="Times New Roman" w:eastAsia="宋体" w:hAnsi="Times New Roman" w:hint="eastAsia"/>
                <w:b/>
              </w:rPr>
              <w:t>收盘</w:t>
            </w:r>
            <w:r w:rsidRPr="009A5729">
              <w:rPr>
                <w:rFonts w:ascii="Times New Roman" w:eastAsia="宋体" w:hAnsi="Times New Roman"/>
                <w:b/>
              </w:rPr>
              <w:t>）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3267B9B2" w14:textId="77777777" w:rsidR="0013117B" w:rsidRPr="009A5729" w:rsidRDefault="0013117B" w:rsidP="006E46E5">
            <w:pPr>
              <w:jc w:val="center"/>
              <w:rPr>
                <w:rFonts w:ascii="Times New Roman" w:eastAsia="宋体" w:hAnsi="Times New Roman"/>
                <w:b/>
              </w:rPr>
            </w:pPr>
            <w:r w:rsidRPr="009A5729">
              <w:rPr>
                <w:rFonts w:ascii="Times New Roman" w:eastAsia="宋体" w:hAnsi="Times New Roman" w:hint="eastAsia"/>
                <w:b/>
              </w:rPr>
              <w:t>2</w:t>
            </w:r>
            <w:r w:rsidRPr="009A5729">
              <w:rPr>
                <w:rFonts w:ascii="Times New Roman" w:eastAsia="宋体" w:hAnsi="Times New Roman"/>
                <w:b/>
              </w:rPr>
              <w:t>020</w:t>
            </w:r>
            <w:r w:rsidRPr="009A5729">
              <w:rPr>
                <w:rFonts w:ascii="Times New Roman" w:eastAsia="宋体" w:hAnsi="Times New Roman"/>
                <w:b/>
              </w:rPr>
              <w:t>年</w:t>
            </w:r>
            <w:r>
              <w:rPr>
                <w:rFonts w:ascii="Times New Roman" w:eastAsia="宋体" w:hAnsi="Times New Roman" w:hint="eastAsia"/>
                <w:b/>
              </w:rPr>
              <w:t>8</w:t>
            </w:r>
            <w:r w:rsidRPr="009A5729">
              <w:rPr>
                <w:rFonts w:ascii="Times New Roman" w:eastAsia="宋体" w:hAnsi="Times New Roman"/>
                <w:b/>
              </w:rPr>
              <w:t>月</w:t>
            </w:r>
            <w:r>
              <w:rPr>
                <w:rFonts w:ascii="Times New Roman" w:eastAsia="宋体" w:hAnsi="Times New Roman" w:hint="eastAsia"/>
                <w:b/>
              </w:rPr>
              <w:t>3</w:t>
            </w:r>
            <w:r w:rsidRPr="009A5729">
              <w:rPr>
                <w:rFonts w:ascii="Times New Roman" w:eastAsia="宋体" w:hAnsi="Times New Roman"/>
                <w:b/>
              </w:rPr>
              <w:t>日（</w:t>
            </w:r>
            <w:r w:rsidRPr="009A5729">
              <w:rPr>
                <w:rFonts w:ascii="Times New Roman" w:eastAsia="宋体" w:hAnsi="Times New Roman" w:hint="eastAsia"/>
                <w:b/>
              </w:rPr>
              <w:t>收盘</w:t>
            </w:r>
            <w:r w:rsidRPr="009A5729">
              <w:rPr>
                <w:rFonts w:ascii="Times New Roman" w:eastAsia="宋体" w:hAnsi="Times New Roman"/>
                <w:b/>
              </w:rPr>
              <w:t>）</w:t>
            </w:r>
          </w:p>
        </w:tc>
        <w:tc>
          <w:tcPr>
            <w:tcW w:w="563" w:type="pct"/>
            <w:vAlign w:val="center"/>
          </w:tcPr>
          <w:p w14:paraId="504BA7B9" w14:textId="77777777" w:rsidR="0013117B" w:rsidRPr="009A5729" w:rsidRDefault="0013117B" w:rsidP="006E46E5">
            <w:pPr>
              <w:jc w:val="center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涨跌幅</w:t>
            </w:r>
          </w:p>
        </w:tc>
      </w:tr>
      <w:tr w:rsidR="0013117B" w:rsidRPr="009A5729" w14:paraId="2A8BB23B" w14:textId="77777777" w:rsidTr="006E46E5">
        <w:trPr>
          <w:trHeight w:val="397"/>
        </w:trPr>
        <w:tc>
          <w:tcPr>
            <w:tcW w:w="1195" w:type="pct"/>
            <w:shd w:val="clear" w:color="auto" w:fill="auto"/>
            <w:vAlign w:val="center"/>
          </w:tcPr>
          <w:p w14:paraId="7C5ACF05" w14:textId="77777777" w:rsidR="0013117B" w:rsidRPr="009A5729" w:rsidRDefault="0013117B" w:rsidP="006E46E5">
            <w:pPr>
              <w:jc w:val="center"/>
              <w:rPr>
                <w:rFonts w:ascii="Times New Roman" w:eastAsia="宋体" w:hAnsi="Times New Roman"/>
              </w:rPr>
            </w:pPr>
            <w:r w:rsidRPr="009A5729">
              <w:rPr>
                <w:rFonts w:ascii="Times New Roman" w:eastAsia="宋体" w:hAnsi="Times New Roman" w:hint="eastAsia"/>
              </w:rPr>
              <w:t>股票收盘价（元</w:t>
            </w:r>
            <w:r w:rsidRPr="009A5729">
              <w:rPr>
                <w:rFonts w:ascii="Times New Roman" w:eastAsia="宋体" w:hAnsi="Times New Roman" w:hint="eastAsia"/>
              </w:rPr>
              <w:t>/</w:t>
            </w:r>
            <w:r w:rsidRPr="009A5729">
              <w:rPr>
                <w:rFonts w:ascii="Times New Roman" w:eastAsia="宋体" w:hAnsi="Times New Roman" w:hint="eastAsia"/>
              </w:rPr>
              <w:t>股）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42C4F797" w14:textId="77777777" w:rsidR="0013117B" w:rsidRPr="009845BC" w:rsidRDefault="0013117B" w:rsidP="006E46E5">
            <w:pPr>
              <w:jc w:val="right"/>
              <w:rPr>
                <w:rFonts w:ascii="Times New Roman" w:eastAsia="宋体" w:hAnsi="Times New Roman"/>
              </w:rPr>
            </w:pPr>
            <w:r w:rsidRPr="009845BC">
              <w:rPr>
                <w:rFonts w:ascii="Times New Roman" w:hAnsi="Times New Roman"/>
                <w:color w:val="000000"/>
              </w:rPr>
              <w:t>3.54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195B3C24" w14:textId="77777777" w:rsidR="0013117B" w:rsidRPr="009845BC" w:rsidRDefault="0013117B" w:rsidP="006E46E5">
            <w:pPr>
              <w:jc w:val="right"/>
              <w:rPr>
                <w:rFonts w:ascii="Times New Roman" w:eastAsia="宋体" w:hAnsi="Times New Roman"/>
              </w:rPr>
            </w:pPr>
            <w:r w:rsidRPr="009845BC">
              <w:rPr>
                <w:rFonts w:ascii="Times New Roman" w:hAnsi="Times New Roman"/>
                <w:color w:val="000000"/>
              </w:rPr>
              <w:t>4.18</w:t>
            </w:r>
          </w:p>
        </w:tc>
        <w:tc>
          <w:tcPr>
            <w:tcW w:w="563" w:type="pct"/>
            <w:vAlign w:val="center"/>
          </w:tcPr>
          <w:p w14:paraId="5C1EF436" w14:textId="77777777" w:rsidR="0013117B" w:rsidRPr="009845BC" w:rsidRDefault="0013117B" w:rsidP="006E46E5">
            <w:pPr>
              <w:jc w:val="right"/>
              <w:rPr>
                <w:rFonts w:ascii="Times New Roman" w:eastAsia="宋体" w:hAnsi="Times New Roman"/>
              </w:rPr>
            </w:pPr>
            <w:r w:rsidRPr="009845BC">
              <w:rPr>
                <w:rFonts w:ascii="Times New Roman" w:hAnsi="Times New Roman"/>
                <w:color w:val="000000"/>
              </w:rPr>
              <w:t>18.08%</w:t>
            </w:r>
          </w:p>
        </w:tc>
      </w:tr>
      <w:tr w:rsidR="0013117B" w:rsidRPr="009A5729" w14:paraId="26419A65" w14:textId="77777777" w:rsidTr="006E46E5">
        <w:trPr>
          <w:trHeight w:val="397"/>
        </w:trPr>
        <w:tc>
          <w:tcPr>
            <w:tcW w:w="1195" w:type="pct"/>
            <w:shd w:val="clear" w:color="auto" w:fill="auto"/>
            <w:vAlign w:val="center"/>
          </w:tcPr>
          <w:p w14:paraId="4C414984" w14:textId="77777777" w:rsidR="0013117B" w:rsidRPr="009A5729" w:rsidRDefault="0013117B" w:rsidP="006E46E5">
            <w:pPr>
              <w:jc w:val="center"/>
              <w:rPr>
                <w:rFonts w:ascii="Times New Roman" w:eastAsia="宋体" w:hAnsi="Times New Roman"/>
              </w:rPr>
            </w:pPr>
            <w:r w:rsidRPr="009A5729">
              <w:rPr>
                <w:rFonts w:ascii="Times New Roman" w:eastAsia="宋体" w:hAnsi="Times New Roman" w:hint="eastAsia"/>
              </w:rPr>
              <w:t>上证综指收盘值（</w:t>
            </w:r>
            <w:r w:rsidRPr="009A5729">
              <w:rPr>
                <w:rFonts w:ascii="Times New Roman" w:eastAsia="宋体" w:hAnsi="Times New Roman"/>
              </w:rPr>
              <w:t>000001.SH</w:t>
            </w:r>
            <w:r w:rsidRPr="009A5729">
              <w:rPr>
                <w:rFonts w:ascii="Times New Roman" w:eastAsia="宋体" w:hAnsi="Times New Roman"/>
              </w:rPr>
              <w:t>）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7FAE1CC0" w14:textId="77777777" w:rsidR="0013117B" w:rsidRPr="009845BC" w:rsidRDefault="0013117B" w:rsidP="006E46E5">
            <w:pPr>
              <w:jc w:val="right"/>
              <w:rPr>
                <w:rFonts w:ascii="Times New Roman" w:eastAsia="宋体" w:hAnsi="Times New Roman"/>
              </w:rPr>
            </w:pPr>
            <w:r w:rsidRPr="009845BC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9845BC">
              <w:rPr>
                <w:rFonts w:ascii="Times New Roman" w:hAnsi="Times New Roman"/>
                <w:color w:val="000000"/>
              </w:rPr>
              <w:t>332.88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5591DCBF" w14:textId="77777777" w:rsidR="0013117B" w:rsidRPr="009845BC" w:rsidRDefault="0013117B" w:rsidP="006E46E5">
            <w:pPr>
              <w:jc w:val="right"/>
              <w:rPr>
                <w:rFonts w:ascii="Times New Roman" w:eastAsia="宋体" w:hAnsi="Times New Roman"/>
              </w:rPr>
            </w:pPr>
            <w:r w:rsidRPr="009845BC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9845BC">
              <w:rPr>
                <w:rFonts w:ascii="Times New Roman" w:hAnsi="Times New Roman"/>
                <w:color w:val="000000"/>
              </w:rPr>
              <w:t>367.97</w:t>
            </w:r>
          </w:p>
        </w:tc>
        <w:tc>
          <w:tcPr>
            <w:tcW w:w="563" w:type="pct"/>
            <w:vAlign w:val="center"/>
          </w:tcPr>
          <w:p w14:paraId="57CE73E9" w14:textId="77777777" w:rsidR="0013117B" w:rsidRPr="009845BC" w:rsidRDefault="0013117B" w:rsidP="006E46E5">
            <w:pPr>
              <w:jc w:val="right"/>
              <w:rPr>
                <w:rFonts w:ascii="Times New Roman" w:eastAsia="宋体" w:hAnsi="Times New Roman"/>
              </w:rPr>
            </w:pPr>
            <w:r w:rsidRPr="009845BC">
              <w:rPr>
                <w:rFonts w:ascii="Times New Roman" w:hAnsi="Times New Roman"/>
                <w:color w:val="000000"/>
              </w:rPr>
              <w:t>1.05%</w:t>
            </w:r>
          </w:p>
        </w:tc>
      </w:tr>
      <w:tr w:rsidR="0013117B" w:rsidRPr="009A5729" w14:paraId="7C42090D" w14:textId="77777777" w:rsidTr="006E46E5">
        <w:trPr>
          <w:trHeight w:val="397"/>
        </w:trPr>
        <w:tc>
          <w:tcPr>
            <w:tcW w:w="1195" w:type="pct"/>
            <w:shd w:val="clear" w:color="auto" w:fill="auto"/>
            <w:vAlign w:val="center"/>
          </w:tcPr>
          <w:p w14:paraId="3DCCEBFC" w14:textId="77777777" w:rsidR="0013117B" w:rsidRPr="009A5729" w:rsidRDefault="0013117B" w:rsidP="006E46E5">
            <w:pPr>
              <w:jc w:val="center"/>
              <w:rPr>
                <w:rFonts w:ascii="Times New Roman" w:eastAsia="宋体" w:hAnsi="Times New Roman"/>
              </w:rPr>
            </w:pPr>
            <w:r w:rsidRPr="00C57DFF">
              <w:rPr>
                <w:rFonts w:ascii="Times New Roman" w:eastAsia="宋体" w:hAnsi="Times New Roman" w:hint="eastAsia"/>
              </w:rPr>
              <w:t>工业机械行业</w:t>
            </w:r>
            <w:r>
              <w:rPr>
                <w:rFonts w:ascii="Times New Roman" w:eastAsia="宋体" w:hAnsi="Times New Roman" w:hint="eastAsia"/>
              </w:rPr>
              <w:t>(</w:t>
            </w:r>
            <w:r w:rsidRPr="00C57DFF">
              <w:rPr>
                <w:rFonts w:ascii="Times New Roman" w:eastAsia="宋体" w:hAnsi="Times New Roman"/>
              </w:rPr>
              <w:t>886021.WI</w:t>
            </w:r>
            <w:r>
              <w:rPr>
                <w:rFonts w:ascii="Times New Roman" w:eastAsia="宋体" w:hAnsi="Times New Roman"/>
              </w:rPr>
              <w:t>)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7985ED79" w14:textId="77777777" w:rsidR="0013117B" w:rsidRPr="009845BC" w:rsidRDefault="0013117B" w:rsidP="006E46E5">
            <w:pPr>
              <w:jc w:val="right"/>
              <w:rPr>
                <w:rFonts w:ascii="Times New Roman" w:eastAsia="宋体" w:hAnsi="Times New Roman"/>
              </w:rPr>
            </w:pPr>
            <w:r w:rsidRPr="009845BC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9845BC">
              <w:rPr>
                <w:rFonts w:ascii="Times New Roman" w:hAnsi="Times New Roman"/>
                <w:color w:val="000000"/>
              </w:rPr>
              <w:t>523.66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21F42D60" w14:textId="77777777" w:rsidR="0013117B" w:rsidRPr="009845BC" w:rsidRDefault="0013117B" w:rsidP="006E46E5">
            <w:pPr>
              <w:jc w:val="right"/>
              <w:rPr>
                <w:rFonts w:ascii="Times New Roman" w:eastAsia="宋体" w:hAnsi="Times New Roman"/>
              </w:rPr>
            </w:pPr>
            <w:r w:rsidRPr="009845BC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9845BC">
              <w:rPr>
                <w:rFonts w:ascii="Times New Roman" w:hAnsi="Times New Roman"/>
                <w:color w:val="000000"/>
              </w:rPr>
              <w:t>955.78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F7D7D70" w14:textId="77777777" w:rsidR="0013117B" w:rsidRPr="009845BC" w:rsidRDefault="0013117B" w:rsidP="006E46E5">
            <w:pPr>
              <w:jc w:val="right"/>
              <w:rPr>
                <w:rFonts w:ascii="Times New Roman" w:eastAsia="宋体" w:hAnsi="Times New Roman"/>
              </w:rPr>
            </w:pPr>
            <w:r w:rsidRPr="009845BC">
              <w:rPr>
                <w:rFonts w:ascii="Times New Roman" w:hAnsi="Times New Roman"/>
                <w:color w:val="000000"/>
              </w:rPr>
              <w:t>9.55%</w:t>
            </w:r>
          </w:p>
        </w:tc>
      </w:tr>
      <w:tr w:rsidR="0013117B" w:rsidRPr="009A5729" w14:paraId="43EA766B" w14:textId="77777777" w:rsidTr="006E46E5">
        <w:trPr>
          <w:trHeight w:val="397"/>
        </w:trPr>
        <w:tc>
          <w:tcPr>
            <w:tcW w:w="4437" w:type="pct"/>
            <w:gridSpan w:val="3"/>
            <w:shd w:val="clear" w:color="auto" w:fill="auto"/>
            <w:vAlign w:val="center"/>
          </w:tcPr>
          <w:p w14:paraId="0C622FFC" w14:textId="77777777" w:rsidR="0013117B" w:rsidRPr="009A5729" w:rsidRDefault="0013117B" w:rsidP="006E46E5">
            <w:pPr>
              <w:jc w:val="center"/>
              <w:rPr>
                <w:rFonts w:ascii="Times New Roman" w:eastAsia="宋体" w:hAnsi="Times New Roman"/>
              </w:rPr>
            </w:pPr>
            <w:r w:rsidRPr="009A5729">
              <w:rPr>
                <w:rFonts w:ascii="Times New Roman" w:eastAsia="宋体" w:hAnsi="Times New Roman" w:hint="eastAsia"/>
              </w:rPr>
              <w:t>剔除大盘因素影响的涨跌幅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DD79E8E" w14:textId="77777777" w:rsidR="0013117B" w:rsidRPr="009A5729" w:rsidRDefault="0013117B" w:rsidP="006E46E5">
            <w:pPr>
              <w:jc w:val="righ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</w:t>
            </w:r>
            <w:r>
              <w:rPr>
                <w:rFonts w:ascii="Times New Roman" w:eastAsia="宋体" w:hAnsi="Times New Roman"/>
              </w:rPr>
              <w:t>7.03%</w:t>
            </w:r>
          </w:p>
        </w:tc>
      </w:tr>
      <w:tr w:rsidR="0013117B" w:rsidRPr="009A5729" w14:paraId="31BAEAB4" w14:textId="77777777" w:rsidTr="006E46E5">
        <w:trPr>
          <w:trHeight w:val="397"/>
        </w:trPr>
        <w:tc>
          <w:tcPr>
            <w:tcW w:w="4437" w:type="pct"/>
            <w:gridSpan w:val="3"/>
            <w:shd w:val="clear" w:color="auto" w:fill="auto"/>
            <w:vAlign w:val="center"/>
          </w:tcPr>
          <w:p w14:paraId="14CDAFA1" w14:textId="77777777" w:rsidR="0013117B" w:rsidRPr="009A5729" w:rsidRDefault="0013117B" w:rsidP="006E46E5">
            <w:pPr>
              <w:jc w:val="center"/>
              <w:rPr>
                <w:rFonts w:ascii="Times New Roman" w:eastAsia="宋体" w:hAnsi="Times New Roman"/>
              </w:rPr>
            </w:pPr>
            <w:r w:rsidRPr="009A5729">
              <w:rPr>
                <w:rFonts w:ascii="Times New Roman" w:eastAsia="宋体" w:hAnsi="Times New Roman" w:hint="eastAsia"/>
              </w:rPr>
              <w:t>剔除同行业板块因素影响的涨跌幅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31D77547" w14:textId="77777777" w:rsidR="0013117B" w:rsidRPr="009A5729" w:rsidRDefault="0013117B" w:rsidP="006E46E5">
            <w:pPr>
              <w:jc w:val="righ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8</w:t>
            </w:r>
            <w:r>
              <w:rPr>
                <w:rFonts w:ascii="Times New Roman" w:eastAsia="宋体" w:hAnsi="Times New Roman"/>
              </w:rPr>
              <w:t>.53%</w:t>
            </w:r>
          </w:p>
        </w:tc>
      </w:tr>
    </w:tbl>
    <w:p w14:paraId="6FFD6EE7" w14:textId="3A2F3985" w:rsidR="0013117B" w:rsidRPr="00FF700C" w:rsidRDefault="0013117B" w:rsidP="00FF700C">
      <w:pPr>
        <w:pStyle w:val="a3"/>
        <w:spacing w:beforeLines="0" w:before="0" w:afterLines="50" w:after="156"/>
        <w:ind w:firstLine="480"/>
        <w:rPr>
          <w:bCs/>
          <w:lang w:val="en-GB"/>
        </w:rPr>
      </w:pPr>
      <w:r w:rsidRPr="00FF700C">
        <w:rPr>
          <w:rFonts w:hint="eastAsia"/>
          <w:bCs/>
          <w:lang w:val="en-GB"/>
        </w:rPr>
        <w:t>本次重大信息公布前</w:t>
      </w:r>
      <w:r w:rsidRPr="00FF700C">
        <w:rPr>
          <w:bCs/>
          <w:lang w:val="en-GB"/>
        </w:rPr>
        <w:t>20</w:t>
      </w:r>
      <w:r w:rsidRPr="00FF700C">
        <w:rPr>
          <w:bCs/>
          <w:lang w:val="en-GB"/>
        </w:rPr>
        <w:t>个交易日</w:t>
      </w:r>
      <w:r w:rsidRPr="00FF700C">
        <w:rPr>
          <w:rFonts w:hint="eastAsia"/>
          <w:bCs/>
          <w:lang w:val="en-GB"/>
        </w:rPr>
        <w:t>期间</w:t>
      </w:r>
      <w:r w:rsidRPr="00FF700C">
        <w:rPr>
          <w:bCs/>
          <w:lang w:val="en-GB"/>
        </w:rPr>
        <w:t>，</w:t>
      </w:r>
      <w:r w:rsidRPr="00FF700C">
        <w:rPr>
          <w:rFonts w:hint="eastAsia"/>
          <w:bCs/>
          <w:lang w:val="en-GB"/>
        </w:rPr>
        <w:t>上市</w:t>
      </w:r>
      <w:r w:rsidRPr="00FF700C">
        <w:rPr>
          <w:bCs/>
          <w:lang w:val="en-GB"/>
        </w:rPr>
        <w:t>公司股票价格累计</w:t>
      </w:r>
      <w:r w:rsidRPr="00FF700C">
        <w:rPr>
          <w:rFonts w:hint="eastAsia"/>
          <w:bCs/>
          <w:lang w:val="en-GB"/>
        </w:rPr>
        <w:t>涨幅</w:t>
      </w:r>
      <w:r w:rsidRPr="00FF700C">
        <w:rPr>
          <w:bCs/>
          <w:lang w:val="en-GB"/>
        </w:rPr>
        <w:t>为</w:t>
      </w:r>
      <w:r w:rsidRPr="00FF700C">
        <w:rPr>
          <w:rFonts w:hint="eastAsia"/>
          <w:bCs/>
          <w:lang w:val="en-GB"/>
        </w:rPr>
        <w:t>1</w:t>
      </w:r>
      <w:r w:rsidRPr="00FF700C">
        <w:rPr>
          <w:bCs/>
          <w:lang w:val="en-GB"/>
        </w:rPr>
        <w:t>8.08%</w:t>
      </w:r>
      <w:r w:rsidRPr="00FF700C">
        <w:rPr>
          <w:rFonts w:hint="eastAsia"/>
          <w:bCs/>
          <w:lang w:val="en-GB"/>
        </w:rPr>
        <w:t>。剔除大盘因素（上证综指</w:t>
      </w:r>
      <w:r w:rsidRPr="004C591B">
        <w:rPr>
          <w:bCs/>
          <w:lang w:val="en-GB"/>
        </w:rPr>
        <w:t>000001.SH</w:t>
      </w:r>
      <w:r w:rsidRPr="00FF700C">
        <w:rPr>
          <w:rFonts w:hint="eastAsia"/>
          <w:bCs/>
          <w:lang w:val="en-GB"/>
        </w:rPr>
        <w:t>）影响，上市公司股票价格在该区间内的累计涨幅为</w:t>
      </w:r>
      <w:r w:rsidRPr="00FF700C">
        <w:rPr>
          <w:rFonts w:hint="eastAsia"/>
          <w:bCs/>
          <w:lang w:val="en-GB"/>
        </w:rPr>
        <w:t>1</w:t>
      </w:r>
      <w:r w:rsidRPr="00FF700C">
        <w:rPr>
          <w:bCs/>
          <w:lang w:val="en-GB"/>
        </w:rPr>
        <w:t>7.03%</w:t>
      </w:r>
      <w:r w:rsidRPr="00FF700C">
        <w:rPr>
          <w:bCs/>
          <w:lang w:val="en-GB"/>
        </w:rPr>
        <w:t>，未</w:t>
      </w:r>
      <w:r w:rsidRPr="00FF700C">
        <w:rPr>
          <w:rFonts w:hint="eastAsia"/>
          <w:bCs/>
          <w:lang w:val="en-GB"/>
        </w:rPr>
        <w:t>达到</w:t>
      </w:r>
      <w:r w:rsidRPr="00FF700C">
        <w:rPr>
          <w:bCs/>
          <w:lang w:val="en-GB"/>
        </w:rPr>
        <w:t>20%</w:t>
      </w:r>
      <w:r w:rsidRPr="00FF700C">
        <w:rPr>
          <w:bCs/>
          <w:lang w:val="en-GB"/>
        </w:rPr>
        <w:t>的标准</w:t>
      </w:r>
      <w:r w:rsidRPr="00FF700C">
        <w:rPr>
          <w:rFonts w:hint="eastAsia"/>
          <w:bCs/>
          <w:lang w:val="en-GB"/>
        </w:rPr>
        <w:t>；</w:t>
      </w:r>
      <w:r w:rsidRPr="00FF700C">
        <w:rPr>
          <w:bCs/>
          <w:lang w:val="en-GB"/>
        </w:rPr>
        <w:t>剔除同行业板块因素（</w:t>
      </w:r>
      <w:r w:rsidRPr="00FF700C">
        <w:rPr>
          <w:rFonts w:hint="eastAsia"/>
          <w:bCs/>
          <w:lang w:val="en-GB"/>
        </w:rPr>
        <w:t>W</w:t>
      </w:r>
      <w:r w:rsidRPr="00FF700C">
        <w:rPr>
          <w:bCs/>
          <w:lang w:val="en-GB"/>
        </w:rPr>
        <w:t>ind</w:t>
      </w:r>
      <w:r w:rsidRPr="00FF700C">
        <w:rPr>
          <w:rFonts w:hint="eastAsia"/>
          <w:bCs/>
          <w:lang w:val="en-GB"/>
        </w:rPr>
        <w:t>工业机械行业指数</w:t>
      </w:r>
      <w:r w:rsidRPr="004C591B">
        <w:rPr>
          <w:bCs/>
          <w:lang w:val="en-GB"/>
        </w:rPr>
        <w:t>886021.WI</w:t>
      </w:r>
      <w:r w:rsidRPr="00FF700C">
        <w:rPr>
          <w:bCs/>
          <w:lang w:val="en-GB"/>
        </w:rPr>
        <w:t>）影响，</w:t>
      </w:r>
      <w:r w:rsidRPr="00FF700C">
        <w:rPr>
          <w:rFonts w:hint="eastAsia"/>
          <w:bCs/>
          <w:lang w:val="en-GB"/>
        </w:rPr>
        <w:t>上市</w:t>
      </w:r>
      <w:r w:rsidRPr="00FF700C">
        <w:rPr>
          <w:bCs/>
          <w:lang w:val="en-GB"/>
        </w:rPr>
        <w:t>公司股票价格在该区</w:t>
      </w:r>
      <w:r w:rsidRPr="00FF700C">
        <w:rPr>
          <w:rFonts w:hint="eastAsia"/>
          <w:bCs/>
          <w:lang w:val="en-GB"/>
        </w:rPr>
        <w:t>间内的累计涨幅为</w:t>
      </w:r>
      <w:r w:rsidRPr="00FF700C">
        <w:rPr>
          <w:rFonts w:hint="eastAsia"/>
          <w:bCs/>
          <w:lang w:val="en-GB"/>
        </w:rPr>
        <w:t>8</w:t>
      </w:r>
      <w:r w:rsidRPr="00FF700C">
        <w:rPr>
          <w:bCs/>
          <w:lang w:val="en-GB"/>
        </w:rPr>
        <w:t>.53%</w:t>
      </w:r>
      <w:r w:rsidRPr="00FF700C">
        <w:rPr>
          <w:bCs/>
          <w:lang w:val="en-GB"/>
        </w:rPr>
        <w:t>，未达到</w:t>
      </w:r>
      <w:r w:rsidRPr="00FF700C">
        <w:rPr>
          <w:bCs/>
          <w:lang w:val="en-GB"/>
        </w:rPr>
        <w:t>20%</w:t>
      </w:r>
      <w:r w:rsidRPr="00FF700C">
        <w:rPr>
          <w:bCs/>
          <w:lang w:val="en-GB"/>
        </w:rPr>
        <w:t>标准。</w:t>
      </w:r>
    </w:p>
    <w:p w14:paraId="0485DE8B" w14:textId="77777777" w:rsidR="0013117B" w:rsidRPr="00FF700C" w:rsidRDefault="0013117B" w:rsidP="00FF700C">
      <w:pPr>
        <w:spacing w:afterLines="50" w:after="156" w:line="360" w:lineRule="auto"/>
        <w:ind w:firstLineChars="200" w:firstLine="482"/>
        <w:outlineLvl w:val="1"/>
        <w:rPr>
          <w:rFonts w:ascii="Times New Roman" w:eastAsia="宋体" w:hAnsi="Times New Roman" w:cs="Times New Roman"/>
          <w:b/>
          <w:color w:val="000000"/>
          <w:sz w:val="24"/>
        </w:rPr>
      </w:pPr>
      <w:r w:rsidRPr="00FF700C">
        <w:rPr>
          <w:rFonts w:ascii="Times New Roman" w:eastAsia="宋体" w:hAnsi="Times New Roman" w:cs="Times New Roman" w:hint="eastAsia"/>
          <w:b/>
          <w:color w:val="000000"/>
          <w:sz w:val="24"/>
        </w:rPr>
        <w:t>二、</w:t>
      </w:r>
      <w:r w:rsidRPr="00FF700C">
        <w:rPr>
          <w:rFonts w:ascii="Times New Roman" w:eastAsia="宋体" w:hAnsi="Times New Roman" w:cs="Times New Roman"/>
          <w:b/>
          <w:color w:val="000000"/>
          <w:sz w:val="24"/>
        </w:rPr>
        <w:t>独立财务顾问核查意见</w:t>
      </w:r>
    </w:p>
    <w:p w14:paraId="145948EA" w14:textId="441358ED" w:rsidR="0013117B" w:rsidRPr="00FF700C" w:rsidRDefault="003B5090" w:rsidP="00FF700C">
      <w:pPr>
        <w:pStyle w:val="a3"/>
        <w:spacing w:beforeLines="0" w:before="0" w:afterLines="50" w:after="156"/>
        <w:ind w:firstLine="480"/>
        <w:rPr>
          <w:bCs/>
          <w:lang w:val="en-GB"/>
        </w:rPr>
      </w:pPr>
      <w:r>
        <w:rPr>
          <w:rFonts w:hint="eastAsia"/>
        </w:rPr>
        <w:t>中</w:t>
      </w:r>
      <w:proofErr w:type="gramStart"/>
      <w:r>
        <w:rPr>
          <w:rFonts w:hint="eastAsia"/>
        </w:rPr>
        <w:t>信建投</w:t>
      </w:r>
      <w:r w:rsidRPr="002F40D0">
        <w:rPr>
          <w:rFonts w:hint="eastAsia"/>
        </w:rPr>
        <w:t>证券</w:t>
      </w:r>
      <w:proofErr w:type="gramEnd"/>
      <w:r w:rsidRPr="002F40D0">
        <w:rPr>
          <w:rFonts w:hint="eastAsia"/>
        </w:rPr>
        <w:t>股份有限公司</w:t>
      </w:r>
      <w:r>
        <w:rPr>
          <w:rFonts w:hint="eastAsia"/>
        </w:rPr>
        <w:t>作为</w:t>
      </w:r>
      <w:r w:rsidRPr="002F40D0">
        <w:rPr>
          <w:rFonts w:hint="eastAsia"/>
        </w:rPr>
        <w:t>本次交易的独立财务顾问</w:t>
      </w:r>
      <w:r>
        <w:rPr>
          <w:rFonts w:hint="eastAsia"/>
        </w:rPr>
        <w:t>，</w:t>
      </w:r>
      <w:r w:rsidR="0013117B" w:rsidRPr="00FF700C">
        <w:rPr>
          <w:bCs/>
          <w:lang w:val="en-GB"/>
        </w:rPr>
        <w:t>经核查认为：剔除大盘因素和同行业板块因素影响后，上市公司股价在本次交易停牌前</w:t>
      </w:r>
      <w:r w:rsidR="0013117B" w:rsidRPr="00FF700C">
        <w:rPr>
          <w:bCs/>
          <w:lang w:val="en-GB"/>
        </w:rPr>
        <w:t>20</w:t>
      </w:r>
      <w:r w:rsidR="0013117B" w:rsidRPr="00FF700C">
        <w:rPr>
          <w:bCs/>
          <w:lang w:val="en-GB"/>
        </w:rPr>
        <w:t>个交</w:t>
      </w:r>
      <w:r w:rsidR="0013117B" w:rsidRPr="00FF700C">
        <w:rPr>
          <w:bCs/>
          <w:lang w:val="en-GB"/>
        </w:rPr>
        <w:lastRenderedPageBreak/>
        <w:t>易日内累计涨跌幅均</w:t>
      </w:r>
      <w:r w:rsidR="00E35FDF" w:rsidRPr="00FF700C">
        <w:rPr>
          <w:rFonts w:hint="eastAsia"/>
          <w:bCs/>
          <w:lang w:val="en-GB"/>
        </w:rPr>
        <w:t>未超过</w:t>
      </w:r>
      <w:r w:rsidR="0013117B" w:rsidRPr="00FF700C">
        <w:rPr>
          <w:bCs/>
          <w:lang w:val="en-GB"/>
        </w:rPr>
        <w:t>20%</w:t>
      </w:r>
      <w:r w:rsidR="00E35FDF" w:rsidRPr="00FF700C">
        <w:rPr>
          <w:rFonts w:hint="eastAsia"/>
          <w:bCs/>
          <w:lang w:val="en-GB"/>
        </w:rPr>
        <w:t>，</w:t>
      </w:r>
      <w:r w:rsidR="0013117B" w:rsidRPr="00FF700C">
        <w:rPr>
          <w:bCs/>
          <w:lang w:val="en-GB"/>
        </w:rPr>
        <w:t>未达到《关于规范上市公司信息披露及相关各方行为的通知》第五条的相关标准。</w:t>
      </w:r>
    </w:p>
    <w:p w14:paraId="689476BF" w14:textId="04205DCD" w:rsidR="0013117B" w:rsidRPr="00FF700C" w:rsidRDefault="0013117B" w:rsidP="00FF700C">
      <w:pPr>
        <w:pStyle w:val="a3"/>
        <w:spacing w:beforeLines="0" w:before="0" w:afterLines="50" w:after="156"/>
        <w:ind w:firstLine="480"/>
        <w:rPr>
          <w:bCs/>
          <w:lang w:val="en-GB"/>
        </w:rPr>
      </w:pPr>
      <w:r w:rsidRPr="00FF700C">
        <w:rPr>
          <w:rFonts w:hint="eastAsia"/>
          <w:bCs/>
          <w:lang w:val="en-GB"/>
        </w:rPr>
        <w:t>综上，公司股票价格波动未达到</w:t>
      </w:r>
      <w:r w:rsidR="00421235" w:rsidRPr="00421235">
        <w:rPr>
          <w:rFonts w:hint="eastAsia"/>
          <w:bCs/>
          <w:lang w:val="en-GB"/>
        </w:rPr>
        <w:t>《关于规范上市公司信息披露及相关各方行为的通知》</w:t>
      </w:r>
      <w:r w:rsidRPr="00FF700C">
        <w:rPr>
          <w:rFonts w:hint="eastAsia"/>
          <w:bCs/>
          <w:lang w:val="en-GB"/>
        </w:rPr>
        <w:t>第五条之规定的累计涨跌</w:t>
      </w:r>
      <w:proofErr w:type="gramStart"/>
      <w:r w:rsidRPr="00FF700C">
        <w:rPr>
          <w:rFonts w:hint="eastAsia"/>
          <w:bCs/>
          <w:lang w:val="en-GB"/>
        </w:rPr>
        <w:t>幅相关</w:t>
      </w:r>
      <w:proofErr w:type="gramEnd"/>
      <w:r w:rsidRPr="00FF700C">
        <w:rPr>
          <w:rFonts w:hint="eastAsia"/>
          <w:bCs/>
          <w:lang w:val="en-GB"/>
        </w:rPr>
        <w:t>标准。</w:t>
      </w:r>
    </w:p>
    <w:p w14:paraId="7B537FD5" w14:textId="410019B3" w:rsidR="00FF700C" w:rsidRDefault="00FF700C">
      <w:pPr>
        <w:widowControl/>
        <w:jc w:val="left"/>
        <w:rPr>
          <w:rFonts w:ascii="Times New Roman" w:eastAsia="宋体" w:hAnsi="Times New Roman" w:cs="Times New Roman"/>
          <w:color w:val="000000"/>
          <w:sz w:val="24"/>
        </w:rPr>
      </w:pPr>
      <w:r>
        <w:br w:type="page"/>
      </w:r>
    </w:p>
    <w:p w14:paraId="1DCE22E0" w14:textId="77777777" w:rsidR="007D0BA6" w:rsidRPr="00FF700C" w:rsidRDefault="007D0BA6" w:rsidP="007D0BA6">
      <w:pPr>
        <w:pStyle w:val="a3"/>
        <w:spacing w:beforeLines="0" w:before="0" w:afterLines="50" w:after="156"/>
        <w:ind w:firstLineChars="0" w:firstLine="0"/>
        <w:rPr>
          <w:bCs/>
          <w:lang w:val="en-GB"/>
        </w:rPr>
      </w:pPr>
      <w:r w:rsidRPr="00FF700C">
        <w:rPr>
          <w:bCs/>
          <w:lang w:val="en-GB"/>
        </w:rPr>
        <w:lastRenderedPageBreak/>
        <w:t>（</w:t>
      </w:r>
      <w:r>
        <w:rPr>
          <w:rFonts w:hint="eastAsia"/>
          <w:bCs/>
          <w:lang w:val="en-GB"/>
        </w:rPr>
        <w:t>本页</w:t>
      </w:r>
      <w:r w:rsidRPr="00FF700C">
        <w:rPr>
          <w:rFonts w:hint="eastAsia"/>
          <w:bCs/>
          <w:lang w:val="en-GB"/>
        </w:rPr>
        <w:t>无正文，为《中信建投证券股份有限公司关于</w:t>
      </w:r>
      <w:r w:rsidRPr="006B15E6">
        <w:rPr>
          <w:rFonts w:hint="eastAsia"/>
          <w:bCs/>
          <w:lang w:val="en-GB"/>
        </w:rPr>
        <w:t>北京京城机电股份有限公司</w:t>
      </w:r>
      <w:r w:rsidRPr="00FF700C">
        <w:rPr>
          <w:rFonts w:hint="eastAsia"/>
          <w:bCs/>
          <w:lang w:val="en-GB"/>
        </w:rPr>
        <w:t>股票价格波动是否达到</w:t>
      </w:r>
      <w:r>
        <w:rPr>
          <w:rFonts w:hint="eastAsia"/>
          <w:bCs/>
          <w:lang w:val="en-GB"/>
        </w:rPr>
        <w:t>&lt;</w:t>
      </w:r>
      <w:r w:rsidRPr="00FF700C">
        <w:rPr>
          <w:rFonts w:hint="eastAsia"/>
          <w:bCs/>
          <w:lang w:val="en-GB"/>
        </w:rPr>
        <w:t>关于规范上市公司信息披露及相关各方行为的通知</w:t>
      </w:r>
      <w:r>
        <w:rPr>
          <w:bCs/>
          <w:lang w:val="en-GB"/>
        </w:rPr>
        <w:t>&gt;</w:t>
      </w:r>
      <w:r w:rsidRPr="00FF700C">
        <w:rPr>
          <w:bCs/>
          <w:lang w:val="en-GB"/>
        </w:rPr>
        <w:t>第五条相关标准的核查意见</w:t>
      </w:r>
      <w:r w:rsidRPr="00FF700C">
        <w:rPr>
          <w:rFonts w:hint="eastAsia"/>
          <w:bCs/>
          <w:lang w:val="en-GB"/>
        </w:rPr>
        <w:t>》之签章页</w:t>
      </w:r>
      <w:r w:rsidRPr="00FF700C">
        <w:rPr>
          <w:bCs/>
          <w:lang w:val="en-GB"/>
        </w:rPr>
        <w:t>）</w:t>
      </w:r>
    </w:p>
    <w:p w14:paraId="081CBAF4" w14:textId="77777777" w:rsidR="007D0BA6" w:rsidRPr="00657C46" w:rsidRDefault="007D0BA6" w:rsidP="007D0BA6">
      <w:pPr>
        <w:pStyle w:val="a3"/>
        <w:spacing w:beforeLines="0" w:before="0" w:afterLines="50" w:after="156"/>
        <w:ind w:firstLineChars="0" w:firstLine="0"/>
        <w:rPr>
          <w:bCs/>
          <w:lang w:val="en-GB"/>
        </w:rPr>
      </w:pPr>
    </w:p>
    <w:p w14:paraId="513CD25F" w14:textId="77777777" w:rsidR="007D0BA6" w:rsidRPr="00E35FDF" w:rsidRDefault="007D0BA6" w:rsidP="007D0BA6">
      <w:pPr>
        <w:widowControl/>
        <w:spacing w:beforeLines="50" w:before="156" w:line="360" w:lineRule="auto"/>
        <w:jc w:val="left"/>
        <w:rPr>
          <w:rFonts w:ascii="Calibri" w:eastAsia="宋体" w:hAnsi="Calibri" w:cs="Times New Roman"/>
          <w:sz w:val="24"/>
        </w:rPr>
      </w:pPr>
    </w:p>
    <w:p w14:paraId="255F550A" w14:textId="77777777" w:rsidR="007D0BA6" w:rsidRPr="00E35FDF" w:rsidRDefault="007D0BA6" w:rsidP="007D0BA6">
      <w:pPr>
        <w:widowControl/>
        <w:spacing w:beforeLines="50" w:before="156" w:line="360" w:lineRule="auto"/>
        <w:jc w:val="left"/>
        <w:rPr>
          <w:rFonts w:ascii="Calibri" w:eastAsia="宋体" w:hAnsi="Calibri" w:cs="Times New Roman"/>
          <w:sz w:val="24"/>
        </w:rPr>
      </w:pPr>
    </w:p>
    <w:p w14:paraId="554E21E5" w14:textId="77777777" w:rsidR="007D0BA6" w:rsidRPr="00524DF8" w:rsidRDefault="007D0BA6" w:rsidP="007D0BA6">
      <w:pPr>
        <w:pStyle w:val="2"/>
        <w:spacing w:before="156"/>
        <w:ind w:firstLineChars="0" w:firstLine="0"/>
        <w:jc w:val="both"/>
      </w:pPr>
      <w:r>
        <w:rPr>
          <w:rFonts w:hint="eastAsia"/>
        </w:rPr>
        <w:t>独立财务顾问</w:t>
      </w:r>
      <w:r w:rsidRPr="00CA7DB6">
        <w:t>主办人：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</w:t>
      </w:r>
      <w:r>
        <w:t xml:space="preserve">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</w:t>
      </w:r>
    </w:p>
    <w:p w14:paraId="3177300D" w14:textId="77777777" w:rsidR="007D0BA6" w:rsidRDefault="007D0BA6" w:rsidP="007D0BA6">
      <w:pPr>
        <w:pStyle w:val="2"/>
        <w:spacing w:before="156"/>
        <w:ind w:firstLineChars="1283" w:firstLine="3079"/>
        <w:jc w:val="both"/>
      </w:pPr>
      <w:r>
        <w:rPr>
          <w:rFonts w:hint="eastAsia"/>
        </w:rPr>
        <w:t>侯</w:t>
      </w:r>
      <w:r>
        <w:rPr>
          <w:rFonts w:hint="eastAsia"/>
        </w:rPr>
        <w:t xml:space="preserve">  </w:t>
      </w:r>
      <w:r>
        <w:rPr>
          <w:rFonts w:hint="eastAsia"/>
        </w:rPr>
        <w:t>顺</w:t>
      </w:r>
      <w:r>
        <w:rPr>
          <w:rFonts w:hint="eastAsia"/>
        </w:rPr>
        <w:t xml:space="preserve"> </w:t>
      </w:r>
      <w:r>
        <w:t xml:space="preserve">            </w:t>
      </w:r>
      <w:r>
        <w:rPr>
          <w:rFonts w:hint="eastAsia"/>
        </w:rPr>
        <w:t xml:space="preserve">  </w:t>
      </w:r>
      <w:r>
        <w:t xml:space="preserve"> </w:t>
      </w:r>
      <w:proofErr w:type="gramStart"/>
      <w:r>
        <w:rPr>
          <w:rFonts w:hint="eastAsia"/>
        </w:rPr>
        <w:t>顾京洪</w:t>
      </w:r>
      <w:proofErr w:type="gramEnd"/>
    </w:p>
    <w:p w14:paraId="447B1EBE" w14:textId="77777777" w:rsidR="007D0BA6" w:rsidRDefault="007D0BA6" w:rsidP="007D0BA6">
      <w:pPr>
        <w:spacing w:afterLines="50" w:after="156" w:line="360" w:lineRule="auto"/>
        <w:ind w:rightChars="40" w:right="84"/>
        <w:rPr>
          <w:sz w:val="24"/>
          <w:szCs w:val="24"/>
        </w:rPr>
      </w:pPr>
    </w:p>
    <w:p w14:paraId="42572575" w14:textId="77777777" w:rsidR="007D0BA6" w:rsidRPr="005D6513" w:rsidRDefault="007D0BA6" w:rsidP="007D0BA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444C974" w14:textId="77777777" w:rsidR="007D0BA6" w:rsidRPr="00BD41C2" w:rsidRDefault="007D0BA6" w:rsidP="007D0BA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DF139B5" w14:textId="77777777" w:rsidR="007D0BA6" w:rsidRPr="00FF700C" w:rsidRDefault="007D0BA6" w:rsidP="007D0BA6">
      <w:pPr>
        <w:pStyle w:val="a3"/>
        <w:spacing w:beforeLines="0" w:before="0" w:afterLines="50" w:after="156"/>
        <w:ind w:firstLine="480"/>
        <w:jc w:val="right"/>
        <w:rPr>
          <w:bCs/>
          <w:lang w:val="en-GB"/>
        </w:rPr>
      </w:pPr>
      <w:r w:rsidRPr="00FF700C">
        <w:rPr>
          <w:rFonts w:hint="eastAsia"/>
          <w:bCs/>
          <w:lang w:val="en-GB"/>
        </w:rPr>
        <w:t>中</w:t>
      </w:r>
      <w:proofErr w:type="gramStart"/>
      <w:r w:rsidRPr="00FF700C">
        <w:rPr>
          <w:rFonts w:hint="eastAsia"/>
          <w:bCs/>
          <w:lang w:val="en-GB"/>
        </w:rPr>
        <w:t>信建投证券</w:t>
      </w:r>
      <w:proofErr w:type="gramEnd"/>
      <w:r w:rsidRPr="00FF700C">
        <w:rPr>
          <w:rFonts w:hint="eastAsia"/>
          <w:bCs/>
          <w:lang w:val="en-GB"/>
        </w:rPr>
        <w:t>股份有限公司</w:t>
      </w:r>
    </w:p>
    <w:p w14:paraId="2A3FDB67" w14:textId="77777777" w:rsidR="007D0BA6" w:rsidRPr="00FF700C" w:rsidRDefault="007D0BA6" w:rsidP="007D0BA6">
      <w:pPr>
        <w:pStyle w:val="a3"/>
        <w:spacing w:beforeLines="0" w:before="0" w:afterLines="50" w:after="156"/>
        <w:ind w:firstLine="480"/>
        <w:jc w:val="right"/>
        <w:rPr>
          <w:bCs/>
          <w:lang w:val="en-GB"/>
        </w:rPr>
      </w:pPr>
    </w:p>
    <w:p w14:paraId="19BE6946" w14:textId="1B9467A8" w:rsidR="0013117B" w:rsidRPr="007D0BA6" w:rsidRDefault="007D0BA6" w:rsidP="007D0BA6">
      <w:pPr>
        <w:pStyle w:val="a3"/>
        <w:spacing w:beforeLines="0" w:before="0" w:afterLines="50" w:after="156"/>
        <w:ind w:firstLine="480"/>
        <w:jc w:val="right"/>
        <w:rPr>
          <w:bCs/>
          <w:lang w:val="en-GB"/>
        </w:rPr>
      </w:pPr>
      <w:r w:rsidRPr="00FF700C">
        <w:rPr>
          <w:bCs/>
          <w:lang w:val="en-GB"/>
        </w:rPr>
        <w:t>年</w:t>
      </w:r>
      <w:r w:rsidRPr="00FF700C">
        <w:rPr>
          <w:rFonts w:hint="eastAsia"/>
          <w:bCs/>
          <w:lang w:val="en-GB"/>
        </w:rPr>
        <w:t xml:space="preserve"> </w:t>
      </w:r>
      <w:r w:rsidRPr="00FF700C">
        <w:rPr>
          <w:bCs/>
          <w:lang w:val="en-GB"/>
        </w:rPr>
        <w:t xml:space="preserve"> </w:t>
      </w:r>
      <w:r>
        <w:rPr>
          <w:bCs/>
          <w:lang w:val="en-GB"/>
        </w:rPr>
        <w:t xml:space="preserve">  </w:t>
      </w:r>
      <w:r w:rsidRPr="00FF700C">
        <w:rPr>
          <w:bCs/>
          <w:lang w:val="en-GB"/>
        </w:rPr>
        <w:t>月</w:t>
      </w:r>
      <w:r w:rsidRPr="00FF700C">
        <w:rPr>
          <w:bCs/>
          <w:lang w:val="en-GB"/>
        </w:rPr>
        <w:t xml:space="preserve">  </w:t>
      </w:r>
      <w:r>
        <w:rPr>
          <w:bCs/>
          <w:lang w:val="en-GB"/>
        </w:rPr>
        <w:t xml:space="preserve">  </w:t>
      </w:r>
      <w:r w:rsidRPr="00FF700C">
        <w:rPr>
          <w:bCs/>
          <w:lang w:val="en-GB"/>
        </w:rPr>
        <w:t>日</w:t>
      </w:r>
    </w:p>
    <w:sectPr w:rsidR="0013117B" w:rsidRPr="007D0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4A069" w14:textId="77777777" w:rsidR="00393A84" w:rsidRDefault="00393A84" w:rsidP="00E35FDF">
      <w:r>
        <w:separator/>
      </w:r>
    </w:p>
  </w:endnote>
  <w:endnote w:type="continuationSeparator" w:id="0">
    <w:p w14:paraId="0C38458E" w14:textId="77777777" w:rsidR="00393A84" w:rsidRDefault="00393A84" w:rsidP="00E3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08DA3" w14:textId="77777777" w:rsidR="00393A84" w:rsidRDefault="00393A84" w:rsidP="00E35FDF">
      <w:r>
        <w:separator/>
      </w:r>
    </w:p>
  </w:footnote>
  <w:footnote w:type="continuationSeparator" w:id="0">
    <w:p w14:paraId="0D77EF4E" w14:textId="77777777" w:rsidR="00393A84" w:rsidRDefault="00393A84" w:rsidP="00E35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7B"/>
    <w:rsid w:val="00077555"/>
    <w:rsid w:val="0013117B"/>
    <w:rsid w:val="00352B7C"/>
    <w:rsid w:val="003701C9"/>
    <w:rsid w:val="00393A84"/>
    <w:rsid w:val="003B5090"/>
    <w:rsid w:val="003D5C00"/>
    <w:rsid w:val="00421235"/>
    <w:rsid w:val="007D0BA6"/>
    <w:rsid w:val="007F3084"/>
    <w:rsid w:val="00BD25A7"/>
    <w:rsid w:val="00E31138"/>
    <w:rsid w:val="00E35FDF"/>
    <w:rsid w:val="00EA2592"/>
    <w:rsid w:val="00EA6C7C"/>
    <w:rsid w:val="00F856FC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99110"/>
  <w15:chartTrackingRefBased/>
  <w15:docId w15:val="{9BDE238D-8D29-4950-9AF7-406D8A4A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件正文"/>
    <w:link w:val="Char"/>
    <w:qFormat/>
    <w:rsid w:val="0013117B"/>
    <w:pPr>
      <w:spacing w:beforeLines="50" w:before="50" w:line="360" w:lineRule="auto"/>
      <w:ind w:firstLineChars="200" w:firstLine="200"/>
      <w:jc w:val="both"/>
    </w:pPr>
    <w:rPr>
      <w:rFonts w:ascii="Times New Roman" w:eastAsia="宋体" w:hAnsi="Times New Roman" w:cs="Times New Roman"/>
      <w:color w:val="000000"/>
      <w:sz w:val="24"/>
    </w:rPr>
  </w:style>
  <w:style w:type="character" w:customStyle="1" w:styleId="Char">
    <w:name w:val="文件正文 Char"/>
    <w:link w:val="a3"/>
    <w:qFormat/>
    <w:rsid w:val="0013117B"/>
    <w:rPr>
      <w:rFonts w:ascii="Times New Roman" w:eastAsia="宋体" w:hAnsi="Times New Roman" w:cs="Times New Roman"/>
      <w:color w:val="000000"/>
      <w:sz w:val="24"/>
    </w:rPr>
  </w:style>
  <w:style w:type="character" w:customStyle="1" w:styleId="fontstyle01">
    <w:name w:val="fontstyle01"/>
    <w:basedOn w:val="a0"/>
    <w:rsid w:val="0013117B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13117B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13117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35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35FD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5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5FDF"/>
    <w:rPr>
      <w:sz w:val="18"/>
      <w:szCs w:val="18"/>
    </w:rPr>
  </w:style>
  <w:style w:type="paragraph" w:customStyle="1" w:styleId="2">
    <w:name w:val="2招股书正文"/>
    <w:link w:val="2Char"/>
    <w:rsid w:val="00E35FDF"/>
    <w:pPr>
      <w:spacing w:beforeLines="50" w:line="360" w:lineRule="auto"/>
      <w:ind w:firstLineChars="200" w:firstLine="200"/>
    </w:pPr>
    <w:rPr>
      <w:rFonts w:ascii="Times New Roman" w:eastAsia="宋体" w:hAnsi="Times New Roman" w:cs="Times New Roman"/>
      <w:color w:val="000000"/>
      <w:sz w:val="24"/>
      <w:szCs w:val="20"/>
      <w:lang w:val="en-GB"/>
    </w:rPr>
  </w:style>
  <w:style w:type="character" w:customStyle="1" w:styleId="2Char">
    <w:name w:val="2招股书正文 Char"/>
    <w:link w:val="2"/>
    <w:rsid w:val="00E35FDF"/>
    <w:rPr>
      <w:rFonts w:ascii="Times New Roman" w:eastAsia="宋体" w:hAnsi="Times New Roman" w:cs="Times New Roman"/>
      <w:color w:val="00000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幽兰迭香 幽兰迭香</dc:creator>
  <cp:keywords/>
  <dc:description/>
  <cp:lastModifiedBy>邱 一粟</cp:lastModifiedBy>
  <cp:revision>10</cp:revision>
  <dcterms:created xsi:type="dcterms:W3CDTF">2020-12-16T09:35:00Z</dcterms:created>
  <dcterms:modified xsi:type="dcterms:W3CDTF">2020-12-24T06:48:00Z</dcterms:modified>
</cp:coreProperties>
</file>