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8E10B" w14:textId="03456E90" w:rsidR="00C20E24" w:rsidRDefault="00C20E24" w:rsidP="00C20E24">
      <w:pPr>
        <w:spacing w:line="460" w:lineRule="exact"/>
        <w:rPr>
          <w:rFonts w:ascii="宋体" w:hAnsi="宋体"/>
          <w:sz w:val="24"/>
        </w:rPr>
      </w:pPr>
      <w:r>
        <w:rPr>
          <w:sz w:val="24"/>
        </w:rPr>
        <w:t>股票代码：</w:t>
      </w:r>
      <w:r>
        <w:rPr>
          <w:sz w:val="24"/>
        </w:rPr>
        <w:t xml:space="preserve">600860           </w:t>
      </w:r>
      <w:r>
        <w:rPr>
          <w:sz w:val="24"/>
        </w:rPr>
        <w:t>股票简称：</w:t>
      </w:r>
      <w:r>
        <w:rPr>
          <w:sz w:val="24"/>
        </w:rPr>
        <w:t>*ST</w:t>
      </w:r>
      <w:r>
        <w:rPr>
          <w:sz w:val="24"/>
        </w:rPr>
        <w:t>京城</w:t>
      </w:r>
      <w:r>
        <w:rPr>
          <w:sz w:val="24"/>
        </w:rPr>
        <w:t xml:space="preserve">        </w:t>
      </w:r>
      <w:r>
        <w:rPr>
          <w:sz w:val="24"/>
        </w:rPr>
        <w:t>编号：临</w:t>
      </w:r>
      <w:r>
        <w:rPr>
          <w:sz w:val="24"/>
        </w:rPr>
        <w:t>2020</w:t>
      </w:r>
      <w:r>
        <w:rPr>
          <w:rFonts w:hint="eastAsia"/>
          <w:sz w:val="24"/>
        </w:rPr>
        <w:t>-</w:t>
      </w:r>
      <w:r w:rsidRPr="0018071C">
        <w:rPr>
          <w:sz w:val="24"/>
        </w:rPr>
        <w:t>06</w:t>
      </w:r>
      <w:r w:rsidR="004148F4">
        <w:rPr>
          <w:sz w:val="24"/>
        </w:rPr>
        <w:t>7</w:t>
      </w:r>
    </w:p>
    <w:p w14:paraId="32BE6BBE" w14:textId="77777777" w:rsidR="00C20E24" w:rsidRPr="00A449F3" w:rsidRDefault="00C20E24" w:rsidP="00C20E24">
      <w:pPr>
        <w:spacing w:line="460" w:lineRule="exact"/>
        <w:ind w:firstLine="57"/>
        <w:rPr>
          <w:rFonts w:ascii="宋体" w:hAnsi="宋体"/>
          <w:sz w:val="24"/>
        </w:rPr>
      </w:pPr>
    </w:p>
    <w:p w14:paraId="4E381E88" w14:textId="77777777" w:rsidR="00C20E24" w:rsidRPr="00A449F3" w:rsidRDefault="00C20E24" w:rsidP="00C20E24">
      <w:pPr>
        <w:adjustRightInd w:val="0"/>
        <w:snapToGrid w:val="0"/>
        <w:jc w:val="center"/>
        <w:rPr>
          <w:rFonts w:ascii="宋体" w:hAnsi="宋体"/>
          <w:b/>
          <w:color w:val="FF0000"/>
          <w:sz w:val="36"/>
          <w:szCs w:val="36"/>
        </w:rPr>
      </w:pPr>
      <w:r w:rsidRPr="00A449F3">
        <w:rPr>
          <w:rFonts w:ascii="Times New Roman" w:hAnsi="Times New Roman" w:hint="eastAsia"/>
          <w:b/>
          <w:color w:val="FF0000"/>
          <w:sz w:val="36"/>
          <w:szCs w:val="36"/>
        </w:rPr>
        <w:t>北</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城</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机</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电</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股</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份</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有</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限</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司</w:t>
      </w:r>
    </w:p>
    <w:p w14:paraId="59F81E52" w14:textId="77777777" w:rsidR="00C20E24" w:rsidRPr="00A449F3" w:rsidRDefault="00C20E24" w:rsidP="00C20E24">
      <w:pPr>
        <w:adjustRightInd w:val="0"/>
        <w:snapToGrid w:val="0"/>
        <w:jc w:val="center"/>
        <w:outlineLvl w:val="0"/>
        <w:rPr>
          <w:rFonts w:ascii="宋体" w:hAnsi="宋体"/>
          <w:b/>
          <w:caps/>
          <w:color w:val="FF0000"/>
          <w:sz w:val="32"/>
          <w:szCs w:val="32"/>
        </w:rPr>
      </w:pPr>
      <w:r w:rsidRPr="00A449F3">
        <w:rPr>
          <w:rFonts w:ascii="宋体" w:hAnsi="宋体"/>
          <w:b/>
          <w:caps/>
          <w:color w:val="FF0000"/>
          <w:sz w:val="32"/>
          <w:szCs w:val="32"/>
        </w:rPr>
        <w:t>Beijing Jingcheng Machinery Electric Company Limited</w:t>
      </w:r>
    </w:p>
    <w:p w14:paraId="36B9FD5B" w14:textId="77777777" w:rsidR="00BC662E" w:rsidRDefault="00C20E24" w:rsidP="00BC662E">
      <w:pPr>
        <w:contextualSpacing/>
        <w:jc w:val="center"/>
        <w:rPr>
          <w:rFonts w:ascii="宋体" w:hAnsi="宋体"/>
          <w:b/>
          <w:i/>
          <w:color w:val="FF0000"/>
          <w:sz w:val="32"/>
          <w:szCs w:val="32"/>
        </w:rPr>
      </w:pPr>
      <w:r w:rsidRPr="00A449F3">
        <w:rPr>
          <w:rFonts w:ascii="宋体" w:hAnsi="宋体" w:hint="eastAsia"/>
          <w:b/>
          <w:i/>
          <w:color w:val="FF0000"/>
          <w:sz w:val="32"/>
          <w:szCs w:val="32"/>
        </w:rPr>
        <w:t>(在中华人民共和国注册成立之股份有限公司)</w:t>
      </w:r>
    </w:p>
    <w:p w14:paraId="670EF788" w14:textId="13B51B77" w:rsidR="002A5D00" w:rsidRPr="00C20E24" w:rsidRDefault="00A65730" w:rsidP="00BC662E">
      <w:pPr>
        <w:contextualSpacing/>
        <w:jc w:val="center"/>
        <w:rPr>
          <w:rFonts w:ascii="宋体" w:eastAsia="宋体" w:hAnsi="宋体"/>
          <w:sz w:val="24"/>
        </w:rPr>
      </w:pPr>
      <w:r w:rsidRPr="00C20E24">
        <w:rPr>
          <w:rFonts w:ascii="宋体" w:eastAsia="宋体" w:hAnsi="宋体" w:hint="eastAsia"/>
          <w:b/>
          <w:bCs/>
          <w:color w:val="FF0000"/>
          <w:sz w:val="32"/>
          <w:szCs w:val="32"/>
        </w:rPr>
        <w:t>关于发行股份</w:t>
      </w:r>
      <w:r w:rsidR="00604128" w:rsidRPr="00C20E24">
        <w:rPr>
          <w:rFonts w:ascii="宋体" w:eastAsia="宋体" w:hAnsi="宋体" w:hint="eastAsia"/>
          <w:b/>
          <w:bCs/>
          <w:color w:val="FF0000"/>
          <w:sz w:val="32"/>
          <w:szCs w:val="32"/>
        </w:rPr>
        <w:t>及支付现金</w:t>
      </w:r>
      <w:r w:rsidRPr="00C20E24">
        <w:rPr>
          <w:rFonts w:ascii="宋体" w:eastAsia="宋体" w:hAnsi="宋体" w:hint="eastAsia"/>
          <w:b/>
          <w:bCs/>
          <w:color w:val="FF0000"/>
          <w:sz w:val="32"/>
          <w:szCs w:val="32"/>
        </w:rPr>
        <w:t>购买资产</w:t>
      </w:r>
      <w:r w:rsidR="00604128" w:rsidRPr="00C20E24">
        <w:rPr>
          <w:rFonts w:ascii="宋体" w:eastAsia="宋体" w:hAnsi="宋体" w:hint="eastAsia"/>
          <w:b/>
          <w:bCs/>
          <w:color w:val="FF0000"/>
          <w:sz w:val="32"/>
          <w:szCs w:val="32"/>
        </w:rPr>
        <w:t>并募集配套资金</w:t>
      </w:r>
      <w:r w:rsidRPr="00C20E24">
        <w:rPr>
          <w:rFonts w:ascii="宋体" w:eastAsia="宋体" w:hAnsi="宋体" w:hint="eastAsia"/>
          <w:b/>
          <w:bCs/>
          <w:color w:val="FF0000"/>
          <w:sz w:val="32"/>
          <w:szCs w:val="32"/>
        </w:rPr>
        <w:t>预案修订说明</w:t>
      </w:r>
    </w:p>
    <w:p w14:paraId="443B0C46" w14:textId="6397909E" w:rsidR="002A5D00" w:rsidRDefault="00604128">
      <w:pPr>
        <w:spacing w:beforeLines="50" w:before="156" w:afterLines="50" w:after="156" w:line="360" w:lineRule="auto"/>
        <w:ind w:firstLineChars="200" w:firstLine="480"/>
        <w:rPr>
          <w:rFonts w:ascii="Times New Roman" w:hAnsi="Times New Roman" w:cs="Times New Roman"/>
          <w:sz w:val="24"/>
        </w:rPr>
      </w:pPr>
      <w:r w:rsidRPr="00604128">
        <w:rPr>
          <w:rFonts w:ascii="Times New Roman" w:hAnsi="Times New Roman" w:cs="Times New Roman" w:hint="eastAsia"/>
          <w:sz w:val="24"/>
        </w:rPr>
        <w:t>北京京城机电股份有限公司（以下简称“公司”）于</w:t>
      </w:r>
      <w:r w:rsidRPr="00604128">
        <w:rPr>
          <w:rFonts w:ascii="Times New Roman" w:hAnsi="Times New Roman" w:cs="Times New Roman" w:hint="eastAsia"/>
          <w:sz w:val="24"/>
        </w:rPr>
        <w:t>2020</w:t>
      </w:r>
      <w:r w:rsidRPr="00604128">
        <w:rPr>
          <w:rFonts w:ascii="Times New Roman" w:hAnsi="Times New Roman" w:cs="Times New Roman" w:hint="eastAsia"/>
          <w:sz w:val="24"/>
        </w:rPr>
        <w:t>年</w:t>
      </w:r>
      <w:r w:rsidRPr="00604128">
        <w:rPr>
          <w:rFonts w:ascii="Times New Roman" w:hAnsi="Times New Roman" w:cs="Times New Roman" w:hint="eastAsia"/>
          <w:sz w:val="24"/>
        </w:rPr>
        <w:t>8</w:t>
      </w:r>
      <w:r w:rsidRPr="00604128">
        <w:rPr>
          <w:rFonts w:ascii="Times New Roman" w:hAnsi="Times New Roman" w:cs="Times New Roman" w:hint="eastAsia"/>
          <w:sz w:val="24"/>
        </w:rPr>
        <w:t>月</w:t>
      </w:r>
      <w:r w:rsidRPr="00604128">
        <w:rPr>
          <w:rFonts w:ascii="Times New Roman" w:hAnsi="Times New Roman" w:cs="Times New Roman" w:hint="eastAsia"/>
          <w:sz w:val="24"/>
        </w:rPr>
        <w:t>18</w:t>
      </w:r>
      <w:r w:rsidRPr="00604128">
        <w:rPr>
          <w:rFonts w:ascii="Times New Roman" w:hAnsi="Times New Roman" w:cs="Times New Roman" w:hint="eastAsia"/>
          <w:sz w:val="24"/>
        </w:rPr>
        <w:t>日披露了《发行股份及支付现金购买资产并募集配套资金预案》，并于</w:t>
      </w:r>
      <w:r w:rsidRPr="00604128">
        <w:rPr>
          <w:rFonts w:ascii="Times New Roman" w:hAnsi="Times New Roman" w:cs="Times New Roman" w:hint="eastAsia"/>
          <w:sz w:val="24"/>
        </w:rPr>
        <w:t>2020</w:t>
      </w:r>
      <w:r w:rsidRPr="00604128">
        <w:rPr>
          <w:rFonts w:ascii="Times New Roman" w:hAnsi="Times New Roman" w:cs="Times New Roman" w:hint="eastAsia"/>
          <w:sz w:val="24"/>
        </w:rPr>
        <w:t>年</w:t>
      </w:r>
      <w:r w:rsidRPr="00604128">
        <w:rPr>
          <w:rFonts w:ascii="Times New Roman" w:hAnsi="Times New Roman" w:cs="Times New Roman" w:hint="eastAsia"/>
          <w:sz w:val="24"/>
        </w:rPr>
        <w:t>8</w:t>
      </w:r>
      <w:r w:rsidRPr="00604128">
        <w:rPr>
          <w:rFonts w:ascii="Times New Roman" w:hAnsi="Times New Roman" w:cs="Times New Roman" w:hint="eastAsia"/>
          <w:sz w:val="24"/>
        </w:rPr>
        <w:t>月</w:t>
      </w:r>
      <w:r w:rsidRPr="00604128">
        <w:rPr>
          <w:rFonts w:ascii="Times New Roman" w:hAnsi="Times New Roman" w:cs="Times New Roman" w:hint="eastAsia"/>
          <w:sz w:val="24"/>
        </w:rPr>
        <w:t>31</w:t>
      </w:r>
      <w:r w:rsidRPr="00604128">
        <w:rPr>
          <w:rFonts w:ascii="Times New Roman" w:hAnsi="Times New Roman" w:cs="Times New Roman" w:hint="eastAsia"/>
          <w:sz w:val="24"/>
        </w:rPr>
        <w:t>日收到上海证券交易所（以下简称“上交所”）下发的《关于对北京京城机电股份有限公司发行股份及支付现金购买资产并募集配套资金预案信息披露的问询函</w:t>
      </w:r>
      <w:proofErr w:type="gramStart"/>
      <w:r w:rsidRPr="00604128">
        <w:rPr>
          <w:rFonts w:ascii="Times New Roman" w:hAnsi="Times New Roman" w:cs="Times New Roman" w:hint="eastAsia"/>
          <w:sz w:val="24"/>
        </w:rPr>
        <w:t>》</w:t>
      </w:r>
      <w:proofErr w:type="gramEnd"/>
      <w:r w:rsidRPr="00604128">
        <w:rPr>
          <w:rFonts w:ascii="Times New Roman" w:hAnsi="Times New Roman" w:cs="Times New Roman" w:hint="eastAsia"/>
          <w:sz w:val="24"/>
        </w:rPr>
        <w:t>(</w:t>
      </w:r>
      <w:r w:rsidRPr="00604128">
        <w:rPr>
          <w:rFonts w:ascii="Times New Roman" w:hAnsi="Times New Roman" w:cs="Times New Roman" w:hint="eastAsia"/>
          <w:sz w:val="24"/>
        </w:rPr>
        <w:t>上证公函【</w:t>
      </w:r>
      <w:r w:rsidRPr="00604128">
        <w:rPr>
          <w:rFonts w:ascii="Times New Roman" w:hAnsi="Times New Roman" w:cs="Times New Roman" w:hint="eastAsia"/>
          <w:sz w:val="24"/>
        </w:rPr>
        <w:t>2020</w:t>
      </w:r>
      <w:r w:rsidRPr="00604128">
        <w:rPr>
          <w:rFonts w:ascii="Times New Roman" w:hAnsi="Times New Roman" w:cs="Times New Roman" w:hint="eastAsia"/>
          <w:sz w:val="24"/>
        </w:rPr>
        <w:t>】</w:t>
      </w:r>
      <w:r w:rsidRPr="00604128">
        <w:rPr>
          <w:rFonts w:ascii="Times New Roman" w:hAnsi="Times New Roman" w:cs="Times New Roman" w:hint="eastAsia"/>
          <w:sz w:val="24"/>
        </w:rPr>
        <w:t>2484</w:t>
      </w:r>
      <w:r w:rsidRPr="00604128">
        <w:rPr>
          <w:rFonts w:ascii="Times New Roman" w:hAnsi="Times New Roman" w:cs="Times New Roman" w:hint="eastAsia"/>
          <w:sz w:val="24"/>
        </w:rPr>
        <w:t>号</w:t>
      </w:r>
      <w:r w:rsidRPr="00604128">
        <w:rPr>
          <w:rFonts w:ascii="Times New Roman" w:hAnsi="Times New Roman" w:cs="Times New Roman" w:hint="eastAsia"/>
          <w:sz w:val="24"/>
        </w:rPr>
        <w:t>)</w:t>
      </w:r>
      <w:r w:rsidRPr="00604128">
        <w:rPr>
          <w:rFonts w:ascii="Times New Roman" w:hAnsi="Times New Roman" w:cs="Times New Roman" w:hint="eastAsia"/>
          <w:sz w:val="24"/>
        </w:rPr>
        <w:t>（以下简称“《问询函》”）</w:t>
      </w:r>
      <w:r w:rsidR="00A65730">
        <w:rPr>
          <w:rFonts w:ascii="Times New Roman" w:hAnsi="Times New Roman" w:cs="Times New Roman" w:hint="eastAsia"/>
          <w:sz w:val="24"/>
        </w:rPr>
        <w:t>，针对《问询函》的要求，公司对《</w:t>
      </w:r>
      <w:r w:rsidRPr="00604128">
        <w:rPr>
          <w:rFonts w:ascii="Times New Roman" w:hAnsi="Times New Roman" w:cs="Times New Roman" w:hint="eastAsia"/>
          <w:sz w:val="24"/>
        </w:rPr>
        <w:t>发行股份及支付现金购买资产并募集配套资金预案</w:t>
      </w:r>
      <w:r w:rsidR="00A65730">
        <w:rPr>
          <w:rFonts w:ascii="Times New Roman" w:hAnsi="Times New Roman" w:cs="Times New Roman" w:hint="eastAsia"/>
          <w:sz w:val="24"/>
        </w:rPr>
        <w:t>》及其摘要进行了修订，并于</w:t>
      </w:r>
      <w:r w:rsidR="00A65730">
        <w:rPr>
          <w:rFonts w:ascii="Times New Roman" w:hAnsi="Times New Roman" w:cs="Times New Roman" w:hint="eastAsia"/>
          <w:sz w:val="24"/>
        </w:rPr>
        <w:t>20</w:t>
      </w:r>
      <w:r>
        <w:rPr>
          <w:rFonts w:ascii="Times New Roman" w:hAnsi="Times New Roman" w:cs="Times New Roman"/>
          <w:sz w:val="24"/>
        </w:rPr>
        <w:t>20</w:t>
      </w:r>
      <w:r w:rsidR="00A65730">
        <w:rPr>
          <w:rFonts w:ascii="Times New Roman" w:hAnsi="Times New Roman" w:cs="Times New Roman" w:hint="eastAsia"/>
          <w:sz w:val="24"/>
        </w:rPr>
        <w:t>年</w:t>
      </w:r>
      <w:r>
        <w:rPr>
          <w:rFonts w:ascii="Times New Roman" w:hAnsi="Times New Roman" w:cs="Times New Roman"/>
          <w:sz w:val="24"/>
        </w:rPr>
        <w:t>9</w:t>
      </w:r>
      <w:r w:rsidR="00A65730">
        <w:rPr>
          <w:rFonts w:ascii="Times New Roman" w:hAnsi="Times New Roman" w:cs="Times New Roman" w:hint="eastAsia"/>
          <w:sz w:val="24"/>
        </w:rPr>
        <w:t>月</w:t>
      </w:r>
      <w:r>
        <w:rPr>
          <w:rFonts w:ascii="Times New Roman" w:hAnsi="Times New Roman" w:cs="Times New Roman"/>
          <w:sz w:val="24"/>
        </w:rPr>
        <w:t>21</w:t>
      </w:r>
      <w:r w:rsidR="00A65730">
        <w:rPr>
          <w:rFonts w:ascii="Times New Roman" w:hAnsi="Times New Roman" w:cs="Times New Roman" w:hint="eastAsia"/>
          <w:sz w:val="24"/>
        </w:rPr>
        <w:t>日披露了《</w:t>
      </w:r>
      <w:r w:rsidRPr="00604128">
        <w:rPr>
          <w:rFonts w:ascii="Times New Roman" w:hAnsi="Times New Roman" w:cs="Times New Roman" w:hint="eastAsia"/>
          <w:sz w:val="24"/>
        </w:rPr>
        <w:t>发行股份及支付现金购买资产并募集配套资金预案</w:t>
      </w:r>
      <w:r w:rsidR="00A65730">
        <w:rPr>
          <w:rFonts w:ascii="Times New Roman" w:hAnsi="Times New Roman" w:cs="Times New Roman" w:hint="eastAsia"/>
          <w:sz w:val="24"/>
        </w:rPr>
        <w:t>（修订稿）》及其摘要。</w:t>
      </w:r>
    </w:p>
    <w:p w14:paraId="2852BA8A" w14:textId="77777777" w:rsidR="002A5D00" w:rsidRDefault="00A65730">
      <w:pPr>
        <w:spacing w:beforeLines="50" w:before="156" w:afterLines="50" w:after="156" w:line="360" w:lineRule="auto"/>
        <w:ind w:firstLineChars="200" w:firstLine="480"/>
        <w:rPr>
          <w:rFonts w:ascii="Times New Roman" w:hAnsi="Times New Roman" w:cs="Times New Roman"/>
          <w:sz w:val="24"/>
        </w:rPr>
      </w:pPr>
      <w:r>
        <w:rPr>
          <w:rFonts w:ascii="Times New Roman" w:hAnsi="Times New Roman" w:cs="Times New Roman" w:hint="eastAsia"/>
          <w:sz w:val="24"/>
        </w:rPr>
        <w:t>本次补充和修订的主要内容如下（如无特别说明，本修订说明的简称与预案中的简称具有相同含义）：</w:t>
      </w:r>
    </w:p>
    <w:tbl>
      <w:tblPr>
        <w:tblStyle w:val="a3"/>
        <w:tblW w:w="8785" w:type="dxa"/>
        <w:tblLayout w:type="fixed"/>
        <w:tblLook w:val="04A0" w:firstRow="1" w:lastRow="0" w:firstColumn="1" w:lastColumn="0" w:noHBand="0" w:noVBand="1"/>
      </w:tblPr>
      <w:tblGrid>
        <w:gridCol w:w="1809"/>
        <w:gridCol w:w="2640"/>
        <w:gridCol w:w="4336"/>
      </w:tblGrid>
      <w:tr w:rsidR="002A5D00" w14:paraId="580B07E5" w14:textId="77777777" w:rsidTr="00DC1B7B">
        <w:trPr>
          <w:tblHeader/>
        </w:trPr>
        <w:tc>
          <w:tcPr>
            <w:tcW w:w="1809" w:type="dxa"/>
            <w:tcBorders>
              <w:top w:val="single" w:sz="12" w:space="0" w:color="auto"/>
              <w:left w:val="single" w:sz="12" w:space="0" w:color="auto"/>
            </w:tcBorders>
          </w:tcPr>
          <w:p w14:paraId="08CB0333" w14:textId="77777777" w:rsidR="002A5D00" w:rsidRDefault="00A65730">
            <w:pPr>
              <w:spacing w:line="300" w:lineRule="auto"/>
              <w:jc w:val="center"/>
              <w:rPr>
                <w:rFonts w:ascii="Times New Roman" w:hAnsi="Times New Roman" w:cs="Times New Roman"/>
                <w:b/>
                <w:bCs/>
                <w:szCs w:val="21"/>
              </w:rPr>
            </w:pPr>
            <w:r>
              <w:rPr>
                <w:rFonts w:ascii="Times New Roman" w:hAnsi="Times New Roman" w:cs="Times New Roman" w:hint="eastAsia"/>
                <w:b/>
                <w:bCs/>
                <w:szCs w:val="21"/>
              </w:rPr>
              <w:t>预案章节</w:t>
            </w:r>
          </w:p>
        </w:tc>
        <w:tc>
          <w:tcPr>
            <w:tcW w:w="2640" w:type="dxa"/>
            <w:tcBorders>
              <w:top w:val="single" w:sz="12" w:space="0" w:color="auto"/>
            </w:tcBorders>
          </w:tcPr>
          <w:p w14:paraId="6F465E71" w14:textId="77777777" w:rsidR="002A5D00" w:rsidRDefault="00A65730">
            <w:pPr>
              <w:spacing w:line="300" w:lineRule="auto"/>
              <w:jc w:val="center"/>
              <w:rPr>
                <w:rFonts w:ascii="Times New Roman" w:hAnsi="Times New Roman" w:cs="Times New Roman"/>
                <w:b/>
                <w:bCs/>
                <w:szCs w:val="21"/>
              </w:rPr>
            </w:pPr>
            <w:r>
              <w:rPr>
                <w:rFonts w:ascii="Times New Roman" w:hAnsi="Times New Roman" w:cs="Times New Roman" w:hint="eastAsia"/>
                <w:b/>
                <w:bCs/>
                <w:szCs w:val="21"/>
              </w:rPr>
              <w:t>预案条目</w:t>
            </w:r>
          </w:p>
        </w:tc>
        <w:tc>
          <w:tcPr>
            <w:tcW w:w="4336" w:type="dxa"/>
            <w:tcBorders>
              <w:top w:val="single" w:sz="12" w:space="0" w:color="auto"/>
              <w:right w:val="single" w:sz="12" w:space="0" w:color="auto"/>
            </w:tcBorders>
          </w:tcPr>
          <w:p w14:paraId="79A2079D" w14:textId="77777777" w:rsidR="002A5D00" w:rsidRDefault="00A65730">
            <w:pPr>
              <w:spacing w:line="300" w:lineRule="auto"/>
              <w:jc w:val="center"/>
              <w:rPr>
                <w:rFonts w:ascii="Times New Roman" w:hAnsi="Times New Roman" w:cs="Times New Roman"/>
                <w:b/>
                <w:bCs/>
                <w:szCs w:val="21"/>
              </w:rPr>
            </w:pPr>
            <w:r>
              <w:rPr>
                <w:rFonts w:ascii="Times New Roman" w:hAnsi="Times New Roman" w:cs="Times New Roman" w:hint="eastAsia"/>
                <w:b/>
                <w:bCs/>
                <w:szCs w:val="21"/>
              </w:rPr>
              <w:t>修订内容</w:t>
            </w:r>
          </w:p>
        </w:tc>
      </w:tr>
      <w:tr w:rsidR="002A5D00" w14:paraId="26DDD529" w14:textId="77777777" w:rsidTr="00DC1B7B">
        <w:tc>
          <w:tcPr>
            <w:tcW w:w="1809" w:type="dxa"/>
            <w:tcBorders>
              <w:left w:val="single" w:sz="12" w:space="0" w:color="auto"/>
            </w:tcBorders>
            <w:vAlign w:val="center"/>
          </w:tcPr>
          <w:p w14:paraId="00F9A525" w14:textId="77777777"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重大风险提示</w:t>
            </w:r>
          </w:p>
        </w:tc>
        <w:tc>
          <w:tcPr>
            <w:tcW w:w="2640" w:type="dxa"/>
            <w:vAlign w:val="center"/>
          </w:tcPr>
          <w:p w14:paraId="044128E1" w14:textId="4A417A50" w:rsidR="002A5D00" w:rsidRDefault="00463332">
            <w:pPr>
              <w:spacing w:line="300" w:lineRule="auto"/>
              <w:rPr>
                <w:rFonts w:ascii="Times New Roman" w:hAnsi="Times New Roman" w:cs="Times New Roman"/>
                <w:szCs w:val="21"/>
              </w:rPr>
            </w:pPr>
            <w:r>
              <w:rPr>
                <w:rFonts w:ascii="Times New Roman" w:hAnsi="Times New Roman" w:cs="Times New Roman" w:hint="eastAsia"/>
                <w:szCs w:val="21"/>
              </w:rPr>
              <w:t>二</w:t>
            </w:r>
            <w:r w:rsidR="00A65730">
              <w:rPr>
                <w:rFonts w:ascii="Times New Roman" w:hAnsi="Times New Roman" w:cs="Times New Roman" w:hint="eastAsia"/>
                <w:szCs w:val="21"/>
              </w:rPr>
              <w:t>、</w:t>
            </w:r>
            <w:r>
              <w:rPr>
                <w:rFonts w:ascii="Times New Roman" w:hAnsi="Times New Roman" w:cs="Times New Roman" w:hint="eastAsia"/>
                <w:szCs w:val="21"/>
              </w:rPr>
              <w:t>标的资产相关</w:t>
            </w:r>
            <w:r w:rsidR="00A65730">
              <w:rPr>
                <w:rFonts w:ascii="Times New Roman" w:hAnsi="Times New Roman" w:cs="Times New Roman" w:hint="eastAsia"/>
                <w:szCs w:val="21"/>
              </w:rPr>
              <w:t>风险</w:t>
            </w:r>
          </w:p>
        </w:tc>
        <w:tc>
          <w:tcPr>
            <w:tcW w:w="4336" w:type="dxa"/>
            <w:tcBorders>
              <w:right w:val="single" w:sz="12" w:space="0" w:color="auto"/>
            </w:tcBorders>
            <w:vAlign w:val="center"/>
          </w:tcPr>
          <w:p w14:paraId="52C9E833" w14:textId="16881AD5"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补充</w:t>
            </w:r>
            <w:r w:rsidR="00463332">
              <w:rPr>
                <w:rFonts w:ascii="Times New Roman" w:hAnsi="Times New Roman" w:cs="Times New Roman" w:hint="eastAsia"/>
                <w:szCs w:val="21"/>
              </w:rPr>
              <w:t>披露了</w:t>
            </w:r>
            <w:r w:rsidR="00463332" w:rsidRPr="00463332">
              <w:rPr>
                <w:rFonts w:ascii="Times New Roman" w:hAnsi="Times New Roman" w:cs="Times New Roman" w:hint="eastAsia"/>
                <w:szCs w:val="21"/>
              </w:rPr>
              <w:t>客户集中度较高的风险</w:t>
            </w:r>
            <w:r>
              <w:rPr>
                <w:rFonts w:ascii="Times New Roman" w:hAnsi="Times New Roman" w:cs="Times New Roman" w:hint="eastAsia"/>
                <w:szCs w:val="21"/>
              </w:rPr>
              <w:t>。</w:t>
            </w:r>
          </w:p>
        </w:tc>
      </w:tr>
      <w:tr w:rsidR="002A5D00" w14:paraId="1F448630" w14:textId="77777777" w:rsidTr="00DC1B7B">
        <w:tc>
          <w:tcPr>
            <w:tcW w:w="1809" w:type="dxa"/>
            <w:vMerge w:val="restart"/>
            <w:tcBorders>
              <w:left w:val="single" w:sz="12" w:space="0" w:color="auto"/>
            </w:tcBorders>
            <w:vAlign w:val="center"/>
          </w:tcPr>
          <w:p w14:paraId="4FBFE69E" w14:textId="51EC9854"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第四节</w:t>
            </w:r>
            <w:r>
              <w:rPr>
                <w:rFonts w:ascii="Times New Roman" w:hAnsi="Times New Roman" w:cs="Times New Roman" w:hint="eastAsia"/>
                <w:szCs w:val="21"/>
              </w:rPr>
              <w:t xml:space="preserve"> </w:t>
            </w:r>
            <w:r w:rsidR="00463332">
              <w:rPr>
                <w:rFonts w:ascii="Times New Roman" w:hAnsi="Times New Roman" w:cs="Times New Roman" w:hint="eastAsia"/>
                <w:szCs w:val="21"/>
              </w:rPr>
              <w:t>交易标的</w:t>
            </w:r>
            <w:proofErr w:type="gramStart"/>
            <w:r>
              <w:rPr>
                <w:rFonts w:ascii="Times New Roman" w:hAnsi="Times New Roman" w:cs="Times New Roman" w:hint="eastAsia"/>
                <w:szCs w:val="21"/>
              </w:rPr>
              <w:t>的</w:t>
            </w:r>
            <w:proofErr w:type="gramEnd"/>
            <w:r>
              <w:rPr>
                <w:rFonts w:ascii="Times New Roman" w:hAnsi="Times New Roman" w:cs="Times New Roman" w:hint="eastAsia"/>
                <w:szCs w:val="21"/>
              </w:rPr>
              <w:t>基本情况</w:t>
            </w:r>
          </w:p>
        </w:tc>
        <w:tc>
          <w:tcPr>
            <w:tcW w:w="2640" w:type="dxa"/>
            <w:vAlign w:val="center"/>
          </w:tcPr>
          <w:p w14:paraId="0FFF2B92" w14:textId="7C9CC0A1" w:rsidR="002A5D00" w:rsidRDefault="00463332">
            <w:pPr>
              <w:spacing w:line="300" w:lineRule="auto"/>
              <w:rPr>
                <w:rFonts w:ascii="Times New Roman" w:hAnsi="Times New Roman" w:cs="Times New Roman"/>
                <w:szCs w:val="21"/>
              </w:rPr>
            </w:pPr>
            <w:r>
              <w:rPr>
                <w:rFonts w:ascii="Times New Roman" w:hAnsi="Times New Roman" w:cs="Times New Roman" w:hint="eastAsia"/>
                <w:szCs w:val="21"/>
              </w:rPr>
              <w:t>二</w:t>
            </w:r>
            <w:r w:rsidR="00A65730">
              <w:rPr>
                <w:rFonts w:ascii="Times New Roman" w:hAnsi="Times New Roman" w:cs="Times New Roman" w:hint="eastAsia"/>
                <w:szCs w:val="21"/>
              </w:rPr>
              <w:t>、主营业务情况</w:t>
            </w:r>
          </w:p>
        </w:tc>
        <w:tc>
          <w:tcPr>
            <w:tcW w:w="4336" w:type="dxa"/>
            <w:tcBorders>
              <w:right w:val="single" w:sz="12" w:space="0" w:color="auto"/>
            </w:tcBorders>
            <w:vAlign w:val="center"/>
          </w:tcPr>
          <w:p w14:paraId="7A83DA64" w14:textId="4320CBBE" w:rsidR="002A5D00" w:rsidRDefault="00463332">
            <w:pPr>
              <w:spacing w:line="300" w:lineRule="auto"/>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00A65730">
              <w:rPr>
                <w:rFonts w:ascii="Times New Roman" w:hAnsi="Times New Roman" w:cs="Times New Roman" w:hint="eastAsia"/>
                <w:szCs w:val="21"/>
              </w:rPr>
              <w:t>补充披露了标的公司</w:t>
            </w:r>
            <w:r>
              <w:rPr>
                <w:rFonts w:ascii="Times New Roman" w:hAnsi="Times New Roman" w:cs="Times New Roman" w:hint="eastAsia"/>
                <w:szCs w:val="21"/>
              </w:rPr>
              <w:t>主营业务和盈利模式；</w:t>
            </w:r>
          </w:p>
          <w:p w14:paraId="7B3C893B" w14:textId="1EE2B8DA" w:rsidR="00463332" w:rsidRDefault="00463332">
            <w:pPr>
              <w:spacing w:line="300" w:lineRule="auto"/>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、补充披露了标的公司</w:t>
            </w:r>
            <w:r w:rsidRPr="00463332">
              <w:rPr>
                <w:rFonts w:ascii="Times New Roman" w:hAnsi="Times New Roman" w:cs="Times New Roman" w:hint="eastAsia"/>
                <w:szCs w:val="21"/>
              </w:rPr>
              <w:t>采购、生产、销售、结算方式</w:t>
            </w:r>
            <w:r w:rsidR="000B56A6">
              <w:rPr>
                <w:rFonts w:ascii="Times New Roman" w:hAnsi="Times New Roman" w:cs="Times New Roman" w:hint="eastAsia"/>
                <w:szCs w:val="21"/>
              </w:rPr>
              <w:t>；</w:t>
            </w:r>
          </w:p>
          <w:p w14:paraId="29A241CE" w14:textId="2795C786" w:rsidR="00463332" w:rsidRDefault="00463332">
            <w:pPr>
              <w:spacing w:line="300" w:lineRule="auto"/>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、补充披露了标的公司</w:t>
            </w:r>
            <w:r w:rsidR="001A3B4D" w:rsidRPr="001A3B4D">
              <w:rPr>
                <w:rFonts w:ascii="Times New Roman" w:hAnsi="Times New Roman" w:cs="Times New Roman" w:hint="eastAsia"/>
                <w:szCs w:val="21"/>
              </w:rPr>
              <w:t>报告期内前五大客户情况</w:t>
            </w:r>
            <w:r w:rsidR="000B56A6">
              <w:rPr>
                <w:rFonts w:ascii="Times New Roman" w:hAnsi="Times New Roman" w:cs="Times New Roman" w:hint="eastAsia"/>
                <w:szCs w:val="21"/>
              </w:rPr>
              <w:t>；</w:t>
            </w:r>
          </w:p>
          <w:p w14:paraId="73172BCB" w14:textId="202C122F" w:rsidR="001A3B4D" w:rsidRDefault="001A3B4D">
            <w:pPr>
              <w:spacing w:line="300" w:lineRule="auto"/>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、补充披露了标的公司</w:t>
            </w:r>
            <w:r w:rsidRPr="001A3B4D">
              <w:rPr>
                <w:rFonts w:ascii="Times New Roman" w:hAnsi="Times New Roman" w:cs="Times New Roman" w:hint="eastAsia"/>
                <w:szCs w:val="21"/>
              </w:rPr>
              <w:t>报告期内前五大供应商情况</w:t>
            </w:r>
            <w:r w:rsidR="000B56A6">
              <w:rPr>
                <w:rFonts w:ascii="Times New Roman" w:hAnsi="Times New Roman" w:cs="Times New Roman" w:hint="eastAsia"/>
                <w:szCs w:val="21"/>
              </w:rPr>
              <w:t>；</w:t>
            </w:r>
          </w:p>
          <w:p w14:paraId="4B37304B" w14:textId="6AF05074" w:rsidR="001A3B4D" w:rsidRDefault="001A3B4D">
            <w:pPr>
              <w:spacing w:line="300" w:lineRule="auto"/>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、补充披露了</w:t>
            </w:r>
            <w:r w:rsidRPr="001A3B4D">
              <w:rPr>
                <w:rFonts w:ascii="Times New Roman" w:hAnsi="Times New Roman" w:cs="Times New Roman" w:hint="eastAsia"/>
                <w:szCs w:val="21"/>
              </w:rPr>
              <w:t>标的公司与海尔集团公司销售及采购情况</w:t>
            </w:r>
            <w:r w:rsidR="000B56A6">
              <w:rPr>
                <w:rFonts w:ascii="Times New Roman" w:hAnsi="Times New Roman" w:cs="Times New Roman" w:hint="eastAsia"/>
                <w:szCs w:val="21"/>
              </w:rPr>
              <w:t>。</w:t>
            </w:r>
          </w:p>
        </w:tc>
      </w:tr>
      <w:tr w:rsidR="002A5D00" w14:paraId="1C82F123" w14:textId="77777777" w:rsidTr="00DC1B7B">
        <w:tc>
          <w:tcPr>
            <w:tcW w:w="1809" w:type="dxa"/>
            <w:vMerge/>
            <w:tcBorders>
              <w:left w:val="single" w:sz="12" w:space="0" w:color="auto"/>
            </w:tcBorders>
            <w:vAlign w:val="center"/>
          </w:tcPr>
          <w:p w14:paraId="22DCAA38" w14:textId="77777777" w:rsidR="002A5D00" w:rsidRDefault="002A5D00">
            <w:pPr>
              <w:spacing w:line="300" w:lineRule="auto"/>
              <w:rPr>
                <w:rFonts w:ascii="Times New Roman" w:hAnsi="Times New Roman" w:cs="Times New Roman"/>
                <w:szCs w:val="21"/>
              </w:rPr>
            </w:pPr>
          </w:p>
        </w:tc>
        <w:tc>
          <w:tcPr>
            <w:tcW w:w="2640" w:type="dxa"/>
            <w:vAlign w:val="center"/>
          </w:tcPr>
          <w:p w14:paraId="067AE477" w14:textId="57D7817C" w:rsidR="002A5D00" w:rsidRDefault="001A3B4D">
            <w:pPr>
              <w:spacing w:line="300" w:lineRule="auto"/>
              <w:rPr>
                <w:rFonts w:ascii="Times New Roman" w:hAnsi="Times New Roman" w:cs="Times New Roman"/>
                <w:szCs w:val="21"/>
              </w:rPr>
            </w:pPr>
            <w:r>
              <w:rPr>
                <w:rFonts w:ascii="Times New Roman" w:hAnsi="Times New Roman" w:cs="Times New Roman" w:hint="eastAsia"/>
                <w:szCs w:val="21"/>
              </w:rPr>
              <w:t>三</w:t>
            </w:r>
            <w:r w:rsidR="00A65730">
              <w:rPr>
                <w:rFonts w:ascii="Times New Roman" w:hAnsi="Times New Roman" w:cs="Times New Roman" w:hint="eastAsia"/>
                <w:szCs w:val="21"/>
              </w:rPr>
              <w:t>、</w:t>
            </w:r>
            <w:r w:rsidRPr="001A3B4D">
              <w:rPr>
                <w:rFonts w:ascii="Times New Roman" w:hAnsi="Times New Roman" w:cs="Times New Roman" w:hint="eastAsia"/>
                <w:szCs w:val="21"/>
              </w:rPr>
              <w:t>行业竞争格局及主要竞</w:t>
            </w:r>
            <w:r w:rsidRPr="001A3B4D">
              <w:rPr>
                <w:rFonts w:ascii="Times New Roman" w:hAnsi="Times New Roman" w:cs="Times New Roman" w:hint="eastAsia"/>
                <w:szCs w:val="21"/>
              </w:rPr>
              <w:lastRenderedPageBreak/>
              <w:t>争对手</w:t>
            </w:r>
          </w:p>
        </w:tc>
        <w:tc>
          <w:tcPr>
            <w:tcW w:w="4336" w:type="dxa"/>
            <w:tcBorders>
              <w:right w:val="single" w:sz="12" w:space="0" w:color="auto"/>
            </w:tcBorders>
            <w:vAlign w:val="center"/>
          </w:tcPr>
          <w:p w14:paraId="339B4C99" w14:textId="74A0019E"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lastRenderedPageBreak/>
              <w:t>1</w:t>
            </w:r>
            <w:r>
              <w:rPr>
                <w:rFonts w:ascii="Times New Roman" w:hAnsi="Times New Roman" w:cs="Times New Roman" w:hint="eastAsia"/>
                <w:szCs w:val="21"/>
              </w:rPr>
              <w:t>、补充披露了</w:t>
            </w:r>
            <w:r w:rsidR="001A3B4D">
              <w:rPr>
                <w:rFonts w:ascii="Times New Roman" w:hAnsi="Times New Roman" w:cs="Times New Roman" w:hint="eastAsia"/>
                <w:szCs w:val="21"/>
              </w:rPr>
              <w:t>标的公司所在行业竞争格局</w:t>
            </w:r>
            <w:r w:rsidR="000B56A6">
              <w:rPr>
                <w:rFonts w:ascii="Times New Roman" w:hAnsi="Times New Roman" w:cs="Times New Roman" w:hint="eastAsia"/>
                <w:szCs w:val="21"/>
              </w:rPr>
              <w:t>；</w:t>
            </w:r>
          </w:p>
          <w:p w14:paraId="58BB178A" w14:textId="5A6AB5DB" w:rsidR="002A5D00" w:rsidRDefault="00A65730" w:rsidP="000B56A6">
            <w:pPr>
              <w:spacing w:line="300" w:lineRule="auto"/>
              <w:rPr>
                <w:rFonts w:ascii="Times New Roman" w:hAnsi="Times New Roman" w:cs="Times New Roman"/>
                <w:szCs w:val="21"/>
              </w:rPr>
            </w:pPr>
            <w:r>
              <w:rPr>
                <w:rFonts w:ascii="Times New Roman" w:hAnsi="Times New Roman" w:cs="Times New Roman" w:hint="eastAsia"/>
                <w:szCs w:val="21"/>
              </w:rPr>
              <w:lastRenderedPageBreak/>
              <w:t>2</w:t>
            </w:r>
            <w:r>
              <w:rPr>
                <w:rFonts w:ascii="Times New Roman" w:hAnsi="Times New Roman" w:cs="Times New Roman" w:hint="eastAsia"/>
                <w:szCs w:val="21"/>
              </w:rPr>
              <w:t>、补充披露了</w:t>
            </w:r>
            <w:r w:rsidR="001A3B4D">
              <w:rPr>
                <w:rFonts w:ascii="Times New Roman" w:hAnsi="Times New Roman" w:cs="Times New Roman" w:hint="eastAsia"/>
                <w:szCs w:val="21"/>
              </w:rPr>
              <w:t>标的公司</w:t>
            </w:r>
            <w:r w:rsidR="001A3B4D" w:rsidRPr="001A3B4D">
              <w:rPr>
                <w:rFonts w:ascii="Times New Roman" w:hAnsi="Times New Roman" w:cs="Times New Roman" w:hint="eastAsia"/>
                <w:szCs w:val="21"/>
              </w:rPr>
              <w:t>行业内主要企业</w:t>
            </w:r>
            <w:r w:rsidR="000B56A6">
              <w:rPr>
                <w:rFonts w:ascii="Times New Roman" w:hAnsi="Times New Roman" w:cs="Times New Roman" w:hint="eastAsia"/>
                <w:szCs w:val="21"/>
              </w:rPr>
              <w:t>。</w:t>
            </w:r>
          </w:p>
        </w:tc>
      </w:tr>
      <w:tr w:rsidR="002A5D00" w14:paraId="70FAC9A4" w14:textId="77777777" w:rsidTr="00DC1B7B">
        <w:tc>
          <w:tcPr>
            <w:tcW w:w="1809" w:type="dxa"/>
            <w:vMerge/>
            <w:tcBorders>
              <w:left w:val="single" w:sz="12" w:space="0" w:color="auto"/>
            </w:tcBorders>
            <w:vAlign w:val="center"/>
          </w:tcPr>
          <w:p w14:paraId="666983AF" w14:textId="77777777" w:rsidR="002A5D00" w:rsidRDefault="002A5D00">
            <w:pPr>
              <w:spacing w:line="300" w:lineRule="auto"/>
              <w:rPr>
                <w:rFonts w:ascii="Times New Roman" w:hAnsi="Times New Roman" w:cs="Times New Roman"/>
                <w:szCs w:val="21"/>
              </w:rPr>
            </w:pPr>
          </w:p>
        </w:tc>
        <w:tc>
          <w:tcPr>
            <w:tcW w:w="2640" w:type="dxa"/>
            <w:vAlign w:val="center"/>
          </w:tcPr>
          <w:p w14:paraId="78EDC4B6" w14:textId="1330E9FA" w:rsidR="002A5D00" w:rsidRDefault="000B56A6">
            <w:pPr>
              <w:spacing w:line="300" w:lineRule="auto"/>
              <w:rPr>
                <w:rFonts w:ascii="Times New Roman" w:hAnsi="Times New Roman" w:cs="Times New Roman"/>
                <w:szCs w:val="21"/>
              </w:rPr>
            </w:pPr>
            <w:r>
              <w:rPr>
                <w:rFonts w:ascii="Times New Roman" w:hAnsi="Times New Roman" w:cs="Times New Roman" w:hint="eastAsia"/>
                <w:szCs w:val="21"/>
              </w:rPr>
              <w:t>四</w:t>
            </w:r>
            <w:r w:rsidR="00A65730">
              <w:rPr>
                <w:rFonts w:ascii="Times New Roman" w:hAnsi="Times New Roman" w:cs="Times New Roman" w:hint="eastAsia"/>
                <w:szCs w:val="21"/>
              </w:rPr>
              <w:t>、</w:t>
            </w:r>
            <w:r w:rsidRPr="000B56A6">
              <w:rPr>
                <w:rFonts w:ascii="Times New Roman" w:hAnsi="Times New Roman" w:cs="Times New Roman" w:hint="eastAsia"/>
                <w:szCs w:val="21"/>
              </w:rPr>
              <w:t>标的公司核心竞争力</w:t>
            </w:r>
          </w:p>
        </w:tc>
        <w:tc>
          <w:tcPr>
            <w:tcW w:w="4336" w:type="dxa"/>
            <w:tcBorders>
              <w:right w:val="single" w:sz="12" w:space="0" w:color="auto"/>
            </w:tcBorders>
            <w:vAlign w:val="center"/>
          </w:tcPr>
          <w:p w14:paraId="28E0CBCD" w14:textId="43925ABE"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、补充披露了</w:t>
            </w:r>
            <w:r w:rsidR="000B56A6">
              <w:rPr>
                <w:rFonts w:ascii="Times New Roman" w:hAnsi="Times New Roman" w:cs="Times New Roman" w:hint="eastAsia"/>
                <w:szCs w:val="21"/>
              </w:rPr>
              <w:t>标的公司开</w:t>
            </w:r>
            <w:r w:rsidR="000B56A6" w:rsidRPr="000B56A6">
              <w:rPr>
                <w:rFonts w:ascii="Times New Roman" w:hAnsi="Times New Roman" w:cs="Times New Roman" w:hint="eastAsia"/>
                <w:szCs w:val="21"/>
              </w:rPr>
              <w:t>展业务的技术来源及技术水平</w:t>
            </w:r>
            <w:r>
              <w:rPr>
                <w:rFonts w:ascii="Times New Roman" w:hAnsi="Times New Roman" w:cs="Times New Roman" w:hint="eastAsia"/>
                <w:szCs w:val="21"/>
              </w:rPr>
              <w:t>；</w:t>
            </w:r>
          </w:p>
          <w:p w14:paraId="52F736B6" w14:textId="265B7E72" w:rsidR="002A5D00" w:rsidRPr="000B56A6" w:rsidRDefault="000B56A6">
            <w:pPr>
              <w:spacing w:line="300" w:lineRule="auto"/>
              <w:rPr>
                <w:rFonts w:ascii="Times New Roman" w:hAnsi="Times New Roman" w:cs="Times New Roman"/>
                <w:szCs w:val="21"/>
              </w:rPr>
            </w:pPr>
            <w:r>
              <w:rPr>
                <w:rFonts w:ascii="Times New Roman" w:hAnsi="Times New Roman" w:cs="Times New Roman"/>
                <w:szCs w:val="21"/>
              </w:rPr>
              <w:t>2</w:t>
            </w:r>
            <w:r w:rsidR="00A65730">
              <w:rPr>
                <w:rFonts w:ascii="Times New Roman" w:hAnsi="Times New Roman" w:cs="Times New Roman" w:hint="eastAsia"/>
                <w:szCs w:val="21"/>
              </w:rPr>
              <w:t>、补充披露了标的公司</w:t>
            </w:r>
            <w:r w:rsidR="0040785E">
              <w:rPr>
                <w:rFonts w:ascii="Times New Roman" w:hAnsi="Times New Roman" w:cs="Times New Roman" w:hint="eastAsia"/>
                <w:szCs w:val="21"/>
              </w:rPr>
              <w:t>的竞争优势</w:t>
            </w:r>
          </w:p>
        </w:tc>
      </w:tr>
      <w:tr w:rsidR="002A5D00" w14:paraId="0F6D22B6" w14:textId="77777777" w:rsidTr="00DC1B7B">
        <w:tc>
          <w:tcPr>
            <w:tcW w:w="1809" w:type="dxa"/>
            <w:vMerge/>
            <w:tcBorders>
              <w:left w:val="single" w:sz="12" w:space="0" w:color="auto"/>
            </w:tcBorders>
            <w:vAlign w:val="center"/>
          </w:tcPr>
          <w:p w14:paraId="60169D80" w14:textId="77777777" w:rsidR="002A5D00" w:rsidRDefault="002A5D00">
            <w:pPr>
              <w:spacing w:line="300" w:lineRule="auto"/>
              <w:rPr>
                <w:rFonts w:ascii="Times New Roman" w:hAnsi="Times New Roman" w:cs="Times New Roman"/>
                <w:szCs w:val="21"/>
              </w:rPr>
            </w:pPr>
          </w:p>
        </w:tc>
        <w:tc>
          <w:tcPr>
            <w:tcW w:w="2640" w:type="dxa"/>
            <w:vAlign w:val="center"/>
          </w:tcPr>
          <w:p w14:paraId="5EA51A54" w14:textId="32CC6A7A" w:rsidR="002A5D00" w:rsidRDefault="0040785E">
            <w:pPr>
              <w:spacing w:line="300" w:lineRule="auto"/>
              <w:rPr>
                <w:rFonts w:ascii="Times New Roman" w:hAnsi="Times New Roman" w:cs="Times New Roman"/>
                <w:szCs w:val="21"/>
              </w:rPr>
            </w:pPr>
            <w:r>
              <w:rPr>
                <w:rFonts w:ascii="Times New Roman" w:hAnsi="Times New Roman" w:cs="Times New Roman" w:hint="eastAsia"/>
                <w:szCs w:val="21"/>
              </w:rPr>
              <w:t>五</w:t>
            </w:r>
            <w:r w:rsidR="00A65730">
              <w:rPr>
                <w:rFonts w:ascii="Times New Roman" w:hAnsi="Times New Roman" w:cs="Times New Roman" w:hint="eastAsia"/>
                <w:szCs w:val="21"/>
              </w:rPr>
              <w:t>、</w:t>
            </w:r>
            <w:r>
              <w:rPr>
                <w:rFonts w:ascii="Times New Roman" w:hAnsi="Times New Roman" w:cs="Times New Roman" w:hint="eastAsia"/>
                <w:szCs w:val="21"/>
              </w:rPr>
              <w:t>主要财务数据</w:t>
            </w:r>
          </w:p>
        </w:tc>
        <w:tc>
          <w:tcPr>
            <w:tcW w:w="4336" w:type="dxa"/>
            <w:tcBorders>
              <w:right w:val="single" w:sz="12" w:space="0" w:color="auto"/>
            </w:tcBorders>
            <w:vAlign w:val="center"/>
          </w:tcPr>
          <w:p w14:paraId="7EEFF8C1" w14:textId="1EF74487" w:rsidR="002A5D00" w:rsidRDefault="00A65730">
            <w:pPr>
              <w:numPr>
                <w:ilvl w:val="0"/>
                <w:numId w:val="1"/>
              </w:numPr>
              <w:spacing w:line="300" w:lineRule="auto"/>
              <w:rPr>
                <w:rFonts w:ascii="Times New Roman" w:hAnsi="Times New Roman" w:cs="Times New Roman"/>
                <w:szCs w:val="21"/>
              </w:rPr>
            </w:pPr>
            <w:r>
              <w:rPr>
                <w:rFonts w:ascii="Times New Roman" w:hAnsi="Times New Roman" w:cs="Times New Roman" w:hint="eastAsia"/>
                <w:szCs w:val="21"/>
              </w:rPr>
              <w:t>补充披露了标的公司</w:t>
            </w:r>
            <w:r w:rsidR="0040785E">
              <w:rPr>
                <w:rFonts w:ascii="Times New Roman" w:hAnsi="Times New Roman" w:cs="Times New Roman" w:hint="eastAsia"/>
                <w:szCs w:val="21"/>
              </w:rPr>
              <w:t>无形资产的主要构成</w:t>
            </w:r>
          </w:p>
          <w:p w14:paraId="57270810" w14:textId="0896F8EC" w:rsidR="002A5D00" w:rsidRDefault="00A65730">
            <w:pPr>
              <w:numPr>
                <w:ilvl w:val="0"/>
                <w:numId w:val="1"/>
              </w:numPr>
              <w:spacing w:line="300" w:lineRule="auto"/>
              <w:rPr>
                <w:rFonts w:ascii="Times New Roman" w:hAnsi="Times New Roman" w:cs="Times New Roman"/>
                <w:szCs w:val="21"/>
              </w:rPr>
            </w:pPr>
            <w:r>
              <w:rPr>
                <w:rFonts w:ascii="Times New Roman" w:hAnsi="Times New Roman" w:cs="Times New Roman" w:hint="eastAsia"/>
                <w:szCs w:val="21"/>
              </w:rPr>
              <w:t>补充披露了</w:t>
            </w:r>
            <w:r w:rsidR="0040785E" w:rsidRPr="0040785E">
              <w:rPr>
                <w:rFonts w:ascii="Times New Roman" w:hAnsi="Times New Roman" w:cs="Times New Roman" w:hint="eastAsia"/>
                <w:szCs w:val="21"/>
              </w:rPr>
              <w:t>标的公司经营活动产生的现金流量较大幅度波动且与当期净利润差异较大的原因</w:t>
            </w:r>
          </w:p>
        </w:tc>
      </w:tr>
      <w:tr w:rsidR="002A5D00" w14:paraId="0285EC68" w14:textId="77777777" w:rsidTr="00DC1B7B">
        <w:tc>
          <w:tcPr>
            <w:tcW w:w="1809" w:type="dxa"/>
            <w:vMerge/>
            <w:tcBorders>
              <w:left w:val="single" w:sz="12" w:space="0" w:color="auto"/>
            </w:tcBorders>
            <w:vAlign w:val="center"/>
          </w:tcPr>
          <w:p w14:paraId="68D94BE0" w14:textId="77777777" w:rsidR="002A5D00" w:rsidRDefault="002A5D00">
            <w:pPr>
              <w:spacing w:line="300" w:lineRule="auto"/>
              <w:rPr>
                <w:rFonts w:ascii="Times New Roman" w:hAnsi="Times New Roman" w:cs="Times New Roman"/>
                <w:szCs w:val="21"/>
              </w:rPr>
            </w:pPr>
          </w:p>
        </w:tc>
        <w:tc>
          <w:tcPr>
            <w:tcW w:w="2640" w:type="dxa"/>
            <w:vAlign w:val="center"/>
          </w:tcPr>
          <w:p w14:paraId="7340AD35" w14:textId="76BECF66" w:rsidR="002A5D00" w:rsidRPr="0040785E" w:rsidRDefault="0040785E">
            <w:pPr>
              <w:spacing w:line="300" w:lineRule="auto"/>
              <w:rPr>
                <w:rFonts w:ascii="Times New Roman" w:hAnsi="Times New Roman" w:cs="Times New Roman"/>
                <w:szCs w:val="21"/>
              </w:rPr>
            </w:pPr>
            <w:r w:rsidRPr="0040785E">
              <w:rPr>
                <w:rFonts w:ascii="Times New Roman" w:hAnsi="Times New Roman" w:cs="Times New Roman" w:hint="eastAsia"/>
                <w:szCs w:val="21"/>
              </w:rPr>
              <w:t>六、标的公司业绩增长分析</w:t>
            </w:r>
          </w:p>
        </w:tc>
        <w:tc>
          <w:tcPr>
            <w:tcW w:w="4336" w:type="dxa"/>
            <w:tcBorders>
              <w:right w:val="single" w:sz="12" w:space="0" w:color="auto"/>
            </w:tcBorders>
            <w:vAlign w:val="center"/>
          </w:tcPr>
          <w:p w14:paraId="1D06D90B" w14:textId="0FFB6F8A" w:rsidR="005F3E90" w:rsidRDefault="005F3E90">
            <w:pPr>
              <w:spacing w:line="300" w:lineRule="auto"/>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、补充披露了标的公司报告期内业绩水平</w:t>
            </w:r>
          </w:p>
          <w:p w14:paraId="597659EA" w14:textId="1EA3B442" w:rsidR="005F3E90" w:rsidRDefault="005F3E90">
            <w:pPr>
              <w:spacing w:line="300" w:lineRule="auto"/>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、补充披露了标的公司的行业地位</w:t>
            </w:r>
          </w:p>
          <w:p w14:paraId="09471CF3" w14:textId="4112AA4C" w:rsidR="005F3E90" w:rsidRDefault="005F3E90">
            <w:pPr>
              <w:spacing w:line="300" w:lineRule="auto"/>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、补充披露了标的公司的成长性分析</w:t>
            </w:r>
          </w:p>
          <w:p w14:paraId="1341CC7B" w14:textId="4C02A87E" w:rsidR="002A5D00" w:rsidRDefault="005F3E90">
            <w:pPr>
              <w:spacing w:line="300" w:lineRule="auto"/>
              <w:rPr>
                <w:rFonts w:ascii="Times New Roman" w:hAnsi="Times New Roman" w:cs="Times New Roman"/>
                <w:szCs w:val="21"/>
              </w:rPr>
            </w:pPr>
            <w:r>
              <w:rPr>
                <w:rFonts w:ascii="Times New Roman" w:hAnsi="Times New Roman" w:cs="Times New Roman"/>
                <w:szCs w:val="21"/>
              </w:rPr>
              <w:t>4</w:t>
            </w:r>
            <w:r w:rsidR="00A65730">
              <w:rPr>
                <w:rFonts w:ascii="Times New Roman" w:hAnsi="Times New Roman" w:cs="Times New Roman" w:hint="eastAsia"/>
                <w:szCs w:val="21"/>
              </w:rPr>
              <w:t>、</w:t>
            </w:r>
            <w:r w:rsidR="00470091">
              <w:rPr>
                <w:rFonts w:ascii="Times New Roman" w:hAnsi="Times New Roman" w:cs="Times New Roman" w:hint="eastAsia"/>
                <w:szCs w:val="21"/>
              </w:rPr>
              <w:t>补充披露了</w:t>
            </w:r>
            <w:r w:rsidR="00470091" w:rsidRPr="0040785E">
              <w:rPr>
                <w:rFonts w:ascii="Times New Roman" w:hAnsi="Times New Roman" w:cs="Times New Roman" w:hint="eastAsia"/>
                <w:szCs w:val="21"/>
              </w:rPr>
              <w:t>标的公司</w:t>
            </w:r>
            <w:r w:rsidR="00470091">
              <w:rPr>
                <w:rFonts w:ascii="Times New Roman" w:hAnsi="Times New Roman" w:cs="Times New Roman" w:hint="eastAsia"/>
                <w:szCs w:val="21"/>
              </w:rPr>
              <w:t>业绩增长合理性分析</w:t>
            </w:r>
          </w:p>
          <w:p w14:paraId="0C2F02AA" w14:textId="72F8C0A0" w:rsidR="002A5D00" w:rsidRPr="00470091" w:rsidRDefault="005F3E90" w:rsidP="00470091">
            <w:pPr>
              <w:spacing w:line="300" w:lineRule="auto"/>
              <w:rPr>
                <w:rFonts w:ascii="Times New Roman" w:hAnsi="Times New Roman" w:cs="Times New Roman"/>
                <w:szCs w:val="21"/>
              </w:rPr>
            </w:pPr>
            <w:r>
              <w:rPr>
                <w:rFonts w:ascii="Times New Roman" w:hAnsi="Times New Roman" w:cs="Times New Roman"/>
                <w:szCs w:val="21"/>
              </w:rPr>
              <w:t>5</w:t>
            </w:r>
            <w:r w:rsidR="00A65730">
              <w:rPr>
                <w:rFonts w:ascii="Times New Roman" w:hAnsi="Times New Roman" w:cs="Times New Roman" w:hint="eastAsia"/>
                <w:szCs w:val="21"/>
              </w:rPr>
              <w:t>、</w:t>
            </w:r>
            <w:r w:rsidR="00470091">
              <w:rPr>
                <w:rFonts w:ascii="Times New Roman" w:hAnsi="Times New Roman" w:cs="Times New Roman" w:hint="eastAsia"/>
                <w:szCs w:val="21"/>
              </w:rPr>
              <w:t>补充披露了</w:t>
            </w:r>
            <w:r w:rsidR="00470091" w:rsidRPr="0040785E">
              <w:rPr>
                <w:rFonts w:ascii="Times New Roman" w:hAnsi="Times New Roman" w:cs="Times New Roman" w:hint="eastAsia"/>
                <w:szCs w:val="21"/>
              </w:rPr>
              <w:t>标的公司</w:t>
            </w:r>
            <w:r w:rsidR="00470091">
              <w:rPr>
                <w:rFonts w:ascii="Times New Roman" w:hAnsi="Times New Roman" w:cs="Times New Roman" w:hint="eastAsia"/>
                <w:szCs w:val="21"/>
              </w:rPr>
              <w:t>业绩增长可持续性性分析</w:t>
            </w:r>
          </w:p>
        </w:tc>
      </w:tr>
      <w:tr w:rsidR="002A5D00" w14:paraId="25C2D6EC" w14:textId="77777777" w:rsidTr="00DC1B7B">
        <w:tc>
          <w:tcPr>
            <w:tcW w:w="1809" w:type="dxa"/>
            <w:vMerge w:val="restart"/>
            <w:tcBorders>
              <w:left w:val="single" w:sz="12" w:space="0" w:color="auto"/>
            </w:tcBorders>
            <w:vAlign w:val="center"/>
          </w:tcPr>
          <w:p w14:paraId="33A2CD2A" w14:textId="63383D2D"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第五节</w:t>
            </w:r>
            <w:r>
              <w:rPr>
                <w:rFonts w:ascii="Times New Roman" w:hAnsi="Times New Roman" w:cs="Times New Roman" w:hint="eastAsia"/>
                <w:szCs w:val="21"/>
              </w:rPr>
              <w:t xml:space="preserve"> </w:t>
            </w:r>
            <w:r>
              <w:rPr>
                <w:rFonts w:ascii="Times New Roman" w:hAnsi="Times New Roman" w:cs="Times New Roman" w:hint="eastAsia"/>
                <w:szCs w:val="21"/>
              </w:rPr>
              <w:t>标的资产</w:t>
            </w:r>
            <w:r w:rsidR="00470091">
              <w:rPr>
                <w:rFonts w:ascii="Times New Roman" w:hAnsi="Times New Roman" w:cs="Times New Roman" w:hint="eastAsia"/>
                <w:szCs w:val="21"/>
              </w:rPr>
              <w:t>评估</w:t>
            </w:r>
            <w:r>
              <w:rPr>
                <w:rFonts w:ascii="Times New Roman" w:hAnsi="Times New Roman" w:cs="Times New Roman" w:hint="eastAsia"/>
                <w:szCs w:val="21"/>
              </w:rPr>
              <w:t>情况</w:t>
            </w:r>
          </w:p>
        </w:tc>
        <w:tc>
          <w:tcPr>
            <w:tcW w:w="2640" w:type="dxa"/>
            <w:vAlign w:val="center"/>
          </w:tcPr>
          <w:p w14:paraId="07A59CE7" w14:textId="0F61F8CA" w:rsidR="002A5D00" w:rsidRPr="00470091" w:rsidRDefault="00470091">
            <w:pPr>
              <w:spacing w:line="300" w:lineRule="auto"/>
              <w:rPr>
                <w:rFonts w:ascii="Times New Roman" w:hAnsi="Times New Roman" w:cs="Times New Roman"/>
                <w:szCs w:val="21"/>
              </w:rPr>
            </w:pPr>
            <w:r w:rsidRPr="00470091">
              <w:rPr>
                <w:rFonts w:hint="eastAsia"/>
              </w:rPr>
              <w:t>一、本次交易预估值较新三板摘牌前市值大幅度增长的原因</w:t>
            </w:r>
          </w:p>
        </w:tc>
        <w:tc>
          <w:tcPr>
            <w:tcW w:w="4336" w:type="dxa"/>
            <w:tcBorders>
              <w:right w:val="single" w:sz="12" w:space="0" w:color="auto"/>
            </w:tcBorders>
            <w:vAlign w:val="center"/>
          </w:tcPr>
          <w:p w14:paraId="29D68541" w14:textId="2F70BD29" w:rsidR="002A5D00" w:rsidRDefault="00470091">
            <w:pPr>
              <w:spacing w:line="300" w:lineRule="auto"/>
              <w:rPr>
                <w:rFonts w:ascii="Times New Roman" w:hAnsi="Times New Roman" w:cs="Times New Roman"/>
                <w:szCs w:val="21"/>
              </w:rPr>
            </w:pPr>
            <w:r>
              <w:rPr>
                <w:rFonts w:ascii="Times New Roman" w:hAnsi="Times New Roman" w:cs="Times New Roman" w:hint="eastAsia"/>
                <w:szCs w:val="21"/>
              </w:rPr>
              <w:t>补充披露了标的公司</w:t>
            </w:r>
            <w:r w:rsidRPr="00470091">
              <w:rPr>
                <w:rFonts w:ascii="Times New Roman" w:hAnsi="Times New Roman" w:cs="Times New Roman" w:hint="eastAsia"/>
                <w:szCs w:val="21"/>
              </w:rPr>
              <w:t>预估值较新三板摘牌前市值大幅度增长的原因</w:t>
            </w:r>
          </w:p>
        </w:tc>
      </w:tr>
      <w:tr w:rsidR="002A5D00" w14:paraId="7975E50E" w14:textId="77777777" w:rsidTr="00DC1B7B">
        <w:tc>
          <w:tcPr>
            <w:tcW w:w="1809" w:type="dxa"/>
            <w:vMerge/>
            <w:tcBorders>
              <w:left w:val="single" w:sz="12" w:space="0" w:color="auto"/>
            </w:tcBorders>
            <w:vAlign w:val="center"/>
          </w:tcPr>
          <w:p w14:paraId="3EBBDA13" w14:textId="77777777" w:rsidR="002A5D00" w:rsidRDefault="002A5D00">
            <w:pPr>
              <w:spacing w:line="300" w:lineRule="auto"/>
              <w:rPr>
                <w:rFonts w:ascii="Times New Roman" w:hAnsi="Times New Roman" w:cs="Times New Roman"/>
                <w:szCs w:val="21"/>
              </w:rPr>
            </w:pPr>
          </w:p>
        </w:tc>
        <w:tc>
          <w:tcPr>
            <w:tcW w:w="2640" w:type="dxa"/>
            <w:vAlign w:val="center"/>
          </w:tcPr>
          <w:p w14:paraId="47A9E989" w14:textId="1D03B37A" w:rsidR="002A5D00" w:rsidRDefault="00470091">
            <w:pPr>
              <w:spacing w:line="300" w:lineRule="auto"/>
              <w:rPr>
                <w:rFonts w:ascii="Times New Roman" w:hAnsi="Times New Roman" w:cs="Times New Roman"/>
                <w:szCs w:val="21"/>
              </w:rPr>
            </w:pPr>
            <w:r w:rsidRPr="00470091">
              <w:rPr>
                <w:rFonts w:ascii="Times New Roman" w:hAnsi="Times New Roman" w:cs="Times New Roman" w:hint="eastAsia"/>
                <w:szCs w:val="21"/>
              </w:rPr>
              <w:t>二、交易定价的公允性</w:t>
            </w:r>
          </w:p>
        </w:tc>
        <w:tc>
          <w:tcPr>
            <w:tcW w:w="4336" w:type="dxa"/>
            <w:tcBorders>
              <w:right w:val="single" w:sz="12" w:space="0" w:color="auto"/>
            </w:tcBorders>
            <w:vAlign w:val="center"/>
          </w:tcPr>
          <w:p w14:paraId="710E37B1" w14:textId="55CEBB8D" w:rsidR="00470091" w:rsidRDefault="00470091" w:rsidP="00470091">
            <w:pPr>
              <w:spacing w:line="300" w:lineRule="auto"/>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、补充披露了标的公司预估值对应市盈率、增值率区间；</w:t>
            </w:r>
          </w:p>
          <w:p w14:paraId="23DB15D2" w14:textId="2279C782" w:rsidR="002A5D00" w:rsidRDefault="00470091" w:rsidP="00470091">
            <w:pPr>
              <w:spacing w:line="300" w:lineRule="auto"/>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、补充披露了</w:t>
            </w:r>
            <w:r w:rsidRPr="0040785E">
              <w:rPr>
                <w:rFonts w:ascii="Times New Roman" w:hAnsi="Times New Roman" w:cs="Times New Roman" w:hint="eastAsia"/>
                <w:szCs w:val="21"/>
              </w:rPr>
              <w:t>标的公司</w:t>
            </w:r>
            <w:r w:rsidRPr="00470091">
              <w:rPr>
                <w:rFonts w:ascii="Times New Roman" w:hAnsi="Times New Roman" w:cs="Times New Roman" w:hint="eastAsia"/>
                <w:szCs w:val="21"/>
              </w:rPr>
              <w:t>可比上市公司的相对估值情况</w:t>
            </w:r>
            <w:r>
              <w:rPr>
                <w:rFonts w:ascii="Times New Roman" w:hAnsi="Times New Roman" w:cs="Times New Roman" w:hint="eastAsia"/>
                <w:szCs w:val="21"/>
              </w:rPr>
              <w:t>；</w:t>
            </w:r>
          </w:p>
          <w:p w14:paraId="5C71166B" w14:textId="10D83344" w:rsidR="00470091" w:rsidRDefault="00470091" w:rsidP="00470091">
            <w:pPr>
              <w:spacing w:line="300" w:lineRule="auto"/>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、补偿披露了本次交易预估值作价合理性分析</w:t>
            </w:r>
          </w:p>
        </w:tc>
      </w:tr>
      <w:tr w:rsidR="00470091" w14:paraId="392AC8D6" w14:textId="77777777" w:rsidTr="00DC1B7B">
        <w:tc>
          <w:tcPr>
            <w:tcW w:w="1809" w:type="dxa"/>
            <w:tcBorders>
              <w:left w:val="single" w:sz="12" w:space="0" w:color="auto"/>
            </w:tcBorders>
            <w:vAlign w:val="center"/>
          </w:tcPr>
          <w:p w14:paraId="3AE1304A" w14:textId="786D480F" w:rsidR="00470091" w:rsidRDefault="00470091" w:rsidP="00470091">
            <w:pPr>
              <w:spacing w:line="300" w:lineRule="auto"/>
              <w:rPr>
                <w:rFonts w:ascii="Times New Roman" w:hAnsi="Times New Roman" w:cs="Times New Roman"/>
                <w:szCs w:val="21"/>
              </w:rPr>
            </w:pPr>
            <w:r>
              <w:rPr>
                <w:rFonts w:ascii="Times New Roman" w:hAnsi="Times New Roman" w:cs="Times New Roman" w:hint="eastAsia"/>
                <w:szCs w:val="21"/>
              </w:rPr>
              <w:t>第八节</w:t>
            </w:r>
            <w:r>
              <w:rPr>
                <w:rFonts w:ascii="Times New Roman" w:hAnsi="Times New Roman" w:cs="Times New Roman" w:hint="eastAsia"/>
                <w:szCs w:val="21"/>
              </w:rPr>
              <w:t xml:space="preserve"> </w:t>
            </w:r>
            <w:r>
              <w:rPr>
                <w:rFonts w:ascii="Times New Roman" w:hAnsi="Times New Roman" w:cs="Times New Roman" w:hint="eastAsia"/>
                <w:szCs w:val="21"/>
              </w:rPr>
              <w:t>风险因素</w:t>
            </w:r>
          </w:p>
        </w:tc>
        <w:tc>
          <w:tcPr>
            <w:tcW w:w="2640" w:type="dxa"/>
            <w:vAlign w:val="center"/>
          </w:tcPr>
          <w:p w14:paraId="6C06576E" w14:textId="0F02A396" w:rsidR="00470091" w:rsidRDefault="00470091" w:rsidP="00470091">
            <w:pPr>
              <w:spacing w:line="300" w:lineRule="auto"/>
              <w:rPr>
                <w:rFonts w:ascii="Times New Roman" w:hAnsi="Times New Roman" w:cs="Times New Roman"/>
                <w:szCs w:val="21"/>
              </w:rPr>
            </w:pPr>
            <w:r>
              <w:rPr>
                <w:rFonts w:ascii="Times New Roman" w:hAnsi="Times New Roman" w:cs="Times New Roman" w:hint="eastAsia"/>
                <w:szCs w:val="21"/>
              </w:rPr>
              <w:t>二、标的资产相关风险</w:t>
            </w:r>
          </w:p>
        </w:tc>
        <w:tc>
          <w:tcPr>
            <w:tcW w:w="4336" w:type="dxa"/>
            <w:tcBorders>
              <w:right w:val="single" w:sz="12" w:space="0" w:color="auto"/>
            </w:tcBorders>
            <w:vAlign w:val="center"/>
          </w:tcPr>
          <w:p w14:paraId="4A54FAEA" w14:textId="0BCAA4D5" w:rsidR="00470091" w:rsidRDefault="00470091" w:rsidP="00470091">
            <w:pPr>
              <w:spacing w:line="300" w:lineRule="auto"/>
              <w:rPr>
                <w:rFonts w:ascii="Times New Roman" w:hAnsi="Times New Roman" w:cs="Times New Roman"/>
                <w:szCs w:val="21"/>
              </w:rPr>
            </w:pPr>
            <w:r>
              <w:rPr>
                <w:rFonts w:ascii="Times New Roman" w:hAnsi="Times New Roman" w:cs="Times New Roman" w:hint="eastAsia"/>
                <w:szCs w:val="21"/>
              </w:rPr>
              <w:t>补充披露了</w:t>
            </w:r>
            <w:r w:rsidRPr="00463332">
              <w:rPr>
                <w:rFonts w:ascii="Times New Roman" w:hAnsi="Times New Roman" w:cs="Times New Roman" w:hint="eastAsia"/>
                <w:szCs w:val="21"/>
              </w:rPr>
              <w:t>客户集中度较高的风险</w:t>
            </w:r>
            <w:r>
              <w:rPr>
                <w:rFonts w:ascii="Times New Roman" w:hAnsi="Times New Roman" w:cs="Times New Roman" w:hint="eastAsia"/>
                <w:szCs w:val="21"/>
              </w:rPr>
              <w:t>。</w:t>
            </w:r>
          </w:p>
        </w:tc>
      </w:tr>
      <w:tr w:rsidR="002A5D00" w14:paraId="025A65E7" w14:textId="77777777" w:rsidTr="00DC1B7B">
        <w:tc>
          <w:tcPr>
            <w:tcW w:w="1809" w:type="dxa"/>
            <w:vMerge w:val="restart"/>
            <w:tcBorders>
              <w:left w:val="single" w:sz="12" w:space="0" w:color="auto"/>
            </w:tcBorders>
            <w:vAlign w:val="center"/>
          </w:tcPr>
          <w:p w14:paraId="39678DD0" w14:textId="1F4AFB6D" w:rsidR="002A5D00" w:rsidRDefault="002A5D00">
            <w:pPr>
              <w:spacing w:line="300" w:lineRule="auto"/>
              <w:rPr>
                <w:rFonts w:ascii="Times New Roman" w:hAnsi="Times New Roman" w:cs="Times New Roman"/>
                <w:szCs w:val="21"/>
              </w:rPr>
            </w:pPr>
          </w:p>
        </w:tc>
        <w:tc>
          <w:tcPr>
            <w:tcW w:w="2640" w:type="dxa"/>
            <w:vAlign w:val="center"/>
          </w:tcPr>
          <w:p w14:paraId="54B836C2" w14:textId="77777777"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一、与本次交易相关的风险</w:t>
            </w:r>
          </w:p>
        </w:tc>
        <w:tc>
          <w:tcPr>
            <w:tcW w:w="4336" w:type="dxa"/>
            <w:tcBorders>
              <w:right w:val="single" w:sz="12" w:space="0" w:color="auto"/>
            </w:tcBorders>
            <w:vAlign w:val="center"/>
          </w:tcPr>
          <w:p w14:paraId="3A199448" w14:textId="77777777"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补充对本次交易可能产生的大额商誉作重大风险提示。</w:t>
            </w:r>
          </w:p>
        </w:tc>
      </w:tr>
      <w:tr w:rsidR="002A5D00" w14:paraId="1D35B8ED" w14:textId="77777777" w:rsidTr="00DC1B7B">
        <w:tc>
          <w:tcPr>
            <w:tcW w:w="1809" w:type="dxa"/>
            <w:vMerge/>
            <w:tcBorders>
              <w:left w:val="single" w:sz="12" w:space="0" w:color="auto"/>
              <w:bottom w:val="single" w:sz="12" w:space="0" w:color="auto"/>
            </w:tcBorders>
            <w:vAlign w:val="center"/>
          </w:tcPr>
          <w:p w14:paraId="6103F6EE" w14:textId="77777777" w:rsidR="002A5D00" w:rsidRDefault="002A5D00">
            <w:pPr>
              <w:spacing w:line="300" w:lineRule="auto"/>
              <w:rPr>
                <w:rFonts w:ascii="Times New Roman" w:hAnsi="Times New Roman" w:cs="Times New Roman"/>
                <w:szCs w:val="21"/>
              </w:rPr>
            </w:pPr>
          </w:p>
        </w:tc>
        <w:tc>
          <w:tcPr>
            <w:tcW w:w="2640" w:type="dxa"/>
            <w:tcBorders>
              <w:bottom w:val="single" w:sz="12" w:space="0" w:color="auto"/>
            </w:tcBorders>
            <w:vAlign w:val="center"/>
          </w:tcPr>
          <w:p w14:paraId="7024E226" w14:textId="77777777"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二、标的资产的业务和经营风险</w:t>
            </w:r>
          </w:p>
        </w:tc>
        <w:tc>
          <w:tcPr>
            <w:tcW w:w="4336" w:type="dxa"/>
            <w:tcBorders>
              <w:bottom w:val="single" w:sz="12" w:space="0" w:color="auto"/>
              <w:right w:val="single" w:sz="12" w:space="0" w:color="auto"/>
            </w:tcBorders>
            <w:vAlign w:val="center"/>
          </w:tcPr>
          <w:p w14:paraId="5204CCE8" w14:textId="77777777" w:rsidR="002A5D00" w:rsidRDefault="00A65730">
            <w:pPr>
              <w:spacing w:line="300" w:lineRule="auto"/>
              <w:rPr>
                <w:rFonts w:ascii="Times New Roman" w:hAnsi="Times New Roman" w:cs="Times New Roman"/>
                <w:szCs w:val="21"/>
              </w:rPr>
            </w:pPr>
            <w:r>
              <w:rPr>
                <w:rFonts w:ascii="Times New Roman" w:hAnsi="Times New Roman" w:cs="Times New Roman" w:hint="eastAsia"/>
                <w:szCs w:val="21"/>
              </w:rPr>
              <w:t>对标的公司未来海外业务的发展前景和经营风险进行了修订。</w:t>
            </w:r>
          </w:p>
        </w:tc>
      </w:tr>
    </w:tbl>
    <w:p w14:paraId="31040B01" w14:textId="77777777" w:rsidR="002A5D00" w:rsidRDefault="00A65730">
      <w:pPr>
        <w:spacing w:beforeLines="50" w:before="156" w:afterLines="50" w:after="156" w:line="360" w:lineRule="auto"/>
        <w:ind w:firstLineChars="200" w:firstLine="480"/>
        <w:rPr>
          <w:rFonts w:ascii="Times New Roman" w:hAnsi="Times New Roman" w:cs="Times New Roman"/>
          <w:sz w:val="24"/>
        </w:rPr>
      </w:pPr>
      <w:r>
        <w:rPr>
          <w:rFonts w:ascii="Times New Roman" w:hAnsi="Times New Roman" w:cs="Times New Roman" w:hint="eastAsia"/>
          <w:sz w:val="24"/>
        </w:rPr>
        <w:t>特此说明并公告。</w:t>
      </w:r>
    </w:p>
    <w:p w14:paraId="0326F3F8" w14:textId="77777777" w:rsidR="002A5D00" w:rsidRDefault="002A5D00">
      <w:pPr>
        <w:spacing w:beforeLines="50" w:before="156" w:afterLines="50" w:after="156" w:line="360" w:lineRule="auto"/>
        <w:ind w:firstLineChars="200" w:firstLine="480"/>
        <w:rPr>
          <w:rFonts w:ascii="Times New Roman" w:hAnsi="Times New Roman" w:cs="Times New Roman"/>
          <w:sz w:val="24"/>
        </w:rPr>
      </w:pPr>
    </w:p>
    <w:p w14:paraId="086A12F7" w14:textId="24D88A18" w:rsidR="002A5D00" w:rsidRDefault="007D03C1">
      <w:pPr>
        <w:spacing w:beforeLines="50" w:before="156" w:afterLines="50" w:after="156" w:line="360" w:lineRule="auto"/>
        <w:ind w:firstLineChars="200" w:firstLine="480"/>
        <w:jc w:val="right"/>
        <w:rPr>
          <w:rFonts w:ascii="Times New Roman" w:hAnsi="Times New Roman" w:cs="Times New Roman"/>
          <w:sz w:val="24"/>
        </w:rPr>
      </w:pPr>
      <w:r>
        <w:rPr>
          <w:rFonts w:ascii="Times New Roman" w:hAnsi="Times New Roman" w:cs="Times New Roman" w:hint="eastAsia"/>
          <w:sz w:val="24"/>
        </w:rPr>
        <w:t>北京京城机电</w:t>
      </w:r>
      <w:r w:rsidR="00A65730">
        <w:rPr>
          <w:rFonts w:ascii="Times New Roman" w:hAnsi="Times New Roman" w:cs="Times New Roman" w:hint="eastAsia"/>
          <w:sz w:val="24"/>
        </w:rPr>
        <w:t>股份有限公司</w:t>
      </w:r>
      <w:r w:rsidR="00DE5BBE">
        <w:rPr>
          <w:rFonts w:ascii="Times New Roman" w:hAnsi="Times New Roman" w:cs="Times New Roman" w:hint="eastAsia"/>
          <w:sz w:val="24"/>
        </w:rPr>
        <w:t>董事会</w:t>
      </w:r>
    </w:p>
    <w:p w14:paraId="658C7F16" w14:textId="2BA344FF" w:rsidR="002A5D00" w:rsidRDefault="00A65730" w:rsidP="00BC662E">
      <w:pPr>
        <w:wordWrap w:val="0"/>
        <w:spacing w:beforeLines="50" w:before="156" w:afterLines="50" w:after="156" w:line="360" w:lineRule="auto"/>
        <w:ind w:firstLineChars="200" w:firstLine="480"/>
        <w:jc w:val="right"/>
        <w:rPr>
          <w:rFonts w:ascii="Times New Roman" w:hAnsi="Times New Roman" w:cs="Times New Roman"/>
          <w:sz w:val="24"/>
        </w:rPr>
      </w:pPr>
      <w:r>
        <w:rPr>
          <w:rFonts w:ascii="Times New Roman" w:hAnsi="Times New Roman" w:cs="Times New Roman" w:hint="eastAsia"/>
          <w:sz w:val="24"/>
        </w:rPr>
        <w:t>20</w:t>
      </w:r>
      <w:r w:rsidR="007D03C1">
        <w:rPr>
          <w:rFonts w:ascii="Times New Roman" w:hAnsi="Times New Roman" w:cs="Times New Roman"/>
          <w:sz w:val="24"/>
        </w:rPr>
        <w:t>20</w:t>
      </w:r>
      <w:r>
        <w:rPr>
          <w:rFonts w:ascii="Times New Roman" w:hAnsi="Times New Roman" w:cs="Times New Roman" w:hint="eastAsia"/>
          <w:sz w:val="24"/>
        </w:rPr>
        <w:t>年</w:t>
      </w:r>
      <w:r>
        <w:rPr>
          <w:rFonts w:ascii="Times New Roman" w:hAnsi="Times New Roman" w:cs="Times New Roman" w:hint="eastAsia"/>
          <w:sz w:val="24"/>
        </w:rPr>
        <w:t>9</w:t>
      </w:r>
      <w:r>
        <w:rPr>
          <w:rFonts w:ascii="Times New Roman" w:hAnsi="Times New Roman" w:cs="Times New Roman" w:hint="eastAsia"/>
          <w:sz w:val="24"/>
        </w:rPr>
        <w:t>月</w:t>
      </w:r>
      <w:r w:rsidR="007D03C1">
        <w:rPr>
          <w:rFonts w:ascii="Times New Roman" w:hAnsi="Times New Roman" w:cs="Times New Roman"/>
          <w:sz w:val="24"/>
        </w:rPr>
        <w:t>21</w:t>
      </w:r>
      <w:r>
        <w:rPr>
          <w:rFonts w:ascii="Times New Roman" w:hAnsi="Times New Roman" w:cs="Times New Roman" w:hint="eastAsia"/>
          <w:sz w:val="24"/>
        </w:rPr>
        <w:t>日</w:t>
      </w:r>
      <w:r>
        <w:rPr>
          <w:rFonts w:ascii="Times New Roman" w:hAnsi="Times New Roman" w:cs="Times New Roman" w:hint="eastAsia"/>
          <w:sz w:val="24"/>
        </w:rPr>
        <w:t xml:space="preserve">      </w:t>
      </w:r>
    </w:p>
    <w:sectPr w:rsidR="002A5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77542" w14:textId="77777777" w:rsidR="00CF3F52" w:rsidRDefault="00CF3F52" w:rsidP="00604128">
      <w:r>
        <w:separator/>
      </w:r>
    </w:p>
  </w:endnote>
  <w:endnote w:type="continuationSeparator" w:id="0">
    <w:p w14:paraId="31578555" w14:textId="77777777" w:rsidR="00CF3F52" w:rsidRDefault="00CF3F52" w:rsidP="0060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909F0" w14:textId="77777777" w:rsidR="00CF3F52" w:rsidRDefault="00CF3F52" w:rsidP="00604128">
      <w:r>
        <w:separator/>
      </w:r>
    </w:p>
  </w:footnote>
  <w:footnote w:type="continuationSeparator" w:id="0">
    <w:p w14:paraId="299A1127" w14:textId="77777777" w:rsidR="00CF3F52" w:rsidRDefault="00CF3F52" w:rsidP="00604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0AAD4F"/>
    <w:multiLevelType w:val="singleLevel"/>
    <w:tmpl w:val="C50AAD4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D00"/>
    <w:rsid w:val="000B56A6"/>
    <w:rsid w:val="001A3B4D"/>
    <w:rsid w:val="002560A2"/>
    <w:rsid w:val="002A5D00"/>
    <w:rsid w:val="003D3BE6"/>
    <w:rsid w:val="0040785E"/>
    <w:rsid w:val="004148F4"/>
    <w:rsid w:val="00463332"/>
    <w:rsid w:val="00470091"/>
    <w:rsid w:val="00567A12"/>
    <w:rsid w:val="005B28E0"/>
    <w:rsid w:val="005F3E90"/>
    <w:rsid w:val="00604128"/>
    <w:rsid w:val="007D03C1"/>
    <w:rsid w:val="00976AAF"/>
    <w:rsid w:val="00A65730"/>
    <w:rsid w:val="00BC662E"/>
    <w:rsid w:val="00C20E24"/>
    <w:rsid w:val="00C42E6E"/>
    <w:rsid w:val="00CF3F52"/>
    <w:rsid w:val="00DC1B7B"/>
    <w:rsid w:val="00DE5BBE"/>
    <w:rsid w:val="00E627E8"/>
    <w:rsid w:val="00EE1889"/>
    <w:rsid w:val="00FB253D"/>
    <w:rsid w:val="00FE4789"/>
    <w:rsid w:val="0F9C7F20"/>
    <w:rsid w:val="228F37BD"/>
    <w:rsid w:val="239B633A"/>
    <w:rsid w:val="4ADD3424"/>
    <w:rsid w:val="4BA917D9"/>
    <w:rsid w:val="64C711B8"/>
    <w:rsid w:val="7BD6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7D9AC"/>
  <w15:docId w15:val="{AB53A8E9-6061-4898-9183-967FF3CB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41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04128"/>
    <w:rPr>
      <w:rFonts w:asciiTheme="minorHAnsi" w:eastAsiaTheme="minorEastAsia" w:hAnsiTheme="minorHAnsi" w:cstheme="minorBidi"/>
      <w:kern w:val="2"/>
      <w:sz w:val="18"/>
      <w:szCs w:val="18"/>
    </w:rPr>
  </w:style>
  <w:style w:type="paragraph" w:styleId="a6">
    <w:name w:val="footer"/>
    <w:basedOn w:val="a"/>
    <w:link w:val="a7"/>
    <w:rsid w:val="00604128"/>
    <w:pPr>
      <w:tabs>
        <w:tab w:val="center" w:pos="4153"/>
        <w:tab w:val="right" w:pos="8306"/>
      </w:tabs>
      <w:snapToGrid w:val="0"/>
      <w:jc w:val="left"/>
    </w:pPr>
    <w:rPr>
      <w:sz w:val="18"/>
      <w:szCs w:val="18"/>
    </w:rPr>
  </w:style>
  <w:style w:type="character" w:customStyle="1" w:styleId="a7">
    <w:name w:val="页脚 字符"/>
    <w:basedOn w:val="a0"/>
    <w:link w:val="a6"/>
    <w:rsid w:val="006041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heren</dc:creator>
  <cp:lastModifiedBy>L Y</cp:lastModifiedBy>
  <cp:revision>13</cp:revision>
  <dcterms:created xsi:type="dcterms:W3CDTF">2014-10-29T12:08:00Z</dcterms:created>
  <dcterms:modified xsi:type="dcterms:W3CDTF">2020-09-21T06:08:00Z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